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F65" w:rsidRPr="00611F65" w:rsidRDefault="00611F65" w:rsidP="00611F65">
      <w:pPr>
        <w:rPr>
          <w:b/>
          <w:sz w:val="28"/>
          <w:szCs w:val="28"/>
        </w:rPr>
      </w:pPr>
      <w:r w:rsidRPr="00611F65">
        <w:rPr>
          <w:b/>
          <w:sz w:val="28"/>
          <w:szCs w:val="28"/>
        </w:rPr>
        <w:t>How the NHS and care services use your information</w:t>
      </w:r>
    </w:p>
    <w:p w:rsidR="00611F65" w:rsidRPr="00611F65" w:rsidRDefault="00611F65" w:rsidP="00611F65">
      <w:pPr>
        <w:rPr>
          <w:sz w:val="28"/>
          <w:szCs w:val="28"/>
        </w:rPr>
      </w:pPr>
      <w:r w:rsidRPr="00611F65">
        <w:rPr>
          <w:sz w:val="28"/>
          <w:szCs w:val="28"/>
        </w:rPr>
        <w:t xml:space="preserve">Brig Royd Surgery </w:t>
      </w:r>
      <w:r w:rsidRPr="00611F65">
        <w:rPr>
          <w:sz w:val="28"/>
          <w:szCs w:val="28"/>
        </w:rPr>
        <w:t>is one of many organisations working in the health and care system to improve care for patients and the public</w:t>
      </w:r>
      <w:r w:rsidRPr="00611F65">
        <w:rPr>
          <w:sz w:val="28"/>
          <w:szCs w:val="28"/>
        </w:rPr>
        <w:t xml:space="preserve">. </w:t>
      </w:r>
    </w:p>
    <w:p w:rsidR="00611F65" w:rsidRPr="00611F65" w:rsidRDefault="00611F65" w:rsidP="00611F65">
      <w:pPr>
        <w:rPr>
          <w:sz w:val="28"/>
          <w:szCs w:val="28"/>
        </w:rPr>
      </w:pPr>
      <w:r w:rsidRPr="00611F65">
        <w:rPr>
          <w:sz w:val="28"/>
          <w:szCs w:val="28"/>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rsidR="00611F65" w:rsidRPr="00611F65" w:rsidRDefault="00611F65" w:rsidP="00611F65">
      <w:pPr>
        <w:spacing w:after="0"/>
        <w:rPr>
          <w:sz w:val="28"/>
          <w:szCs w:val="28"/>
        </w:rPr>
      </w:pPr>
      <w:r w:rsidRPr="00611F65">
        <w:rPr>
          <w:sz w:val="28"/>
          <w:szCs w:val="28"/>
        </w:rPr>
        <w:t>The information collected about you when you use these services can also be used and provided to other organisations for purposes beyond your individual care, for instance to help with:</w:t>
      </w:r>
    </w:p>
    <w:p w:rsidR="00611F65" w:rsidRPr="00611F65" w:rsidRDefault="00611F65" w:rsidP="00611F65">
      <w:pPr>
        <w:spacing w:after="0"/>
        <w:rPr>
          <w:sz w:val="28"/>
          <w:szCs w:val="28"/>
        </w:rPr>
      </w:pPr>
    </w:p>
    <w:p w:rsidR="00611F65" w:rsidRPr="00611F65" w:rsidRDefault="00611F65" w:rsidP="00611F65">
      <w:pPr>
        <w:spacing w:after="0"/>
        <w:rPr>
          <w:sz w:val="28"/>
          <w:szCs w:val="28"/>
        </w:rPr>
      </w:pPr>
      <w:r w:rsidRPr="00611F65">
        <w:rPr>
          <w:sz w:val="28"/>
          <w:szCs w:val="28"/>
        </w:rPr>
        <w:t>•</w:t>
      </w:r>
      <w:r w:rsidRPr="00611F65">
        <w:rPr>
          <w:sz w:val="28"/>
          <w:szCs w:val="28"/>
        </w:rPr>
        <w:tab/>
        <w:t>improving the quality and standards of care provided</w:t>
      </w:r>
    </w:p>
    <w:p w:rsidR="00611F65" w:rsidRPr="00611F65" w:rsidRDefault="00611F65" w:rsidP="00611F65">
      <w:pPr>
        <w:spacing w:after="0"/>
        <w:rPr>
          <w:sz w:val="28"/>
          <w:szCs w:val="28"/>
        </w:rPr>
      </w:pPr>
      <w:r w:rsidRPr="00611F65">
        <w:rPr>
          <w:sz w:val="28"/>
          <w:szCs w:val="28"/>
        </w:rPr>
        <w:t>•</w:t>
      </w:r>
      <w:r w:rsidRPr="00611F65">
        <w:rPr>
          <w:sz w:val="28"/>
          <w:szCs w:val="28"/>
        </w:rPr>
        <w:tab/>
      </w:r>
      <w:proofErr w:type="gramStart"/>
      <w:r w:rsidRPr="00611F65">
        <w:rPr>
          <w:sz w:val="28"/>
          <w:szCs w:val="28"/>
        </w:rPr>
        <w:t>research</w:t>
      </w:r>
      <w:proofErr w:type="gramEnd"/>
      <w:r w:rsidRPr="00611F65">
        <w:rPr>
          <w:sz w:val="28"/>
          <w:szCs w:val="28"/>
        </w:rPr>
        <w:t xml:space="preserve"> into the development of new treatments </w:t>
      </w:r>
    </w:p>
    <w:p w:rsidR="00611F65" w:rsidRPr="00611F65" w:rsidRDefault="00611F65" w:rsidP="00611F65">
      <w:pPr>
        <w:spacing w:after="0"/>
        <w:rPr>
          <w:sz w:val="28"/>
          <w:szCs w:val="28"/>
        </w:rPr>
      </w:pPr>
      <w:r w:rsidRPr="00611F65">
        <w:rPr>
          <w:sz w:val="28"/>
          <w:szCs w:val="28"/>
        </w:rPr>
        <w:t>•</w:t>
      </w:r>
      <w:r w:rsidRPr="00611F65">
        <w:rPr>
          <w:sz w:val="28"/>
          <w:szCs w:val="28"/>
        </w:rPr>
        <w:tab/>
        <w:t>preventing illness and diseases</w:t>
      </w:r>
    </w:p>
    <w:p w:rsidR="00611F65" w:rsidRPr="00611F65" w:rsidRDefault="00611F65" w:rsidP="00611F65">
      <w:pPr>
        <w:pStyle w:val="ListParagraph"/>
        <w:numPr>
          <w:ilvl w:val="0"/>
          <w:numId w:val="6"/>
        </w:numPr>
        <w:spacing w:after="0"/>
        <w:ind w:hanging="720"/>
        <w:rPr>
          <w:sz w:val="28"/>
          <w:szCs w:val="28"/>
        </w:rPr>
      </w:pPr>
      <w:r w:rsidRPr="00611F65">
        <w:rPr>
          <w:sz w:val="28"/>
          <w:szCs w:val="28"/>
        </w:rPr>
        <w:t>monitoring safety</w:t>
      </w:r>
    </w:p>
    <w:p w:rsidR="00611F65" w:rsidRPr="00611F65" w:rsidRDefault="00611F65" w:rsidP="00611F65">
      <w:pPr>
        <w:spacing w:after="0"/>
        <w:rPr>
          <w:sz w:val="28"/>
          <w:szCs w:val="28"/>
        </w:rPr>
      </w:pPr>
      <w:r w:rsidRPr="00611F65">
        <w:rPr>
          <w:sz w:val="28"/>
          <w:szCs w:val="28"/>
        </w:rPr>
        <w:t>•</w:t>
      </w:r>
      <w:r w:rsidRPr="00611F65">
        <w:rPr>
          <w:sz w:val="28"/>
          <w:szCs w:val="28"/>
        </w:rPr>
        <w:tab/>
        <w:t>planning services</w:t>
      </w:r>
    </w:p>
    <w:p w:rsidR="00611F65" w:rsidRPr="00611F65" w:rsidRDefault="00611F65" w:rsidP="00611F65">
      <w:pPr>
        <w:spacing w:after="0"/>
        <w:rPr>
          <w:sz w:val="28"/>
          <w:szCs w:val="28"/>
        </w:rPr>
      </w:pPr>
    </w:p>
    <w:p w:rsidR="00611F65" w:rsidRPr="00611F65" w:rsidRDefault="00611F65" w:rsidP="00611F65">
      <w:pPr>
        <w:spacing w:after="0"/>
        <w:rPr>
          <w:sz w:val="28"/>
          <w:szCs w:val="28"/>
        </w:rPr>
      </w:pPr>
      <w:r w:rsidRPr="00611F65">
        <w:rPr>
          <w:sz w:val="28"/>
          <w:szCs w:val="28"/>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11F65">
        <w:rPr>
          <w:b/>
          <w:sz w:val="28"/>
          <w:szCs w:val="28"/>
        </w:rPr>
        <w:t>only used</w:t>
      </w:r>
      <w:r w:rsidRPr="00611F65">
        <w:rPr>
          <w:sz w:val="28"/>
          <w:szCs w:val="28"/>
        </w:rPr>
        <w:t xml:space="preserve"> like this where allowed by law. </w:t>
      </w:r>
    </w:p>
    <w:p w:rsidR="00611F65" w:rsidRPr="00611F65" w:rsidRDefault="00611F65" w:rsidP="00611F65">
      <w:pPr>
        <w:spacing w:after="0"/>
        <w:rPr>
          <w:sz w:val="28"/>
          <w:szCs w:val="28"/>
        </w:rPr>
      </w:pPr>
    </w:p>
    <w:p w:rsidR="00611F65" w:rsidRPr="00611F65" w:rsidRDefault="00611F65" w:rsidP="00611F65">
      <w:pPr>
        <w:spacing w:after="0"/>
        <w:rPr>
          <w:sz w:val="28"/>
          <w:szCs w:val="28"/>
        </w:rPr>
      </w:pPr>
      <w:r w:rsidRPr="00611F65">
        <w:rPr>
          <w:sz w:val="28"/>
          <w:szCs w:val="28"/>
        </w:rPr>
        <w:t>Most of the time, anonymised data is used for research and planning so that you cannot be identified in which case your confidential patient information isn’t needed.</w:t>
      </w:r>
    </w:p>
    <w:p w:rsidR="00611F65" w:rsidRPr="00611F65" w:rsidRDefault="00611F65" w:rsidP="00611F65">
      <w:pPr>
        <w:spacing w:after="0"/>
        <w:rPr>
          <w:sz w:val="28"/>
          <w:szCs w:val="28"/>
        </w:rPr>
      </w:pPr>
    </w:p>
    <w:p w:rsidR="00611F65" w:rsidRDefault="00611F65" w:rsidP="00611F65">
      <w:pPr>
        <w:rPr>
          <w:sz w:val="28"/>
          <w:szCs w:val="28"/>
        </w:rPr>
      </w:pPr>
      <w:r w:rsidRPr="00611F65">
        <w:rPr>
          <w:sz w:val="28"/>
          <w:szCs w:val="28"/>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rsidR="00611F65" w:rsidRDefault="00611F65" w:rsidP="00611F65">
      <w:pPr>
        <w:rPr>
          <w:sz w:val="28"/>
          <w:szCs w:val="28"/>
        </w:rPr>
      </w:pPr>
    </w:p>
    <w:p w:rsidR="00611F65" w:rsidRPr="00611F65" w:rsidRDefault="00611F65" w:rsidP="00611F65">
      <w:pPr>
        <w:rPr>
          <w:sz w:val="28"/>
          <w:szCs w:val="28"/>
        </w:rPr>
      </w:pPr>
    </w:p>
    <w:p w:rsidR="00181D6B" w:rsidRDefault="00160DC8">
      <w:pPr>
        <w:rPr>
          <w:b/>
          <w:bCs/>
          <w:sz w:val="28"/>
          <w:szCs w:val="28"/>
        </w:rPr>
      </w:pPr>
      <w:r w:rsidRPr="00160DC8">
        <w:rPr>
          <w:b/>
          <w:bCs/>
          <w:sz w:val="28"/>
          <w:szCs w:val="28"/>
        </w:rPr>
        <w:lastRenderedPageBreak/>
        <w:t>National data opt-out patient information</w:t>
      </w:r>
    </w:p>
    <w:p w:rsidR="00160DC8" w:rsidRPr="00160DC8" w:rsidRDefault="00160DC8" w:rsidP="00160DC8">
      <w:pPr>
        <w:rPr>
          <w:sz w:val="28"/>
          <w:szCs w:val="28"/>
        </w:rPr>
      </w:pPr>
      <w:r w:rsidRPr="00160DC8">
        <w:rPr>
          <w:sz w:val="28"/>
          <w:szCs w:val="28"/>
        </w:rPr>
        <w:t xml:space="preserve">The NHS introduced a new national data opt-out on 25 May 2018.  While there are many benefits associated with using data, the new opt-out offers people in England, the opportunity to choose whether their Confidential Patient Information is used for research and planning purposes. The new national data opt-out gives people the opportunity to opt-out of sharing their confidential patient information for research and planning purposes. The national data opt-out is not about data that is used for a patient’s individual care. Find out more at </w:t>
      </w:r>
      <w:hyperlink r:id="rId8" w:history="1">
        <w:r w:rsidRPr="00160DC8">
          <w:rPr>
            <w:rStyle w:val="Hyperlink"/>
            <w:sz w:val="28"/>
            <w:szCs w:val="28"/>
          </w:rPr>
          <w:t>https://www.nhs.uk/your-nhs-data-matters</w:t>
        </w:r>
      </w:hyperlink>
    </w:p>
    <w:p w:rsidR="007F4D48" w:rsidRPr="00160DC8" w:rsidRDefault="00160DC8" w:rsidP="00160DC8">
      <w:pPr>
        <w:rPr>
          <w:sz w:val="28"/>
          <w:szCs w:val="28"/>
        </w:rPr>
      </w:pPr>
      <w:r w:rsidRPr="00160DC8">
        <w:rPr>
          <w:sz w:val="28"/>
          <w:szCs w:val="28"/>
          <w:lang w:val="en-US"/>
        </w:rPr>
        <w:t xml:space="preserve">Patients who have a “type 1” opt-out have opted out of sharing their personal identifiable data with any other </w:t>
      </w:r>
      <w:proofErr w:type="spellStart"/>
      <w:r w:rsidRPr="00160DC8">
        <w:rPr>
          <w:sz w:val="28"/>
          <w:szCs w:val="28"/>
          <w:lang w:val="en-US"/>
        </w:rPr>
        <w:t>organisation</w:t>
      </w:r>
      <w:proofErr w:type="spellEnd"/>
      <w:r w:rsidRPr="00160DC8">
        <w:rPr>
          <w:sz w:val="28"/>
          <w:szCs w:val="28"/>
          <w:lang w:val="en-US"/>
        </w:rPr>
        <w:t xml:space="preserve"> where the use would be for purposes beyond their individual care and treatment. These opts outs will be respected until 2020, when the Department of Health and Social Care will consult with the National Data Guardian in March 2020 before their removal </w:t>
      </w:r>
    </w:p>
    <w:p w:rsidR="007F4D48" w:rsidRPr="00160DC8" w:rsidRDefault="00160DC8" w:rsidP="00160DC8">
      <w:pPr>
        <w:rPr>
          <w:sz w:val="28"/>
          <w:szCs w:val="28"/>
        </w:rPr>
      </w:pPr>
      <w:r w:rsidRPr="00160DC8">
        <w:rPr>
          <w:sz w:val="28"/>
          <w:szCs w:val="28"/>
        </w:rPr>
        <w:t>Patients with a “type 2” opt-out will have their opt-out converted to the new national opt-out and will be written to from May 2018. Type 2 opt outs were recorded through GP practices and used when a patient asked that their identifiable health and care information is not shared by NHS Digital with any other organisation where the use would be for purposes beyond their individual care and treatment, this applies to all data held by NHS Digital.</w:t>
      </w:r>
    </w:p>
    <w:p w:rsidR="007F4D48" w:rsidRPr="00160DC8" w:rsidRDefault="00160DC8" w:rsidP="00160DC8">
      <w:pPr>
        <w:rPr>
          <w:sz w:val="28"/>
          <w:szCs w:val="28"/>
        </w:rPr>
      </w:pPr>
      <w:r w:rsidRPr="00160DC8">
        <w:rPr>
          <w:sz w:val="28"/>
          <w:szCs w:val="28"/>
          <w:lang w:val="en-US"/>
        </w:rPr>
        <w:t xml:space="preserve">The national data opt-out focuses on how patient data is being used rather than the type of </w:t>
      </w:r>
      <w:proofErr w:type="spellStart"/>
      <w:r w:rsidRPr="00160DC8">
        <w:rPr>
          <w:sz w:val="28"/>
          <w:szCs w:val="28"/>
          <w:lang w:val="en-US"/>
        </w:rPr>
        <w:t>organisation</w:t>
      </w:r>
      <w:proofErr w:type="spellEnd"/>
      <w:r w:rsidRPr="00160DC8">
        <w:rPr>
          <w:sz w:val="28"/>
          <w:szCs w:val="28"/>
          <w:lang w:val="en-US"/>
        </w:rPr>
        <w:t xml:space="preserve"> using the data</w:t>
      </w:r>
    </w:p>
    <w:p w:rsidR="007F4D48" w:rsidRPr="00160DC8" w:rsidRDefault="00160DC8" w:rsidP="00160DC8">
      <w:pPr>
        <w:rPr>
          <w:sz w:val="28"/>
          <w:szCs w:val="28"/>
        </w:rPr>
      </w:pPr>
      <w:r w:rsidRPr="00160DC8">
        <w:rPr>
          <w:sz w:val="28"/>
          <w:szCs w:val="28"/>
          <w:lang w:val="en-US"/>
        </w:rPr>
        <w:t>The sharing of identifiable health and care information for purposes beyond an individual’s care and treatment is still subject to Data Protection and the Common Law Duty of Confidentiality considerations - these are not changed by the national data opt-out</w:t>
      </w:r>
    </w:p>
    <w:p w:rsidR="00611F65" w:rsidRPr="00611F65" w:rsidRDefault="00611F65" w:rsidP="00611F65">
      <w:pPr>
        <w:rPr>
          <w:sz w:val="28"/>
          <w:szCs w:val="28"/>
        </w:rPr>
      </w:pPr>
      <w:r w:rsidRPr="00611F65">
        <w:rPr>
          <w:sz w:val="28"/>
          <w:szCs w:val="28"/>
        </w:rPr>
        <w:t xml:space="preserve">To find out more or to register your choice to opt out, please visit </w:t>
      </w:r>
      <w:hyperlink r:id="rId9" w:history="1">
        <w:r w:rsidRPr="00611F65">
          <w:rPr>
            <w:rStyle w:val="Hyperlink"/>
            <w:sz w:val="28"/>
            <w:szCs w:val="28"/>
          </w:rPr>
          <w:t>www.nhs.uk/your-nhs-data-matters</w:t>
        </w:r>
      </w:hyperlink>
      <w:r w:rsidRPr="00611F65">
        <w:rPr>
          <w:sz w:val="28"/>
          <w:szCs w:val="28"/>
        </w:rPr>
        <w:t>.  On this web page you will:</w:t>
      </w:r>
    </w:p>
    <w:p w:rsidR="00611F65" w:rsidRPr="00611F65" w:rsidRDefault="00611F65" w:rsidP="00611F65">
      <w:pPr>
        <w:pStyle w:val="ListParagraph"/>
        <w:numPr>
          <w:ilvl w:val="0"/>
          <w:numId w:val="7"/>
        </w:numPr>
        <w:spacing w:after="0"/>
        <w:ind w:left="284" w:hanging="284"/>
        <w:rPr>
          <w:sz w:val="28"/>
          <w:szCs w:val="28"/>
        </w:rPr>
      </w:pPr>
      <w:r w:rsidRPr="00611F65">
        <w:rPr>
          <w:sz w:val="28"/>
          <w:szCs w:val="28"/>
        </w:rPr>
        <w:t>See what is meant by confidential patient information</w:t>
      </w:r>
    </w:p>
    <w:p w:rsidR="00611F65" w:rsidRPr="00611F65" w:rsidRDefault="00611F65" w:rsidP="00611F65">
      <w:pPr>
        <w:pStyle w:val="ListParagraph"/>
        <w:numPr>
          <w:ilvl w:val="0"/>
          <w:numId w:val="7"/>
        </w:numPr>
        <w:spacing w:after="0"/>
        <w:ind w:left="284" w:hanging="284"/>
        <w:rPr>
          <w:sz w:val="28"/>
          <w:szCs w:val="28"/>
        </w:rPr>
      </w:pPr>
      <w:r w:rsidRPr="00611F65">
        <w:rPr>
          <w:sz w:val="28"/>
          <w:szCs w:val="28"/>
        </w:rPr>
        <w:t>Find examples of when confidential patient information is used for individual care and examples of when it is used for purposes beyond individual care</w:t>
      </w:r>
    </w:p>
    <w:p w:rsidR="00611F65" w:rsidRPr="00611F65" w:rsidRDefault="00611F65" w:rsidP="00611F65">
      <w:pPr>
        <w:pStyle w:val="ListParagraph"/>
        <w:numPr>
          <w:ilvl w:val="0"/>
          <w:numId w:val="7"/>
        </w:numPr>
        <w:spacing w:after="0"/>
        <w:ind w:left="284" w:hanging="284"/>
        <w:rPr>
          <w:sz w:val="28"/>
          <w:szCs w:val="28"/>
        </w:rPr>
      </w:pPr>
      <w:r w:rsidRPr="00611F65">
        <w:rPr>
          <w:sz w:val="28"/>
          <w:szCs w:val="28"/>
        </w:rPr>
        <w:lastRenderedPageBreak/>
        <w:t>Find out more about the benefits of sharing data</w:t>
      </w:r>
    </w:p>
    <w:p w:rsidR="00611F65" w:rsidRPr="00611F65" w:rsidRDefault="00611F65" w:rsidP="00611F65">
      <w:pPr>
        <w:pStyle w:val="ListParagraph"/>
        <w:numPr>
          <w:ilvl w:val="0"/>
          <w:numId w:val="7"/>
        </w:numPr>
        <w:spacing w:after="0"/>
        <w:ind w:left="284" w:hanging="284"/>
        <w:rPr>
          <w:sz w:val="28"/>
          <w:szCs w:val="28"/>
        </w:rPr>
      </w:pPr>
      <w:r w:rsidRPr="00611F65">
        <w:rPr>
          <w:sz w:val="28"/>
          <w:szCs w:val="28"/>
        </w:rPr>
        <w:t>Understand more about who uses the data</w:t>
      </w:r>
    </w:p>
    <w:p w:rsidR="00611F65" w:rsidRPr="00611F65" w:rsidRDefault="00611F65" w:rsidP="00611F65">
      <w:pPr>
        <w:pStyle w:val="ListParagraph"/>
        <w:numPr>
          <w:ilvl w:val="0"/>
          <w:numId w:val="7"/>
        </w:numPr>
        <w:spacing w:after="0"/>
        <w:ind w:left="284" w:hanging="284"/>
        <w:rPr>
          <w:sz w:val="28"/>
          <w:szCs w:val="28"/>
        </w:rPr>
      </w:pPr>
      <w:r w:rsidRPr="00611F65">
        <w:rPr>
          <w:sz w:val="28"/>
          <w:szCs w:val="28"/>
        </w:rPr>
        <w:t>Find out how your data is protected</w:t>
      </w:r>
    </w:p>
    <w:p w:rsidR="00611F65" w:rsidRPr="00611F65" w:rsidRDefault="00611F65" w:rsidP="00611F65">
      <w:pPr>
        <w:pStyle w:val="ListParagraph"/>
        <w:numPr>
          <w:ilvl w:val="0"/>
          <w:numId w:val="7"/>
        </w:numPr>
        <w:spacing w:after="0"/>
        <w:ind w:left="284" w:hanging="284"/>
        <w:rPr>
          <w:sz w:val="28"/>
          <w:szCs w:val="28"/>
        </w:rPr>
      </w:pPr>
      <w:r w:rsidRPr="00611F65">
        <w:rPr>
          <w:sz w:val="28"/>
          <w:szCs w:val="28"/>
        </w:rPr>
        <w:t>Be able to access the system to view, set or change your opt-out setting</w:t>
      </w:r>
    </w:p>
    <w:p w:rsidR="00611F65" w:rsidRPr="00611F65" w:rsidRDefault="00611F65" w:rsidP="00611F65">
      <w:pPr>
        <w:pStyle w:val="ListParagraph"/>
        <w:numPr>
          <w:ilvl w:val="0"/>
          <w:numId w:val="7"/>
        </w:numPr>
        <w:spacing w:after="0"/>
        <w:ind w:left="284" w:hanging="284"/>
        <w:rPr>
          <w:sz w:val="28"/>
          <w:szCs w:val="28"/>
        </w:rPr>
      </w:pPr>
      <w:r w:rsidRPr="00611F65">
        <w:rPr>
          <w:sz w:val="28"/>
          <w:szCs w:val="28"/>
        </w:rPr>
        <w:t xml:space="preserve">Find the contact telephone number if you want to know any more or to set/change your opt-out by phone </w:t>
      </w:r>
    </w:p>
    <w:p w:rsidR="00611F65" w:rsidRPr="00611F65" w:rsidRDefault="00611F65" w:rsidP="00611F65">
      <w:pPr>
        <w:pStyle w:val="ListParagraph"/>
        <w:numPr>
          <w:ilvl w:val="0"/>
          <w:numId w:val="7"/>
        </w:numPr>
        <w:spacing w:after="0"/>
        <w:ind w:left="284" w:hanging="284"/>
        <w:rPr>
          <w:sz w:val="28"/>
          <w:szCs w:val="28"/>
        </w:rPr>
      </w:pPr>
      <w:r w:rsidRPr="00611F65">
        <w:rPr>
          <w:sz w:val="28"/>
          <w:szCs w:val="28"/>
        </w:rPr>
        <w:t>See the situations where the opt-out will not apply</w:t>
      </w:r>
    </w:p>
    <w:p w:rsidR="00611F65" w:rsidRPr="00611F65" w:rsidRDefault="00611F65" w:rsidP="00611F65">
      <w:pPr>
        <w:spacing w:after="0"/>
        <w:rPr>
          <w:sz w:val="28"/>
          <w:szCs w:val="28"/>
        </w:rPr>
      </w:pPr>
    </w:p>
    <w:p w:rsidR="00611F65" w:rsidRPr="00611F65" w:rsidRDefault="00611F65" w:rsidP="00611F65">
      <w:pPr>
        <w:spacing w:after="0"/>
        <w:rPr>
          <w:sz w:val="28"/>
          <w:szCs w:val="28"/>
        </w:rPr>
      </w:pPr>
      <w:r w:rsidRPr="00611F65">
        <w:rPr>
          <w:sz w:val="28"/>
          <w:szCs w:val="28"/>
        </w:rPr>
        <w:t>You can also find out more about how patient information is used at:</w:t>
      </w:r>
    </w:p>
    <w:p w:rsidR="00611F65" w:rsidRPr="00611F65" w:rsidRDefault="00611F65" w:rsidP="00611F65">
      <w:pPr>
        <w:spacing w:after="0"/>
        <w:rPr>
          <w:sz w:val="28"/>
          <w:szCs w:val="28"/>
        </w:rPr>
      </w:pPr>
      <w:hyperlink r:id="rId10" w:history="1">
        <w:r w:rsidRPr="00611F65">
          <w:rPr>
            <w:rStyle w:val="Hyperlink"/>
            <w:sz w:val="28"/>
            <w:szCs w:val="28"/>
          </w:rPr>
          <w:t>https://www.hra.nhs.uk/information-about-patients/</w:t>
        </w:r>
      </w:hyperlink>
      <w:r w:rsidRPr="00611F65">
        <w:rPr>
          <w:sz w:val="28"/>
          <w:szCs w:val="28"/>
        </w:rPr>
        <w:t xml:space="preserve"> </w:t>
      </w:r>
      <w:r w:rsidRPr="00611F65">
        <w:rPr>
          <w:rStyle w:val="Hyperlink"/>
          <w:sz w:val="28"/>
          <w:szCs w:val="28"/>
        </w:rPr>
        <w:t>(which covers health and care research); and</w:t>
      </w:r>
    </w:p>
    <w:p w:rsidR="00611F65" w:rsidRPr="00611F65" w:rsidRDefault="00611F65" w:rsidP="00611F65">
      <w:pPr>
        <w:spacing w:after="0"/>
        <w:rPr>
          <w:sz w:val="28"/>
          <w:szCs w:val="28"/>
        </w:rPr>
      </w:pPr>
      <w:hyperlink r:id="rId11" w:history="1">
        <w:r w:rsidRPr="00611F65">
          <w:rPr>
            <w:rStyle w:val="Hyperlink"/>
            <w:sz w:val="28"/>
            <w:szCs w:val="28"/>
          </w:rPr>
          <w:t>https://understandingpatientdata.org.uk/what-you-need-know</w:t>
        </w:r>
      </w:hyperlink>
      <w:r w:rsidRPr="00611F65">
        <w:rPr>
          <w:sz w:val="28"/>
          <w:szCs w:val="28"/>
        </w:rPr>
        <w:t xml:space="preserve"> (which covers how and why patient information is used, the safeguards and how decisions are made)</w:t>
      </w:r>
    </w:p>
    <w:p w:rsidR="00611F65" w:rsidRPr="00611F65" w:rsidRDefault="00611F65" w:rsidP="00611F65">
      <w:pPr>
        <w:spacing w:after="0"/>
        <w:rPr>
          <w:sz w:val="28"/>
          <w:szCs w:val="28"/>
        </w:rPr>
      </w:pPr>
    </w:p>
    <w:p w:rsidR="00611F65" w:rsidRPr="00611F65" w:rsidRDefault="00611F65" w:rsidP="00611F65">
      <w:pPr>
        <w:spacing w:after="0"/>
        <w:rPr>
          <w:sz w:val="28"/>
          <w:szCs w:val="28"/>
        </w:rPr>
      </w:pPr>
      <w:r w:rsidRPr="00611F65">
        <w:rPr>
          <w:sz w:val="28"/>
          <w:szCs w:val="28"/>
        </w:rPr>
        <w:t>You can change your mind about your choice at any time.</w:t>
      </w:r>
    </w:p>
    <w:p w:rsidR="00611F65" w:rsidRPr="00611F65" w:rsidRDefault="00611F65" w:rsidP="00611F65">
      <w:pPr>
        <w:spacing w:after="0"/>
        <w:rPr>
          <w:sz w:val="28"/>
          <w:szCs w:val="28"/>
        </w:rPr>
      </w:pPr>
    </w:p>
    <w:p w:rsidR="00611F65" w:rsidRPr="00611F65" w:rsidRDefault="00611F65" w:rsidP="00611F65">
      <w:pPr>
        <w:spacing w:after="0"/>
        <w:rPr>
          <w:sz w:val="28"/>
          <w:szCs w:val="28"/>
        </w:rPr>
      </w:pPr>
      <w:r w:rsidRPr="00611F65">
        <w:rPr>
          <w:sz w:val="28"/>
          <w:szCs w:val="28"/>
        </w:rPr>
        <w:t>Data being used or shared for purposes beyond individual care does not include your data being shared with insurance companies or used for marketing purposes and data would only be used in this way with your specific agreement.</w:t>
      </w:r>
    </w:p>
    <w:p w:rsidR="00611F65" w:rsidRPr="00611F65" w:rsidRDefault="00611F65" w:rsidP="00611F65">
      <w:pPr>
        <w:spacing w:after="0"/>
        <w:rPr>
          <w:sz w:val="28"/>
          <w:szCs w:val="28"/>
        </w:rPr>
      </w:pPr>
    </w:p>
    <w:p w:rsidR="00611F65" w:rsidRPr="00611F65" w:rsidRDefault="00611F65" w:rsidP="00611F65">
      <w:pPr>
        <w:rPr>
          <w:sz w:val="28"/>
          <w:szCs w:val="28"/>
        </w:rPr>
      </w:pPr>
      <w:r w:rsidRPr="00611F65">
        <w:rPr>
          <w:sz w:val="28"/>
          <w:szCs w:val="28"/>
        </w:rPr>
        <w:t>Health and care organisations have until 2020 to put systems and processes in place so they can apply your national data opt-out choice. Our organisation is not currently able to apply your national data opt-out choice to any confidential patient information we may use or share with other organisations for purposes beyond your individual care.</w:t>
      </w:r>
      <w:r>
        <w:rPr>
          <w:sz w:val="28"/>
          <w:szCs w:val="28"/>
        </w:rPr>
        <w:t xml:space="preserve"> You need to contact the National Data Opt Out team.</w:t>
      </w:r>
    </w:p>
    <w:p w:rsidR="007F4D48" w:rsidRPr="00160DC8" w:rsidRDefault="00160DC8" w:rsidP="00160DC8">
      <w:pPr>
        <w:rPr>
          <w:sz w:val="28"/>
          <w:szCs w:val="28"/>
        </w:rPr>
      </w:pPr>
      <w:r w:rsidRPr="00160DC8">
        <w:rPr>
          <w:sz w:val="28"/>
          <w:szCs w:val="28"/>
        </w:rPr>
        <w:t xml:space="preserve">Patients who cannot or do not want to opt-out using an online service can call </w:t>
      </w:r>
      <w:r w:rsidRPr="00160DC8">
        <w:rPr>
          <w:sz w:val="28"/>
          <w:szCs w:val="28"/>
          <w:lang w:val="en-US"/>
        </w:rPr>
        <w:t>a national telephone service</w:t>
      </w:r>
      <w:r w:rsidR="00611F65">
        <w:rPr>
          <w:sz w:val="28"/>
          <w:szCs w:val="28"/>
          <w:lang w:val="en-US"/>
        </w:rPr>
        <w:t xml:space="preserve">. </w:t>
      </w:r>
      <w:r w:rsidRPr="00160DC8">
        <w:rPr>
          <w:sz w:val="28"/>
          <w:szCs w:val="28"/>
        </w:rPr>
        <w:t>The online service is available 24 hours a day, 7 days a week. If you prefer you can make or change your choice through our telephone helpline 0300 303 5678 (calls charged at local rate). The helpline is available 9am to 5pm, Monday to Friday, excluding English bank/ public holidays.</w:t>
      </w:r>
    </w:p>
    <w:p w:rsidR="007F4D48" w:rsidRPr="00160DC8" w:rsidRDefault="00160DC8" w:rsidP="00160DC8">
      <w:pPr>
        <w:rPr>
          <w:sz w:val="28"/>
          <w:szCs w:val="28"/>
        </w:rPr>
      </w:pPr>
      <w:r w:rsidRPr="00160DC8">
        <w:rPr>
          <w:sz w:val="28"/>
          <w:szCs w:val="28"/>
        </w:rPr>
        <w:lastRenderedPageBreak/>
        <w:t xml:space="preserve">*Please note that you will need your NHS number to hand and access to the mobile phone or email which is registered at your GP. If you would prefer to fill out a paper form, you can either download this online at </w:t>
      </w:r>
      <w:hyperlink r:id="rId12" w:history="1">
        <w:r w:rsidRPr="00160DC8">
          <w:rPr>
            <w:rStyle w:val="Hyperlink"/>
            <w:sz w:val="28"/>
            <w:szCs w:val="28"/>
          </w:rPr>
          <w:t>https://www.nhs.uk/your-nhs-data-matters</w:t>
        </w:r>
      </w:hyperlink>
      <w:r w:rsidRPr="00160DC8">
        <w:rPr>
          <w:sz w:val="28"/>
          <w:szCs w:val="28"/>
        </w:rPr>
        <w:t xml:space="preserve"> or you can request one from the national data opt out helpline – this form will be posted to you.*</w:t>
      </w:r>
    </w:p>
    <w:p w:rsidR="007F4D48" w:rsidRPr="00160DC8" w:rsidRDefault="00160DC8" w:rsidP="00160DC8">
      <w:pPr>
        <w:rPr>
          <w:sz w:val="28"/>
          <w:szCs w:val="28"/>
        </w:rPr>
      </w:pPr>
      <w:r w:rsidRPr="00160DC8">
        <w:rPr>
          <w:sz w:val="28"/>
          <w:szCs w:val="28"/>
        </w:rPr>
        <w:t>There will be some exemptions to the national data opt-out. For example</w:t>
      </w:r>
      <w:proofErr w:type="gramStart"/>
      <w:r w:rsidRPr="00160DC8">
        <w:rPr>
          <w:sz w:val="28"/>
          <w:szCs w:val="28"/>
        </w:rPr>
        <w:t>:</w:t>
      </w:r>
      <w:proofErr w:type="gramEnd"/>
      <w:r w:rsidRPr="00160DC8">
        <w:rPr>
          <w:sz w:val="28"/>
          <w:szCs w:val="28"/>
        </w:rPr>
        <w:br/>
        <w:t>• Where there is an overriding public interest for the data to be used (such as an outbreak of meningitis)</w:t>
      </w:r>
      <w:r w:rsidRPr="00160DC8">
        <w:rPr>
          <w:sz w:val="28"/>
          <w:szCs w:val="28"/>
        </w:rPr>
        <w:br/>
        <w:t>• If the law requires it</w:t>
      </w:r>
      <w:r w:rsidRPr="00160DC8">
        <w:rPr>
          <w:sz w:val="28"/>
          <w:szCs w:val="28"/>
        </w:rPr>
        <w:br/>
        <w:t>• If you have specifically given your permission for your data to be used e.g. you have agreed to take part in a clinical trial and medical research project</w:t>
      </w:r>
      <w:r w:rsidRPr="00160DC8">
        <w:rPr>
          <w:sz w:val="28"/>
          <w:szCs w:val="28"/>
        </w:rPr>
        <w:br/>
        <w:t xml:space="preserve">• When data is anonymised. Anonymised data is information from many people combined together so it would not be possible to identify an individual from it.  </w:t>
      </w:r>
    </w:p>
    <w:p w:rsidR="007F4D48" w:rsidRPr="00160DC8" w:rsidRDefault="00160DC8" w:rsidP="00160DC8">
      <w:pPr>
        <w:rPr>
          <w:sz w:val="28"/>
          <w:szCs w:val="28"/>
        </w:rPr>
      </w:pPr>
      <w:r w:rsidRPr="00160DC8">
        <w:rPr>
          <w:sz w:val="28"/>
          <w:szCs w:val="28"/>
        </w:rPr>
        <w:t>More information can be found on the above website.</w:t>
      </w:r>
    </w:p>
    <w:p w:rsidR="007F4D48" w:rsidRPr="00160DC8" w:rsidRDefault="00160DC8" w:rsidP="00160DC8">
      <w:pPr>
        <w:rPr>
          <w:sz w:val="28"/>
          <w:szCs w:val="28"/>
        </w:rPr>
      </w:pPr>
      <w:r w:rsidRPr="00160DC8">
        <w:rPr>
          <w:sz w:val="28"/>
          <w:szCs w:val="28"/>
        </w:rPr>
        <w:t xml:space="preserve">Please be aware it can take up to 21 days from the time you register your opt-out choice before it is processed. It may be sooner but it takes time for </w:t>
      </w:r>
      <w:proofErr w:type="gramStart"/>
      <w:r w:rsidRPr="00160DC8">
        <w:rPr>
          <w:sz w:val="28"/>
          <w:szCs w:val="28"/>
        </w:rPr>
        <w:t>the opt</w:t>
      </w:r>
      <w:proofErr w:type="gramEnd"/>
      <w:r w:rsidRPr="00160DC8">
        <w:rPr>
          <w:sz w:val="28"/>
          <w:szCs w:val="28"/>
        </w:rPr>
        <w:t xml:space="preserve"> out to be registered on all systems. NHS Digital will be applying national data opts from 25 May 2018 however it will take time for other health and care organisations to put in place the technical and procedural changes required to apply opt-outs so other health and care organisations have until 2020 to start applying your national data opt-out.</w:t>
      </w:r>
    </w:p>
    <w:p w:rsidR="007F4D48" w:rsidRPr="00160DC8" w:rsidRDefault="00160DC8" w:rsidP="00160DC8">
      <w:pPr>
        <w:rPr>
          <w:sz w:val="28"/>
          <w:szCs w:val="28"/>
        </w:rPr>
      </w:pPr>
      <w:r w:rsidRPr="00160DC8">
        <w:rPr>
          <w:sz w:val="28"/>
          <w:szCs w:val="28"/>
        </w:rPr>
        <w:t>People with parental responsibility for children under the age of 13 such as parents or legally recognised guardians can set or change an individual’s choice national data opt-out on the child’s behalf. People who have a formal legal relationship with a patient such as someone who has a legal power of attorney or a court appointed deputy can act as a proxy and set or change a national data opt-out on the patient’s behalf.</w:t>
      </w:r>
    </w:p>
    <w:p w:rsidR="00160DC8" w:rsidRPr="00160DC8" w:rsidRDefault="00160DC8">
      <w:pPr>
        <w:rPr>
          <w:sz w:val="28"/>
          <w:szCs w:val="28"/>
        </w:rPr>
      </w:pPr>
      <w:r w:rsidRPr="00160DC8">
        <w:rPr>
          <w:sz w:val="28"/>
          <w:szCs w:val="28"/>
        </w:rPr>
        <w:t xml:space="preserve">To set or change a national data opt-out as a proxy, the person acting as the proxy will need to either download a form (please direct them here </w:t>
      </w:r>
      <w:hyperlink r:id="rId13" w:history="1">
        <w:r w:rsidRPr="00160DC8">
          <w:rPr>
            <w:rStyle w:val="Hyperlink"/>
            <w:sz w:val="28"/>
            <w:szCs w:val="28"/>
          </w:rPr>
          <w:t>https://ndop-m.herokuapp.com/NEXT/00-other-ways-to-manage-your-choice</w:t>
        </w:r>
      </w:hyperlink>
      <w:r w:rsidRPr="00160DC8">
        <w:rPr>
          <w:sz w:val="28"/>
          <w:szCs w:val="28"/>
        </w:rPr>
        <w:t>)</w:t>
      </w:r>
      <w:proofErr w:type="gramStart"/>
      <w:r w:rsidRPr="00160DC8">
        <w:rPr>
          <w:sz w:val="28"/>
          <w:szCs w:val="28"/>
        </w:rPr>
        <w:t>  or</w:t>
      </w:r>
      <w:proofErr w:type="gramEnd"/>
      <w:r w:rsidRPr="00160DC8">
        <w:rPr>
          <w:sz w:val="28"/>
          <w:szCs w:val="28"/>
        </w:rPr>
        <w:t xml:space="preserve"> use the telephone service on 0300 303 5678 to ask for a form to be sent to them in the post. </w:t>
      </w:r>
      <w:bookmarkStart w:id="0" w:name="_GoBack"/>
      <w:bookmarkEnd w:id="0"/>
    </w:p>
    <w:sectPr w:rsidR="00160DC8" w:rsidRPr="00160D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FA5" w:rsidRDefault="00F57FA5" w:rsidP="00611F65">
      <w:pPr>
        <w:spacing w:after="0" w:line="240" w:lineRule="auto"/>
      </w:pPr>
      <w:r>
        <w:separator/>
      </w:r>
    </w:p>
  </w:endnote>
  <w:endnote w:type="continuationSeparator" w:id="0">
    <w:p w:rsidR="00F57FA5" w:rsidRDefault="00F57FA5" w:rsidP="0061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FA5" w:rsidRDefault="00F57FA5" w:rsidP="00611F65">
      <w:pPr>
        <w:spacing w:after="0" w:line="240" w:lineRule="auto"/>
      </w:pPr>
      <w:r>
        <w:separator/>
      </w:r>
    </w:p>
  </w:footnote>
  <w:footnote w:type="continuationSeparator" w:id="0">
    <w:p w:rsidR="00F57FA5" w:rsidRDefault="00F57FA5" w:rsidP="00611F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49139A"/>
    <w:multiLevelType w:val="hybridMultilevel"/>
    <w:tmpl w:val="7E0E7646"/>
    <w:lvl w:ilvl="0" w:tplc="ED8231E4">
      <w:start w:val="1"/>
      <w:numFmt w:val="bullet"/>
      <w:lvlText w:val="•"/>
      <w:lvlJc w:val="left"/>
      <w:pPr>
        <w:tabs>
          <w:tab w:val="num" w:pos="720"/>
        </w:tabs>
        <w:ind w:left="720" w:hanging="360"/>
      </w:pPr>
      <w:rPr>
        <w:rFonts w:ascii="Arial" w:hAnsi="Arial" w:hint="default"/>
      </w:rPr>
    </w:lvl>
    <w:lvl w:ilvl="1" w:tplc="5576E6F2" w:tentative="1">
      <w:start w:val="1"/>
      <w:numFmt w:val="bullet"/>
      <w:lvlText w:val="•"/>
      <w:lvlJc w:val="left"/>
      <w:pPr>
        <w:tabs>
          <w:tab w:val="num" w:pos="1440"/>
        </w:tabs>
        <w:ind w:left="1440" w:hanging="360"/>
      </w:pPr>
      <w:rPr>
        <w:rFonts w:ascii="Arial" w:hAnsi="Arial" w:hint="default"/>
      </w:rPr>
    </w:lvl>
    <w:lvl w:ilvl="2" w:tplc="6E68E8DE" w:tentative="1">
      <w:start w:val="1"/>
      <w:numFmt w:val="bullet"/>
      <w:lvlText w:val="•"/>
      <w:lvlJc w:val="left"/>
      <w:pPr>
        <w:tabs>
          <w:tab w:val="num" w:pos="2160"/>
        </w:tabs>
        <w:ind w:left="2160" w:hanging="360"/>
      </w:pPr>
      <w:rPr>
        <w:rFonts w:ascii="Arial" w:hAnsi="Arial" w:hint="default"/>
      </w:rPr>
    </w:lvl>
    <w:lvl w:ilvl="3" w:tplc="3CD87F3A" w:tentative="1">
      <w:start w:val="1"/>
      <w:numFmt w:val="bullet"/>
      <w:lvlText w:val="•"/>
      <w:lvlJc w:val="left"/>
      <w:pPr>
        <w:tabs>
          <w:tab w:val="num" w:pos="2880"/>
        </w:tabs>
        <w:ind w:left="2880" w:hanging="360"/>
      </w:pPr>
      <w:rPr>
        <w:rFonts w:ascii="Arial" w:hAnsi="Arial" w:hint="default"/>
      </w:rPr>
    </w:lvl>
    <w:lvl w:ilvl="4" w:tplc="528A08B4" w:tentative="1">
      <w:start w:val="1"/>
      <w:numFmt w:val="bullet"/>
      <w:lvlText w:val="•"/>
      <w:lvlJc w:val="left"/>
      <w:pPr>
        <w:tabs>
          <w:tab w:val="num" w:pos="3600"/>
        </w:tabs>
        <w:ind w:left="3600" w:hanging="360"/>
      </w:pPr>
      <w:rPr>
        <w:rFonts w:ascii="Arial" w:hAnsi="Arial" w:hint="default"/>
      </w:rPr>
    </w:lvl>
    <w:lvl w:ilvl="5" w:tplc="2F205284" w:tentative="1">
      <w:start w:val="1"/>
      <w:numFmt w:val="bullet"/>
      <w:lvlText w:val="•"/>
      <w:lvlJc w:val="left"/>
      <w:pPr>
        <w:tabs>
          <w:tab w:val="num" w:pos="4320"/>
        </w:tabs>
        <w:ind w:left="4320" w:hanging="360"/>
      </w:pPr>
      <w:rPr>
        <w:rFonts w:ascii="Arial" w:hAnsi="Arial" w:hint="default"/>
      </w:rPr>
    </w:lvl>
    <w:lvl w:ilvl="6" w:tplc="EB7EE3B4" w:tentative="1">
      <w:start w:val="1"/>
      <w:numFmt w:val="bullet"/>
      <w:lvlText w:val="•"/>
      <w:lvlJc w:val="left"/>
      <w:pPr>
        <w:tabs>
          <w:tab w:val="num" w:pos="5040"/>
        </w:tabs>
        <w:ind w:left="5040" w:hanging="360"/>
      </w:pPr>
      <w:rPr>
        <w:rFonts w:ascii="Arial" w:hAnsi="Arial" w:hint="default"/>
      </w:rPr>
    </w:lvl>
    <w:lvl w:ilvl="7" w:tplc="00A06784" w:tentative="1">
      <w:start w:val="1"/>
      <w:numFmt w:val="bullet"/>
      <w:lvlText w:val="•"/>
      <w:lvlJc w:val="left"/>
      <w:pPr>
        <w:tabs>
          <w:tab w:val="num" w:pos="5760"/>
        </w:tabs>
        <w:ind w:left="5760" w:hanging="360"/>
      </w:pPr>
      <w:rPr>
        <w:rFonts w:ascii="Arial" w:hAnsi="Arial" w:hint="default"/>
      </w:rPr>
    </w:lvl>
    <w:lvl w:ilvl="8" w:tplc="CDA61434" w:tentative="1">
      <w:start w:val="1"/>
      <w:numFmt w:val="bullet"/>
      <w:lvlText w:val="•"/>
      <w:lvlJc w:val="left"/>
      <w:pPr>
        <w:tabs>
          <w:tab w:val="num" w:pos="6480"/>
        </w:tabs>
        <w:ind w:left="6480" w:hanging="360"/>
      </w:pPr>
      <w:rPr>
        <w:rFonts w:ascii="Arial" w:hAnsi="Arial" w:hint="default"/>
      </w:rPr>
    </w:lvl>
  </w:abstractNum>
  <w:abstractNum w:abstractNumId="2">
    <w:nsid w:val="102D3C2E"/>
    <w:multiLevelType w:val="hybridMultilevel"/>
    <w:tmpl w:val="CA6E6154"/>
    <w:lvl w:ilvl="0" w:tplc="32FC4736">
      <w:start w:val="1"/>
      <w:numFmt w:val="bullet"/>
      <w:lvlText w:val="•"/>
      <w:lvlJc w:val="left"/>
      <w:pPr>
        <w:tabs>
          <w:tab w:val="num" w:pos="720"/>
        </w:tabs>
        <w:ind w:left="720" w:hanging="360"/>
      </w:pPr>
      <w:rPr>
        <w:rFonts w:ascii="Arial" w:hAnsi="Arial" w:hint="default"/>
      </w:rPr>
    </w:lvl>
    <w:lvl w:ilvl="1" w:tplc="4BF08784" w:tentative="1">
      <w:start w:val="1"/>
      <w:numFmt w:val="bullet"/>
      <w:lvlText w:val="•"/>
      <w:lvlJc w:val="left"/>
      <w:pPr>
        <w:tabs>
          <w:tab w:val="num" w:pos="1440"/>
        </w:tabs>
        <w:ind w:left="1440" w:hanging="360"/>
      </w:pPr>
      <w:rPr>
        <w:rFonts w:ascii="Arial" w:hAnsi="Arial" w:hint="default"/>
      </w:rPr>
    </w:lvl>
    <w:lvl w:ilvl="2" w:tplc="5F5CCB9A" w:tentative="1">
      <w:start w:val="1"/>
      <w:numFmt w:val="bullet"/>
      <w:lvlText w:val="•"/>
      <w:lvlJc w:val="left"/>
      <w:pPr>
        <w:tabs>
          <w:tab w:val="num" w:pos="2160"/>
        </w:tabs>
        <w:ind w:left="2160" w:hanging="360"/>
      </w:pPr>
      <w:rPr>
        <w:rFonts w:ascii="Arial" w:hAnsi="Arial" w:hint="default"/>
      </w:rPr>
    </w:lvl>
    <w:lvl w:ilvl="3" w:tplc="7456A5FC" w:tentative="1">
      <w:start w:val="1"/>
      <w:numFmt w:val="bullet"/>
      <w:lvlText w:val="•"/>
      <w:lvlJc w:val="left"/>
      <w:pPr>
        <w:tabs>
          <w:tab w:val="num" w:pos="2880"/>
        </w:tabs>
        <w:ind w:left="2880" w:hanging="360"/>
      </w:pPr>
      <w:rPr>
        <w:rFonts w:ascii="Arial" w:hAnsi="Arial" w:hint="default"/>
      </w:rPr>
    </w:lvl>
    <w:lvl w:ilvl="4" w:tplc="57363A60" w:tentative="1">
      <w:start w:val="1"/>
      <w:numFmt w:val="bullet"/>
      <w:lvlText w:val="•"/>
      <w:lvlJc w:val="left"/>
      <w:pPr>
        <w:tabs>
          <w:tab w:val="num" w:pos="3600"/>
        </w:tabs>
        <w:ind w:left="3600" w:hanging="360"/>
      </w:pPr>
      <w:rPr>
        <w:rFonts w:ascii="Arial" w:hAnsi="Arial" w:hint="default"/>
      </w:rPr>
    </w:lvl>
    <w:lvl w:ilvl="5" w:tplc="C57005E4" w:tentative="1">
      <w:start w:val="1"/>
      <w:numFmt w:val="bullet"/>
      <w:lvlText w:val="•"/>
      <w:lvlJc w:val="left"/>
      <w:pPr>
        <w:tabs>
          <w:tab w:val="num" w:pos="4320"/>
        </w:tabs>
        <w:ind w:left="4320" w:hanging="360"/>
      </w:pPr>
      <w:rPr>
        <w:rFonts w:ascii="Arial" w:hAnsi="Arial" w:hint="default"/>
      </w:rPr>
    </w:lvl>
    <w:lvl w:ilvl="6" w:tplc="6C3A60F0" w:tentative="1">
      <w:start w:val="1"/>
      <w:numFmt w:val="bullet"/>
      <w:lvlText w:val="•"/>
      <w:lvlJc w:val="left"/>
      <w:pPr>
        <w:tabs>
          <w:tab w:val="num" w:pos="5040"/>
        </w:tabs>
        <w:ind w:left="5040" w:hanging="360"/>
      </w:pPr>
      <w:rPr>
        <w:rFonts w:ascii="Arial" w:hAnsi="Arial" w:hint="default"/>
      </w:rPr>
    </w:lvl>
    <w:lvl w:ilvl="7" w:tplc="74927764" w:tentative="1">
      <w:start w:val="1"/>
      <w:numFmt w:val="bullet"/>
      <w:lvlText w:val="•"/>
      <w:lvlJc w:val="left"/>
      <w:pPr>
        <w:tabs>
          <w:tab w:val="num" w:pos="5760"/>
        </w:tabs>
        <w:ind w:left="5760" w:hanging="360"/>
      </w:pPr>
      <w:rPr>
        <w:rFonts w:ascii="Arial" w:hAnsi="Arial" w:hint="default"/>
      </w:rPr>
    </w:lvl>
    <w:lvl w:ilvl="8" w:tplc="91D2A1D6" w:tentative="1">
      <w:start w:val="1"/>
      <w:numFmt w:val="bullet"/>
      <w:lvlText w:val="•"/>
      <w:lvlJc w:val="left"/>
      <w:pPr>
        <w:tabs>
          <w:tab w:val="num" w:pos="6480"/>
        </w:tabs>
        <w:ind w:left="6480" w:hanging="360"/>
      </w:pPr>
      <w:rPr>
        <w:rFonts w:ascii="Arial" w:hAnsi="Arial" w:hint="default"/>
      </w:rPr>
    </w:lvl>
  </w:abstractNum>
  <w:abstractNum w:abstractNumId="3">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E06E19"/>
    <w:multiLevelType w:val="hybridMultilevel"/>
    <w:tmpl w:val="19EE4858"/>
    <w:lvl w:ilvl="0" w:tplc="C3CE72C6">
      <w:start w:val="1"/>
      <w:numFmt w:val="bullet"/>
      <w:lvlText w:val="•"/>
      <w:lvlJc w:val="left"/>
      <w:pPr>
        <w:tabs>
          <w:tab w:val="num" w:pos="720"/>
        </w:tabs>
        <w:ind w:left="720" w:hanging="360"/>
      </w:pPr>
      <w:rPr>
        <w:rFonts w:ascii="Arial" w:hAnsi="Arial" w:hint="default"/>
      </w:rPr>
    </w:lvl>
    <w:lvl w:ilvl="1" w:tplc="8A14A524" w:tentative="1">
      <w:start w:val="1"/>
      <w:numFmt w:val="bullet"/>
      <w:lvlText w:val="•"/>
      <w:lvlJc w:val="left"/>
      <w:pPr>
        <w:tabs>
          <w:tab w:val="num" w:pos="1440"/>
        </w:tabs>
        <w:ind w:left="1440" w:hanging="360"/>
      </w:pPr>
      <w:rPr>
        <w:rFonts w:ascii="Arial" w:hAnsi="Arial" w:hint="default"/>
      </w:rPr>
    </w:lvl>
    <w:lvl w:ilvl="2" w:tplc="F64EB310" w:tentative="1">
      <w:start w:val="1"/>
      <w:numFmt w:val="bullet"/>
      <w:lvlText w:val="•"/>
      <w:lvlJc w:val="left"/>
      <w:pPr>
        <w:tabs>
          <w:tab w:val="num" w:pos="2160"/>
        </w:tabs>
        <w:ind w:left="2160" w:hanging="360"/>
      </w:pPr>
      <w:rPr>
        <w:rFonts w:ascii="Arial" w:hAnsi="Arial" w:hint="default"/>
      </w:rPr>
    </w:lvl>
    <w:lvl w:ilvl="3" w:tplc="08DC3A8C" w:tentative="1">
      <w:start w:val="1"/>
      <w:numFmt w:val="bullet"/>
      <w:lvlText w:val="•"/>
      <w:lvlJc w:val="left"/>
      <w:pPr>
        <w:tabs>
          <w:tab w:val="num" w:pos="2880"/>
        </w:tabs>
        <w:ind w:left="2880" w:hanging="360"/>
      </w:pPr>
      <w:rPr>
        <w:rFonts w:ascii="Arial" w:hAnsi="Arial" w:hint="default"/>
      </w:rPr>
    </w:lvl>
    <w:lvl w:ilvl="4" w:tplc="91D89C7E" w:tentative="1">
      <w:start w:val="1"/>
      <w:numFmt w:val="bullet"/>
      <w:lvlText w:val="•"/>
      <w:lvlJc w:val="left"/>
      <w:pPr>
        <w:tabs>
          <w:tab w:val="num" w:pos="3600"/>
        </w:tabs>
        <w:ind w:left="3600" w:hanging="360"/>
      </w:pPr>
      <w:rPr>
        <w:rFonts w:ascii="Arial" w:hAnsi="Arial" w:hint="default"/>
      </w:rPr>
    </w:lvl>
    <w:lvl w:ilvl="5" w:tplc="F904B0A2" w:tentative="1">
      <w:start w:val="1"/>
      <w:numFmt w:val="bullet"/>
      <w:lvlText w:val="•"/>
      <w:lvlJc w:val="left"/>
      <w:pPr>
        <w:tabs>
          <w:tab w:val="num" w:pos="4320"/>
        </w:tabs>
        <w:ind w:left="4320" w:hanging="360"/>
      </w:pPr>
      <w:rPr>
        <w:rFonts w:ascii="Arial" w:hAnsi="Arial" w:hint="default"/>
      </w:rPr>
    </w:lvl>
    <w:lvl w:ilvl="6" w:tplc="C9E2643C" w:tentative="1">
      <w:start w:val="1"/>
      <w:numFmt w:val="bullet"/>
      <w:lvlText w:val="•"/>
      <w:lvlJc w:val="left"/>
      <w:pPr>
        <w:tabs>
          <w:tab w:val="num" w:pos="5040"/>
        </w:tabs>
        <w:ind w:left="5040" w:hanging="360"/>
      </w:pPr>
      <w:rPr>
        <w:rFonts w:ascii="Arial" w:hAnsi="Arial" w:hint="default"/>
      </w:rPr>
    </w:lvl>
    <w:lvl w:ilvl="7" w:tplc="E4C4EAEC" w:tentative="1">
      <w:start w:val="1"/>
      <w:numFmt w:val="bullet"/>
      <w:lvlText w:val="•"/>
      <w:lvlJc w:val="left"/>
      <w:pPr>
        <w:tabs>
          <w:tab w:val="num" w:pos="5760"/>
        </w:tabs>
        <w:ind w:left="5760" w:hanging="360"/>
      </w:pPr>
      <w:rPr>
        <w:rFonts w:ascii="Arial" w:hAnsi="Arial" w:hint="default"/>
      </w:rPr>
    </w:lvl>
    <w:lvl w:ilvl="8" w:tplc="0C08DF24" w:tentative="1">
      <w:start w:val="1"/>
      <w:numFmt w:val="bullet"/>
      <w:lvlText w:val="•"/>
      <w:lvlJc w:val="left"/>
      <w:pPr>
        <w:tabs>
          <w:tab w:val="num" w:pos="6480"/>
        </w:tabs>
        <w:ind w:left="6480" w:hanging="360"/>
      </w:pPr>
      <w:rPr>
        <w:rFonts w:ascii="Arial" w:hAnsi="Arial" w:hint="default"/>
      </w:rPr>
    </w:lvl>
  </w:abstractNum>
  <w:abstractNum w:abstractNumId="5">
    <w:nsid w:val="657C1341"/>
    <w:multiLevelType w:val="hybridMultilevel"/>
    <w:tmpl w:val="A502BF6A"/>
    <w:lvl w:ilvl="0" w:tplc="CD142364">
      <w:start w:val="1"/>
      <w:numFmt w:val="bullet"/>
      <w:lvlText w:val="•"/>
      <w:lvlJc w:val="left"/>
      <w:pPr>
        <w:tabs>
          <w:tab w:val="num" w:pos="720"/>
        </w:tabs>
        <w:ind w:left="720" w:hanging="360"/>
      </w:pPr>
      <w:rPr>
        <w:rFonts w:ascii="Arial" w:hAnsi="Arial" w:hint="default"/>
      </w:rPr>
    </w:lvl>
    <w:lvl w:ilvl="1" w:tplc="1D4E838A" w:tentative="1">
      <w:start w:val="1"/>
      <w:numFmt w:val="bullet"/>
      <w:lvlText w:val="•"/>
      <w:lvlJc w:val="left"/>
      <w:pPr>
        <w:tabs>
          <w:tab w:val="num" w:pos="1440"/>
        </w:tabs>
        <w:ind w:left="1440" w:hanging="360"/>
      </w:pPr>
      <w:rPr>
        <w:rFonts w:ascii="Arial" w:hAnsi="Arial" w:hint="default"/>
      </w:rPr>
    </w:lvl>
    <w:lvl w:ilvl="2" w:tplc="AF26B14C" w:tentative="1">
      <w:start w:val="1"/>
      <w:numFmt w:val="bullet"/>
      <w:lvlText w:val="•"/>
      <w:lvlJc w:val="left"/>
      <w:pPr>
        <w:tabs>
          <w:tab w:val="num" w:pos="2160"/>
        </w:tabs>
        <w:ind w:left="2160" w:hanging="360"/>
      </w:pPr>
      <w:rPr>
        <w:rFonts w:ascii="Arial" w:hAnsi="Arial" w:hint="default"/>
      </w:rPr>
    </w:lvl>
    <w:lvl w:ilvl="3" w:tplc="3560FD8E" w:tentative="1">
      <w:start w:val="1"/>
      <w:numFmt w:val="bullet"/>
      <w:lvlText w:val="•"/>
      <w:lvlJc w:val="left"/>
      <w:pPr>
        <w:tabs>
          <w:tab w:val="num" w:pos="2880"/>
        </w:tabs>
        <w:ind w:left="2880" w:hanging="360"/>
      </w:pPr>
      <w:rPr>
        <w:rFonts w:ascii="Arial" w:hAnsi="Arial" w:hint="default"/>
      </w:rPr>
    </w:lvl>
    <w:lvl w:ilvl="4" w:tplc="D15C751C" w:tentative="1">
      <w:start w:val="1"/>
      <w:numFmt w:val="bullet"/>
      <w:lvlText w:val="•"/>
      <w:lvlJc w:val="left"/>
      <w:pPr>
        <w:tabs>
          <w:tab w:val="num" w:pos="3600"/>
        </w:tabs>
        <w:ind w:left="3600" w:hanging="360"/>
      </w:pPr>
      <w:rPr>
        <w:rFonts w:ascii="Arial" w:hAnsi="Arial" w:hint="default"/>
      </w:rPr>
    </w:lvl>
    <w:lvl w:ilvl="5" w:tplc="436E3014" w:tentative="1">
      <w:start w:val="1"/>
      <w:numFmt w:val="bullet"/>
      <w:lvlText w:val="•"/>
      <w:lvlJc w:val="left"/>
      <w:pPr>
        <w:tabs>
          <w:tab w:val="num" w:pos="4320"/>
        </w:tabs>
        <w:ind w:left="4320" w:hanging="360"/>
      </w:pPr>
      <w:rPr>
        <w:rFonts w:ascii="Arial" w:hAnsi="Arial" w:hint="default"/>
      </w:rPr>
    </w:lvl>
    <w:lvl w:ilvl="6" w:tplc="E86C3258" w:tentative="1">
      <w:start w:val="1"/>
      <w:numFmt w:val="bullet"/>
      <w:lvlText w:val="•"/>
      <w:lvlJc w:val="left"/>
      <w:pPr>
        <w:tabs>
          <w:tab w:val="num" w:pos="5040"/>
        </w:tabs>
        <w:ind w:left="5040" w:hanging="360"/>
      </w:pPr>
      <w:rPr>
        <w:rFonts w:ascii="Arial" w:hAnsi="Arial" w:hint="default"/>
      </w:rPr>
    </w:lvl>
    <w:lvl w:ilvl="7" w:tplc="A56474FE" w:tentative="1">
      <w:start w:val="1"/>
      <w:numFmt w:val="bullet"/>
      <w:lvlText w:val="•"/>
      <w:lvlJc w:val="left"/>
      <w:pPr>
        <w:tabs>
          <w:tab w:val="num" w:pos="5760"/>
        </w:tabs>
        <w:ind w:left="5760" w:hanging="360"/>
      </w:pPr>
      <w:rPr>
        <w:rFonts w:ascii="Arial" w:hAnsi="Arial" w:hint="default"/>
      </w:rPr>
    </w:lvl>
    <w:lvl w:ilvl="8" w:tplc="B9E8A6DE" w:tentative="1">
      <w:start w:val="1"/>
      <w:numFmt w:val="bullet"/>
      <w:lvlText w:val="•"/>
      <w:lvlJc w:val="left"/>
      <w:pPr>
        <w:tabs>
          <w:tab w:val="num" w:pos="6480"/>
        </w:tabs>
        <w:ind w:left="6480" w:hanging="360"/>
      </w:pPr>
      <w:rPr>
        <w:rFonts w:ascii="Arial" w:hAnsi="Arial" w:hint="default"/>
      </w:rPr>
    </w:lvl>
  </w:abstractNum>
  <w:abstractNum w:abstractNumId="6">
    <w:nsid w:val="79A327DA"/>
    <w:multiLevelType w:val="hybridMultilevel"/>
    <w:tmpl w:val="3EC2EA56"/>
    <w:lvl w:ilvl="0" w:tplc="8D2AF148">
      <w:start w:val="1"/>
      <w:numFmt w:val="bullet"/>
      <w:lvlText w:val="•"/>
      <w:lvlJc w:val="left"/>
      <w:pPr>
        <w:tabs>
          <w:tab w:val="num" w:pos="720"/>
        </w:tabs>
        <w:ind w:left="720" w:hanging="360"/>
      </w:pPr>
      <w:rPr>
        <w:rFonts w:ascii="Arial" w:hAnsi="Arial" w:hint="default"/>
      </w:rPr>
    </w:lvl>
    <w:lvl w:ilvl="1" w:tplc="0824C47E" w:tentative="1">
      <w:start w:val="1"/>
      <w:numFmt w:val="bullet"/>
      <w:lvlText w:val="•"/>
      <w:lvlJc w:val="left"/>
      <w:pPr>
        <w:tabs>
          <w:tab w:val="num" w:pos="1440"/>
        </w:tabs>
        <w:ind w:left="1440" w:hanging="360"/>
      </w:pPr>
      <w:rPr>
        <w:rFonts w:ascii="Arial" w:hAnsi="Arial" w:hint="default"/>
      </w:rPr>
    </w:lvl>
    <w:lvl w:ilvl="2" w:tplc="B288B33E" w:tentative="1">
      <w:start w:val="1"/>
      <w:numFmt w:val="bullet"/>
      <w:lvlText w:val="•"/>
      <w:lvlJc w:val="left"/>
      <w:pPr>
        <w:tabs>
          <w:tab w:val="num" w:pos="2160"/>
        </w:tabs>
        <w:ind w:left="2160" w:hanging="360"/>
      </w:pPr>
      <w:rPr>
        <w:rFonts w:ascii="Arial" w:hAnsi="Arial" w:hint="default"/>
      </w:rPr>
    </w:lvl>
    <w:lvl w:ilvl="3" w:tplc="0270BD68" w:tentative="1">
      <w:start w:val="1"/>
      <w:numFmt w:val="bullet"/>
      <w:lvlText w:val="•"/>
      <w:lvlJc w:val="left"/>
      <w:pPr>
        <w:tabs>
          <w:tab w:val="num" w:pos="2880"/>
        </w:tabs>
        <w:ind w:left="2880" w:hanging="360"/>
      </w:pPr>
      <w:rPr>
        <w:rFonts w:ascii="Arial" w:hAnsi="Arial" w:hint="default"/>
      </w:rPr>
    </w:lvl>
    <w:lvl w:ilvl="4" w:tplc="FA2C1716" w:tentative="1">
      <w:start w:val="1"/>
      <w:numFmt w:val="bullet"/>
      <w:lvlText w:val="•"/>
      <w:lvlJc w:val="left"/>
      <w:pPr>
        <w:tabs>
          <w:tab w:val="num" w:pos="3600"/>
        </w:tabs>
        <w:ind w:left="3600" w:hanging="360"/>
      </w:pPr>
      <w:rPr>
        <w:rFonts w:ascii="Arial" w:hAnsi="Arial" w:hint="default"/>
      </w:rPr>
    </w:lvl>
    <w:lvl w:ilvl="5" w:tplc="FBBE3948" w:tentative="1">
      <w:start w:val="1"/>
      <w:numFmt w:val="bullet"/>
      <w:lvlText w:val="•"/>
      <w:lvlJc w:val="left"/>
      <w:pPr>
        <w:tabs>
          <w:tab w:val="num" w:pos="4320"/>
        </w:tabs>
        <w:ind w:left="4320" w:hanging="360"/>
      </w:pPr>
      <w:rPr>
        <w:rFonts w:ascii="Arial" w:hAnsi="Arial" w:hint="default"/>
      </w:rPr>
    </w:lvl>
    <w:lvl w:ilvl="6" w:tplc="00A4D398" w:tentative="1">
      <w:start w:val="1"/>
      <w:numFmt w:val="bullet"/>
      <w:lvlText w:val="•"/>
      <w:lvlJc w:val="left"/>
      <w:pPr>
        <w:tabs>
          <w:tab w:val="num" w:pos="5040"/>
        </w:tabs>
        <w:ind w:left="5040" w:hanging="360"/>
      </w:pPr>
      <w:rPr>
        <w:rFonts w:ascii="Arial" w:hAnsi="Arial" w:hint="default"/>
      </w:rPr>
    </w:lvl>
    <w:lvl w:ilvl="7" w:tplc="050E5B8A" w:tentative="1">
      <w:start w:val="1"/>
      <w:numFmt w:val="bullet"/>
      <w:lvlText w:val="•"/>
      <w:lvlJc w:val="left"/>
      <w:pPr>
        <w:tabs>
          <w:tab w:val="num" w:pos="5760"/>
        </w:tabs>
        <w:ind w:left="5760" w:hanging="360"/>
      </w:pPr>
      <w:rPr>
        <w:rFonts w:ascii="Arial" w:hAnsi="Arial" w:hint="default"/>
      </w:rPr>
    </w:lvl>
    <w:lvl w:ilvl="8" w:tplc="315E28E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DC8"/>
    <w:rsid w:val="00160DC8"/>
    <w:rsid w:val="00181D6B"/>
    <w:rsid w:val="00611F65"/>
    <w:rsid w:val="007F4D48"/>
    <w:rsid w:val="00F57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0DC8"/>
    <w:rPr>
      <w:color w:val="0000FF" w:themeColor="hyperlink"/>
      <w:u w:val="single"/>
    </w:rPr>
  </w:style>
  <w:style w:type="paragraph" w:styleId="FootnoteText">
    <w:name w:val="footnote text"/>
    <w:basedOn w:val="Normal"/>
    <w:link w:val="FootnoteTextChar"/>
    <w:uiPriority w:val="99"/>
    <w:semiHidden/>
    <w:unhideWhenUsed/>
    <w:rsid w:val="00611F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1F65"/>
    <w:rPr>
      <w:sz w:val="20"/>
      <w:szCs w:val="20"/>
    </w:rPr>
  </w:style>
  <w:style w:type="character" w:styleId="FootnoteReference">
    <w:name w:val="footnote reference"/>
    <w:basedOn w:val="DefaultParagraphFont"/>
    <w:uiPriority w:val="99"/>
    <w:semiHidden/>
    <w:unhideWhenUsed/>
    <w:rsid w:val="00611F65"/>
    <w:rPr>
      <w:vertAlign w:val="superscript"/>
    </w:rPr>
  </w:style>
  <w:style w:type="paragraph" w:styleId="ListParagraph">
    <w:name w:val="List Paragraph"/>
    <w:basedOn w:val="Normal"/>
    <w:uiPriority w:val="34"/>
    <w:qFormat/>
    <w:rsid w:val="00611F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0DC8"/>
    <w:rPr>
      <w:color w:val="0000FF" w:themeColor="hyperlink"/>
      <w:u w:val="single"/>
    </w:rPr>
  </w:style>
  <w:style w:type="paragraph" w:styleId="FootnoteText">
    <w:name w:val="footnote text"/>
    <w:basedOn w:val="Normal"/>
    <w:link w:val="FootnoteTextChar"/>
    <w:uiPriority w:val="99"/>
    <w:semiHidden/>
    <w:unhideWhenUsed/>
    <w:rsid w:val="00611F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1F65"/>
    <w:rPr>
      <w:sz w:val="20"/>
      <w:szCs w:val="20"/>
    </w:rPr>
  </w:style>
  <w:style w:type="character" w:styleId="FootnoteReference">
    <w:name w:val="footnote reference"/>
    <w:basedOn w:val="DefaultParagraphFont"/>
    <w:uiPriority w:val="99"/>
    <w:semiHidden/>
    <w:unhideWhenUsed/>
    <w:rsid w:val="00611F65"/>
    <w:rPr>
      <w:vertAlign w:val="superscript"/>
    </w:rPr>
  </w:style>
  <w:style w:type="paragraph" w:styleId="ListParagraph">
    <w:name w:val="List Paragraph"/>
    <w:basedOn w:val="Normal"/>
    <w:uiPriority w:val="34"/>
    <w:qFormat/>
    <w:rsid w:val="00611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586914">
      <w:bodyDiv w:val="1"/>
      <w:marLeft w:val="0"/>
      <w:marRight w:val="0"/>
      <w:marTop w:val="0"/>
      <w:marBottom w:val="0"/>
      <w:divBdr>
        <w:top w:val="none" w:sz="0" w:space="0" w:color="auto"/>
        <w:left w:val="none" w:sz="0" w:space="0" w:color="auto"/>
        <w:bottom w:val="none" w:sz="0" w:space="0" w:color="auto"/>
        <w:right w:val="none" w:sz="0" w:space="0" w:color="auto"/>
      </w:divBdr>
      <w:divsChild>
        <w:div w:id="1550342231">
          <w:marLeft w:val="547"/>
          <w:marRight w:val="0"/>
          <w:marTop w:val="77"/>
          <w:marBottom w:val="0"/>
          <w:divBdr>
            <w:top w:val="none" w:sz="0" w:space="0" w:color="auto"/>
            <w:left w:val="none" w:sz="0" w:space="0" w:color="auto"/>
            <w:bottom w:val="none" w:sz="0" w:space="0" w:color="auto"/>
            <w:right w:val="none" w:sz="0" w:space="0" w:color="auto"/>
          </w:divBdr>
        </w:div>
        <w:div w:id="1555966997">
          <w:marLeft w:val="547"/>
          <w:marRight w:val="0"/>
          <w:marTop w:val="77"/>
          <w:marBottom w:val="0"/>
          <w:divBdr>
            <w:top w:val="none" w:sz="0" w:space="0" w:color="auto"/>
            <w:left w:val="none" w:sz="0" w:space="0" w:color="auto"/>
            <w:bottom w:val="none" w:sz="0" w:space="0" w:color="auto"/>
            <w:right w:val="none" w:sz="0" w:space="0" w:color="auto"/>
          </w:divBdr>
        </w:div>
      </w:divsChild>
    </w:div>
    <w:div w:id="1577593823">
      <w:bodyDiv w:val="1"/>
      <w:marLeft w:val="0"/>
      <w:marRight w:val="0"/>
      <w:marTop w:val="0"/>
      <w:marBottom w:val="0"/>
      <w:divBdr>
        <w:top w:val="none" w:sz="0" w:space="0" w:color="auto"/>
        <w:left w:val="none" w:sz="0" w:space="0" w:color="auto"/>
        <w:bottom w:val="none" w:sz="0" w:space="0" w:color="auto"/>
        <w:right w:val="none" w:sz="0" w:space="0" w:color="auto"/>
      </w:divBdr>
      <w:divsChild>
        <w:div w:id="395706739">
          <w:marLeft w:val="547"/>
          <w:marRight w:val="0"/>
          <w:marTop w:val="96"/>
          <w:marBottom w:val="10"/>
          <w:divBdr>
            <w:top w:val="none" w:sz="0" w:space="0" w:color="auto"/>
            <w:left w:val="none" w:sz="0" w:space="0" w:color="auto"/>
            <w:bottom w:val="none" w:sz="0" w:space="0" w:color="auto"/>
            <w:right w:val="none" w:sz="0" w:space="0" w:color="auto"/>
          </w:divBdr>
        </w:div>
        <w:div w:id="1857498142">
          <w:marLeft w:val="547"/>
          <w:marRight w:val="0"/>
          <w:marTop w:val="91"/>
          <w:marBottom w:val="10"/>
          <w:divBdr>
            <w:top w:val="none" w:sz="0" w:space="0" w:color="auto"/>
            <w:left w:val="none" w:sz="0" w:space="0" w:color="auto"/>
            <w:bottom w:val="none" w:sz="0" w:space="0" w:color="auto"/>
            <w:right w:val="none" w:sz="0" w:space="0" w:color="auto"/>
          </w:divBdr>
        </w:div>
        <w:div w:id="188422308">
          <w:marLeft w:val="547"/>
          <w:marRight w:val="0"/>
          <w:marTop w:val="96"/>
          <w:marBottom w:val="10"/>
          <w:divBdr>
            <w:top w:val="none" w:sz="0" w:space="0" w:color="auto"/>
            <w:left w:val="none" w:sz="0" w:space="0" w:color="auto"/>
            <w:bottom w:val="none" w:sz="0" w:space="0" w:color="auto"/>
            <w:right w:val="none" w:sz="0" w:space="0" w:color="auto"/>
          </w:divBdr>
        </w:div>
        <w:div w:id="1966227019">
          <w:marLeft w:val="547"/>
          <w:marRight w:val="0"/>
          <w:marTop w:val="96"/>
          <w:marBottom w:val="10"/>
          <w:divBdr>
            <w:top w:val="none" w:sz="0" w:space="0" w:color="auto"/>
            <w:left w:val="none" w:sz="0" w:space="0" w:color="auto"/>
            <w:bottom w:val="none" w:sz="0" w:space="0" w:color="auto"/>
            <w:right w:val="none" w:sz="0" w:space="0" w:color="auto"/>
          </w:divBdr>
        </w:div>
      </w:divsChild>
    </w:div>
    <w:div w:id="1663048672">
      <w:bodyDiv w:val="1"/>
      <w:marLeft w:val="0"/>
      <w:marRight w:val="0"/>
      <w:marTop w:val="0"/>
      <w:marBottom w:val="0"/>
      <w:divBdr>
        <w:top w:val="none" w:sz="0" w:space="0" w:color="auto"/>
        <w:left w:val="none" w:sz="0" w:space="0" w:color="auto"/>
        <w:bottom w:val="none" w:sz="0" w:space="0" w:color="auto"/>
        <w:right w:val="none" w:sz="0" w:space="0" w:color="auto"/>
      </w:divBdr>
    </w:div>
    <w:div w:id="1838574562">
      <w:bodyDiv w:val="1"/>
      <w:marLeft w:val="0"/>
      <w:marRight w:val="0"/>
      <w:marTop w:val="0"/>
      <w:marBottom w:val="0"/>
      <w:divBdr>
        <w:top w:val="none" w:sz="0" w:space="0" w:color="auto"/>
        <w:left w:val="none" w:sz="0" w:space="0" w:color="auto"/>
        <w:bottom w:val="none" w:sz="0" w:space="0" w:color="auto"/>
        <w:right w:val="none" w:sz="0" w:space="0" w:color="auto"/>
      </w:divBdr>
      <w:divsChild>
        <w:div w:id="1718167082">
          <w:marLeft w:val="547"/>
          <w:marRight w:val="0"/>
          <w:marTop w:val="115"/>
          <w:marBottom w:val="0"/>
          <w:divBdr>
            <w:top w:val="none" w:sz="0" w:space="0" w:color="auto"/>
            <w:left w:val="none" w:sz="0" w:space="0" w:color="auto"/>
            <w:bottom w:val="none" w:sz="0" w:space="0" w:color="auto"/>
            <w:right w:val="none" w:sz="0" w:space="0" w:color="auto"/>
          </w:divBdr>
        </w:div>
        <w:div w:id="600257209">
          <w:marLeft w:val="547"/>
          <w:marRight w:val="0"/>
          <w:marTop w:val="115"/>
          <w:marBottom w:val="0"/>
          <w:divBdr>
            <w:top w:val="none" w:sz="0" w:space="0" w:color="auto"/>
            <w:left w:val="none" w:sz="0" w:space="0" w:color="auto"/>
            <w:bottom w:val="none" w:sz="0" w:space="0" w:color="auto"/>
            <w:right w:val="none" w:sz="0" w:space="0" w:color="auto"/>
          </w:divBdr>
        </w:div>
      </w:divsChild>
    </w:div>
    <w:div w:id="1951858906">
      <w:bodyDiv w:val="1"/>
      <w:marLeft w:val="0"/>
      <w:marRight w:val="0"/>
      <w:marTop w:val="0"/>
      <w:marBottom w:val="0"/>
      <w:divBdr>
        <w:top w:val="none" w:sz="0" w:space="0" w:color="auto"/>
        <w:left w:val="none" w:sz="0" w:space="0" w:color="auto"/>
        <w:bottom w:val="none" w:sz="0" w:space="0" w:color="auto"/>
        <w:right w:val="none" w:sz="0" w:space="0" w:color="auto"/>
      </w:divBdr>
      <w:divsChild>
        <w:div w:id="417137236">
          <w:marLeft w:val="547"/>
          <w:marRight w:val="0"/>
          <w:marTop w:val="72"/>
          <w:marBottom w:val="0"/>
          <w:divBdr>
            <w:top w:val="none" w:sz="0" w:space="0" w:color="auto"/>
            <w:left w:val="none" w:sz="0" w:space="0" w:color="auto"/>
            <w:bottom w:val="none" w:sz="0" w:space="0" w:color="auto"/>
            <w:right w:val="none" w:sz="0" w:space="0" w:color="auto"/>
          </w:divBdr>
        </w:div>
        <w:div w:id="103113644">
          <w:marLeft w:val="547"/>
          <w:marRight w:val="0"/>
          <w:marTop w:val="72"/>
          <w:marBottom w:val="0"/>
          <w:divBdr>
            <w:top w:val="none" w:sz="0" w:space="0" w:color="auto"/>
            <w:left w:val="none" w:sz="0" w:space="0" w:color="auto"/>
            <w:bottom w:val="none" w:sz="0" w:space="0" w:color="auto"/>
            <w:right w:val="none" w:sz="0" w:space="0" w:color="auto"/>
          </w:divBdr>
        </w:div>
        <w:div w:id="1641686727">
          <w:marLeft w:val="547"/>
          <w:marRight w:val="0"/>
          <w:marTop w:val="72"/>
          <w:marBottom w:val="0"/>
          <w:divBdr>
            <w:top w:val="none" w:sz="0" w:space="0" w:color="auto"/>
            <w:left w:val="none" w:sz="0" w:space="0" w:color="auto"/>
            <w:bottom w:val="none" w:sz="0" w:space="0" w:color="auto"/>
            <w:right w:val="none" w:sz="0" w:space="0" w:color="auto"/>
          </w:divBdr>
        </w:div>
        <w:div w:id="1415273932">
          <w:marLeft w:val="547"/>
          <w:marRight w:val="0"/>
          <w:marTop w:val="72"/>
          <w:marBottom w:val="0"/>
          <w:divBdr>
            <w:top w:val="none" w:sz="0" w:space="0" w:color="auto"/>
            <w:left w:val="none" w:sz="0" w:space="0" w:color="auto"/>
            <w:bottom w:val="none" w:sz="0" w:space="0" w:color="auto"/>
            <w:right w:val="none" w:sz="0" w:space="0" w:color="auto"/>
          </w:divBdr>
        </w:div>
      </w:divsChild>
    </w:div>
    <w:div w:id="2123717495">
      <w:bodyDiv w:val="1"/>
      <w:marLeft w:val="0"/>
      <w:marRight w:val="0"/>
      <w:marTop w:val="0"/>
      <w:marBottom w:val="0"/>
      <w:divBdr>
        <w:top w:val="none" w:sz="0" w:space="0" w:color="auto"/>
        <w:left w:val="none" w:sz="0" w:space="0" w:color="auto"/>
        <w:bottom w:val="none" w:sz="0" w:space="0" w:color="auto"/>
        <w:right w:val="none" w:sz="0" w:space="0" w:color="auto"/>
      </w:divBdr>
      <w:divsChild>
        <w:div w:id="51082820">
          <w:marLeft w:val="547"/>
          <w:marRight w:val="0"/>
          <w:marTop w:val="72"/>
          <w:marBottom w:val="0"/>
          <w:divBdr>
            <w:top w:val="none" w:sz="0" w:space="0" w:color="auto"/>
            <w:left w:val="none" w:sz="0" w:space="0" w:color="auto"/>
            <w:bottom w:val="none" w:sz="0" w:space="0" w:color="auto"/>
            <w:right w:val="none" w:sz="0" w:space="0" w:color="auto"/>
          </w:divBdr>
        </w:div>
        <w:div w:id="1938053486">
          <w:marLeft w:val="547"/>
          <w:marRight w:val="0"/>
          <w:marTop w:val="72"/>
          <w:marBottom w:val="0"/>
          <w:divBdr>
            <w:top w:val="none" w:sz="0" w:space="0" w:color="auto"/>
            <w:left w:val="none" w:sz="0" w:space="0" w:color="auto"/>
            <w:bottom w:val="none" w:sz="0" w:space="0" w:color="auto"/>
            <w:right w:val="none" w:sz="0" w:space="0" w:color="auto"/>
          </w:divBdr>
        </w:div>
        <w:div w:id="1433403702">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 TargetMode="External"/><Relationship Id="rId13" Type="http://schemas.openxmlformats.org/officeDocument/2006/relationships/hyperlink" Target="https://ndop-m.herokuapp.com/NEXT/00-other-ways-to-manage-your-choic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hs.uk/your-nhs-data-ma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nderstandingpatientdata.org.uk/what-you-need-kno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ra.nhs.uk/information-about-patients/%20" TargetMode="External"/><Relationship Id="rId4" Type="http://schemas.openxmlformats.org/officeDocument/2006/relationships/settings" Target="settings.xml"/><Relationship Id="rId9" Type="http://schemas.openxmlformats.org/officeDocument/2006/relationships/hyperlink" Target="http://www.nhs.uk/your-nhs-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Calderdale Clinical Comissioning Group</Company>
  <LinksUpToDate>false</LinksUpToDate>
  <CharactersWithSpaces>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srosborough</dc:creator>
  <cp:lastModifiedBy>srosborough</cp:lastModifiedBy>
  <cp:revision>2</cp:revision>
  <dcterms:created xsi:type="dcterms:W3CDTF">2018-05-24T14:01:00Z</dcterms:created>
  <dcterms:modified xsi:type="dcterms:W3CDTF">2018-06-07T12:43:00Z</dcterms:modified>
</cp:coreProperties>
</file>