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D5C96" w14:textId="750386D5" w:rsidR="005A72F8" w:rsidRDefault="00792528">
      <w:r>
        <w:rPr>
          <w:rFonts w:ascii="Times New Roman" w:hAnsi="Times New Roman" w:cs="Times New Roman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588A00" wp14:editId="17BAD946">
                <wp:simplePos x="0" y="0"/>
                <wp:positionH relativeFrom="margin">
                  <wp:posOffset>2140585</wp:posOffset>
                </wp:positionH>
                <wp:positionV relativeFrom="paragraph">
                  <wp:posOffset>-97790</wp:posOffset>
                </wp:positionV>
                <wp:extent cx="4198620" cy="703385"/>
                <wp:effectExtent l="0" t="0" r="0" b="1905"/>
                <wp:wrapNone/>
                <wp:docPr id="21216096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8620" cy="7033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3B9CFA6" w14:textId="77777777" w:rsidR="00E73DFF" w:rsidRDefault="00E73DFF" w:rsidP="00E73DFF">
                            <w:pPr>
                              <w:rPr>
                                <w:rFonts w:ascii="Colonna MT" w:hAnsi="Colonna MT" w:cs="Arial"/>
                                <w:smallCaps/>
                                <w:color w:val="0072C6"/>
                                <w:sz w:val="48"/>
                              </w:rPr>
                            </w:pPr>
                            <w:r w:rsidRPr="00293B2A">
                              <w:rPr>
                                <w:rFonts w:ascii="Colonna MT" w:hAnsi="Colonna MT" w:cs="Arial"/>
                                <w:smallCaps/>
                                <w:color w:val="0072C6"/>
                                <w:sz w:val="48"/>
                              </w:rPr>
                              <w:t xml:space="preserve">Tudor House </w:t>
                            </w:r>
                            <w:r>
                              <w:rPr>
                                <w:rFonts w:ascii="Colonna MT" w:hAnsi="Colonna MT" w:cs="Arial"/>
                                <w:smallCaps/>
                                <w:color w:val="0072C6"/>
                                <w:sz w:val="48"/>
                              </w:rPr>
                              <w:t>Medical Practice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3588A0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68.55pt;margin-top:-7.7pt;width:330.6pt;height:55.4pt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" fillcolor="white [3201]" stroked="f" strokeweight=".5pt">
                <v:textbox>
                  <w:txbxContent>
                    <w:p w14:paraId="23B9CFA6" w14:textId="77777777" w:rsidR="00E73DFF" w:rsidRDefault="00E73DFF" w:rsidP="00E73DFF">
                      <w:pPr>
                        <w:rPr>
                          <w:rFonts w:ascii="Colonna MT" w:hAnsi="Colonna MT" w:cs="Arial"/>
                          <w:smallCaps/>
                          <w:color w:val="0072C6"/>
                          <w:sz w:val="48"/>
                        </w:rPr>
                      </w:pPr>
                      <w:r w:rsidRPr="00293B2A">
                        <w:rPr>
                          <w:rFonts w:ascii="Colonna MT" w:hAnsi="Colonna MT" w:cs="Arial"/>
                          <w:smallCaps/>
                          <w:color w:val="0072C6"/>
                          <w:sz w:val="48"/>
                        </w:rPr>
                        <w:t xml:space="preserve">Tudor House </w:t>
                      </w:r>
                      <w:r>
                        <w:rPr>
                          <w:rFonts w:ascii="Colonna MT" w:hAnsi="Colonna MT" w:cs="Arial"/>
                          <w:smallCaps/>
                          <w:color w:val="0072C6"/>
                          <w:sz w:val="48"/>
                        </w:rPr>
                        <w:t>Medical Practice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30472"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drawing>
          <wp:anchor distT="36576" distB="36576" distL="36576" distR="36576" simplePos="0" relativeHeight="251659264" behindDoc="0" locked="0" layoutInCell="1" allowOverlap="1" wp14:anchorId="10382DB7" wp14:editId="0A34C0E4">
            <wp:simplePos x="0" y="0"/>
            <wp:positionH relativeFrom="margin">
              <wp:align>left</wp:align>
            </wp:positionH>
            <wp:positionV relativeFrom="paragraph">
              <wp:posOffset>5769</wp:posOffset>
            </wp:positionV>
            <wp:extent cx="1430977" cy="612680"/>
            <wp:effectExtent l="0" t="0" r="0" b="0"/>
            <wp:wrapNone/>
            <wp:docPr id="1785857016" name="Picture 2" descr="A red and black logo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5857016" name="Picture 2" descr="A red and black logo with black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977" cy="612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C904DE" w14:textId="53ED5745" w:rsidR="005A72F8" w:rsidRDefault="005A72F8"/>
    <w:p w14:paraId="5045743C" w14:textId="77777777" w:rsidR="005A72F8" w:rsidRDefault="005A72F8" w:rsidP="00230472">
      <w:pPr>
        <w:spacing w:after="0"/>
      </w:pPr>
    </w:p>
    <w:p w14:paraId="65ACA56C" w14:textId="2645A6A0" w:rsidR="00AB7CEE" w:rsidRPr="004F104A" w:rsidRDefault="005A72F8" w:rsidP="004F104A">
      <w:pPr>
        <w:shd w:val="clear" w:color="auto" w:fill="0070C0"/>
        <w:spacing w:after="0"/>
        <w:rPr>
          <w:rFonts w:ascii="Arial" w:hAnsi="Arial" w:cs="Arial"/>
          <w:b/>
          <w:bCs/>
          <w:color w:val="FFFFFF" w:themeColor="background1"/>
          <w:sz w:val="28"/>
          <w:szCs w:val="28"/>
        </w:rPr>
      </w:pPr>
      <w:r w:rsidRPr="004F104A">
        <w:rPr>
          <w:rFonts w:ascii="Arial" w:hAnsi="Arial" w:cs="Arial"/>
          <w:b/>
          <w:bCs/>
          <w:color w:val="FFFFFF" w:themeColor="background1"/>
          <w:sz w:val="28"/>
          <w:szCs w:val="28"/>
        </w:rPr>
        <w:t xml:space="preserve">Annual statement </w:t>
      </w:r>
      <w:r w:rsidR="004F104A" w:rsidRPr="004F104A">
        <w:rPr>
          <w:rFonts w:ascii="Arial" w:hAnsi="Arial" w:cs="Arial"/>
          <w:b/>
          <w:bCs/>
          <w:color w:val="FFFFFF" w:themeColor="background1"/>
          <w:sz w:val="28"/>
          <w:szCs w:val="28"/>
        </w:rPr>
        <w:t xml:space="preserve">on compliance with IPC practice (including cleanliness) </w:t>
      </w:r>
      <w:r w:rsidRPr="004F104A">
        <w:rPr>
          <w:rFonts w:ascii="Arial" w:hAnsi="Arial" w:cs="Arial"/>
          <w:b/>
          <w:bCs/>
          <w:color w:val="FFFFFF" w:themeColor="background1"/>
          <w:sz w:val="28"/>
          <w:szCs w:val="28"/>
        </w:rPr>
        <w:t xml:space="preserve">for General Practice </w:t>
      </w:r>
    </w:p>
    <w:p w14:paraId="34863349" w14:textId="77777777" w:rsidR="005A72F8" w:rsidRPr="00230472" w:rsidRDefault="005A72F8" w:rsidP="00230472">
      <w:pPr>
        <w:spacing w:after="0"/>
        <w:rPr>
          <w:rFonts w:ascii="Arial" w:hAnsi="Arial" w:cs="Arial"/>
          <w:b/>
          <w:bCs/>
          <w:color w:val="0070C0"/>
        </w:rPr>
      </w:pPr>
    </w:p>
    <w:p w14:paraId="4813D082" w14:textId="77777777" w:rsidR="00230472" w:rsidRDefault="00230472" w:rsidP="00230472">
      <w:pPr>
        <w:spacing w:after="0"/>
        <w:rPr>
          <w:rFonts w:ascii="Arial" w:hAnsi="Arial" w:cs="Arial"/>
        </w:rPr>
      </w:pPr>
    </w:p>
    <w:p w14:paraId="4AEBFF6E" w14:textId="0E135E50" w:rsidR="004060D2" w:rsidRPr="004F104A" w:rsidRDefault="00792528" w:rsidP="004060D2">
      <w:pPr>
        <w:spacing w:after="0"/>
        <w:rPr>
          <w:rFonts w:ascii="Arial" w:hAnsi="Arial" w:cs="Arial"/>
          <w:b/>
          <w:bCs/>
          <w:color w:val="0070C0"/>
        </w:rPr>
      </w:pPr>
      <w:r w:rsidRPr="004F104A">
        <w:rPr>
          <w:rFonts w:ascii="Arial" w:hAnsi="Arial" w:cs="Arial"/>
          <w:b/>
          <w:bCs/>
          <w:color w:val="0070C0"/>
        </w:rPr>
        <w:t>Introduction</w:t>
      </w:r>
    </w:p>
    <w:p w14:paraId="72034A20" w14:textId="5614B7A9" w:rsidR="004060D2" w:rsidRPr="00230472" w:rsidRDefault="004060D2" w:rsidP="00953969">
      <w:pPr>
        <w:spacing w:after="120"/>
        <w:rPr>
          <w:rFonts w:ascii="Arial" w:hAnsi="Arial" w:cs="Arial"/>
          <w:b/>
          <w:bCs/>
          <w:i/>
          <w:iCs/>
        </w:rPr>
      </w:pPr>
      <w:r w:rsidRPr="00230472">
        <w:rPr>
          <w:rFonts w:ascii="Arial" w:hAnsi="Arial" w:cs="Arial"/>
        </w:rPr>
        <w:t>Th</w:t>
      </w:r>
      <w:r w:rsidR="00792528">
        <w:rPr>
          <w:rFonts w:ascii="Arial" w:hAnsi="Arial" w:cs="Arial"/>
        </w:rPr>
        <w:t>is</w:t>
      </w:r>
      <w:r w:rsidRPr="00230472">
        <w:rPr>
          <w:rFonts w:ascii="Arial" w:hAnsi="Arial" w:cs="Arial"/>
        </w:rPr>
        <w:t xml:space="preserve"> Annual statement has been drawn up</w:t>
      </w:r>
      <w:r w:rsidR="00792528">
        <w:rPr>
          <w:rFonts w:ascii="Arial" w:hAnsi="Arial" w:cs="Arial"/>
        </w:rPr>
        <w:t xml:space="preserve"> </w:t>
      </w:r>
      <w:r w:rsidR="00246B32">
        <w:rPr>
          <w:rFonts w:ascii="Arial" w:hAnsi="Arial" w:cs="Arial"/>
        </w:rPr>
        <w:t>on</w:t>
      </w:r>
      <w:r w:rsidR="00792528">
        <w:rPr>
          <w:rFonts w:ascii="Arial" w:hAnsi="Arial" w:cs="Arial"/>
        </w:rPr>
        <w:t xml:space="preserve"> </w:t>
      </w:r>
      <w:r w:rsidR="00E73DFF">
        <w:rPr>
          <w:rFonts w:ascii="Arial" w:hAnsi="Arial" w:cs="Arial"/>
        </w:rPr>
        <w:t>7 Aug 2024</w:t>
      </w:r>
      <w:r w:rsidRPr="00230472">
        <w:rPr>
          <w:rFonts w:ascii="Arial" w:hAnsi="Arial" w:cs="Arial"/>
        </w:rPr>
        <w:t xml:space="preserve"> in accordance with the requirement of the </w:t>
      </w:r>
      <w:r w:rsidRPr="00230472">
        <w:rPr>
          <w:rFonts w:ascii="Arial" w:hAnsi="Arial" w:cs="Arial"/>
          <w:i/>
          <w:iCs/>
        </w:rPr>
        <w:t>Health and Social Care Act 2008: code of practice on the prevention and control of infections and related guidance</w:t>
      </w:r>
      <w:r w:rsidRPr="00230472">
        <w:rPr>
          <w:rFonts w:ascii="Arial" w:hAnsi="Arial" w:cs="Arial"/>
        </w:rPr>
        <w:t xml:space="preserve"> for</w:t>
      </w:r>
      <w:r w:rsidR="00E73DFF">
        <w:rPr>
          <w:rFonts w:ascii="Arial" w:hAnsi="Arial" w:cs="Arial"/>
        </w:rPr>
        <w:t xml:space="preserve"> Tudor House Medical Practice</w:t>
      </w:r>
      <w:r w:rsidRPr="00230472">
        <w:rPr>
          <w:rFonts w:ascii="Arial" w:hAnsi="Arial" w:cs="Arial"/>
        </w:rPr>
        <w:t>. It summarises</w:t>
      </w:r>
      <w:r w:rsidR="00953969" w:rsidRPr="00230472">
        <w:rPr>
          <w:rFonts w:ascii="Arial" w:hAnsi="Arial" w:cs="Arial"/>
        </w:rPr>
        <w:t>:</w:t>
      </w:r>
    </w:p>
    <w:p w14:paraId="7DF88288" w14:textId="652BFDD8" w:rsidR="00953969" w:rsidRPr="00230472" w:rsidRDefault="00E67CF0" w:rsidP="00792528">
      <w:pPr>
        <w:pStyle w:val="Default"/>
        <w:numPr>
          <w:ilvl w:val="0"/>
          <w:numId w:val="3"/>
        </w:numPr>
        <w:spacing w:before="120"/>
        <w:ind w:left="357" w:hanging="35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I</w:t>
      </w:r>
      <w:r w:rsidR="00953969" w:rsidRPr="00230472">
        <w:rPr>
          <w:color w:val="auto"/>
          <w:sz w:val="22"/>
          <w:szCs w:val="22"/>
        </w:rPr>
        <w:t>nfection transmission incidents and action</w:t>
      </w:r>
      <w:r>
        <w:rPr>
          <w:color w:val="auto"/>
          <w:sz w:val="22"/>
          <w:szCs w:val="22"/>
        </w:rPr>
        <w:t>s</w:t>
      </w:r>
      <w:r w:rsidR="00953969" w:rsidRPr="00230472">
        <w:rPr>
          <w:color w:val="auto"/>
          <w:sz w:val="22"/>
          <w:szCs w:val="22"/>
        </w:rPr>
        <w:t xml:space="preserve"> taken </w:t>
      </w:r>
    </w:p>
    <w:p w14:paraId="41B4A75F" w14:textId="600AA02C" w:rsidR="00953969" w:rsidRPr="00230472" w:rsidRDefault="00E67CF0" w:rsidP="00792528">
      <w:pPr>
        <w:pStyle w:val="Default"/>
        <w:numPr>
          <w:ilvl w:val="0"/>
          <w:numId w:val="3"/>
        </w:numPr>
        <w:spacing w:before="120"/>
        <w:ind w:left="357" w:hanging="35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IPC</w:t>
      </w:r>
      <w:r w:rsidR="00792528">
        <w:rPr>
          <w:color w:val="auto"/>
          <w:sz w:val="22"/>
          <w:szCs w:val="22"/>
        </w:rPr>
        <w:t xml:space="preserve"> </w:t>
      </w:r>
      <w:r w:rsidR="00953969" w:rsidRPr="00230472">
        <w:rPr>
          <w:color w:val="auto"/>
          <w:sz w:val="22"/>
          <w:szCs w:val="22"/>
        </w:rPr>
        <w:t xml:space="preserve">audits undertaken and </w:t>
      </w:r>
      <w:r>
        <w:rPr>
          <w:color w:val="auto"/>
          <w:sz w:val="22"/>
          <w:szCs w:val="22"/>
        </w:rPr>
        <w:t xml:space="preserve">subsequent </w:t>
      </w:r>
      <w:r w:rsidR="00953969" w:rsidRPr="00230472">
        <w:rPr>
          <w:color w:val="auto"/>
          <w:sz w:val="22"/>
          <w:szCs w:val="22"/>
        </w:rPr>
        <w:t xml:space="preserve">actions </w:t>
      </w:r>
      <w:r>
        <w:rPr>
          <w:color w:val="auto"/>
          <w:sz w:val="22"/>
          <w:szCs w:val="22"/>
        </w:rPr>
        <w:t>implemented</w:t>
      </w:r>
      <w:r w:rsidR="00953969" w:rsidRPr="00230472">
        <w:rPr>
          <w:color w:val="auto"/>
          <w:sz w:val="22"/>
          <w:szCs w:val="22"/>
        </w:rPr>
        <w:t xml:space="preserve"> </w:t>
      </w:r>
    </w:p>
    <w:p w14:paraId="4A85CD0A" w14:textId="5031014B" w:rsidR="00953969" w:rsidRPr="00230472" w:rsidRDefault="00E67CF0" w:rsidP="00792528">
      <w:pPr>
        <w:pStyle w:val="Default"/>
        <w:numPr>
          <w:ilvl w:val="0"/>
          <w:numId w:val="3"/>
        </w:numPr>
        <w:spacing w:before="120"/>
        <w:ind w:left="357" w:hanging="35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R</w:t>
      </w:r>
      <w:r w:rsidR="00953969" w:rsidRPr="00230472">
        <w:rPr>
          <w:color w:val="auto"/>
          <w:sz w:val="22"/>
          <w:szCs w:val="22"/>
        </w:rPr>
        <w:t xml:space="preserve">isk assessments undertaken </w:t>
      </w:r>
      <w:r>
        <w:rPr>
          <w:color w:val="auto"/>
          <w:sz w:val="22"/>
          <w:szCs w:val="22"/>
        </w:rPr>
        <w:t xml:space="preserve">and any actions taken </w:t>
      </w:r>
      <w:r w:rsidR="00953969" w:rsidRPr="00230472">
        <w:rPr>
          <w:color w:val="auto"/>
          <w:sz w:val="22"/>
          <w:szCs w:val="22"/>
        </w:rPr>
        <w:t xml:space="preserve">for prevention and control of infection </w:t>
      </w:r>
    </w:p>
    <w:p w14:paraId="0A17D732" w14:textId="7F562A3A" w:rsidR="00953969" w:rsidRPr="00230472" w:rsidRDefault="00E67CF0" w:rsidP="00792528">
      <w:pPr>
        <w:pStyle w:val="Default"/>
        <w:numPr>
          <w:ilvl w:val="0"/>
          <w:numId w:val="3"/>
        </w:numPr>
        <w:spacing w:before="120"/>
        <w:ind w:left="357" w:hanging="35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S</w:t>
      </w:r>
      <w:r w:rsidR="00953969" w:rsidRPr="00230472">
        <w:rPr>
          <w:color w:val="auto"/>
          <w:sz w:val="22"/>
          <w:szCs w:val="22"/>
        </w:rPr>
        <w:t xml:space="preserve">taff training </w:t>
      </w:r>
    </w:p>
    <w:p w14:paraId="015364CF" w14:textId="5E242111" w:rsidR="00E67CF0" w:rsidRDefault="00E67CF0" w:rsidP="00792528">
      <w:pPr>
        <w:pStyle w:val="Default"/>
        <w:numPr>
          <w:ilvl w:val="0"/>
          <w:numId w:val="3"/>
        </w:numPr>
        <w:spacing w:before="120"/>
        <w:ind w:left="357" w:hanging="35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R</w:t>
      </w:r>
      <w:r w:rsidR="00953969" w:rsidRPr="00230472">
        <w:rPr>
          <w:color w:val="auto"/>
          <w:sz w:val="22"/>
          <w:szCs w:val="22"/>
        </w:rPr>
        <w:t xml:space="preserve">eview and update of </w:t>
      </w:r>
      <w:r w:rsidR="00792528">
        <w:rPr>
          <w:color w:val="auto"/>
          <w:sz w:val="22"/>
          <w:szCs w:val="22"/>
        </w:rPr>
        <w:t xml:space="preserve">IPC </w:t>
      </w:r>
      <w:r w:rsidR="00953969" w:rsidRPr="00230472">
        <w:rPr>
          <w:color w:val="auto"/>
          <w:sz w:val="22"/>
          <w:szCs w:val="22"/>
        </w:rPr>
        <w:t>policies, procedures and guidelines</w:t>
      </w:r>
    </w:p>
    <w:p w14:paraId="2EB9B83F" w14:textId="77777777" w:rsidR="00E67CF0" w:rsidRDefault="00E67CF0" w:rsidP="00792528">
      <w:pPr>
        <w:pStyle w:val="Default"/>
        <w:numPr>
          <w:ilvl w:val="0"/>
          <w:numId w:val="3"/>
        </w:numPr>
        <w:spacing w:before="120"/>
        <w:ind w:left="357" w:hanging="35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Antimicrobial prescribing and stewardship</w:t>
      </w:r>
    </w:p>
    <w:p w14:paraId="54491DDD" w14:textId="77777777" w:rsidR="00E67CF0" w:rsidRDefault="00E67CF0" w:rsidP="00E67CF0">
      <w:pPr>
        <w:pStyle w:val="Default"/>
        <w:rPr>
          <w:color w:val="auto"/>
          <w:sz w:val="22"/>
          <w:szCs w:val="22"/>
        </w:rPr>
      </w:pPr>
    </w:p>
    <w:p w14:paraId="60AA98E1" w14:textId="77777777" w:rsidR="00E67CF0" w:rsidRDefault="00E67CF0" w:rsidP="00E67CF0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This statement has been drawn up by:</w:t>
      </w:r>
    </w:p>
    <w:p w14:paraId="246F67EE" w14:textId="149C3573" w:rsidR="00E67CF0" w:rsidRDefault="00E67CF0" w:rsidP="00E67CF0">
      <w:pPr>
        <w:pStyle w:val="Default"/>
        <w:rPr>
          <w:color w:val="auto"/>
          <w:sz w:val="22"/>
          <w:szCs w:val="22"/>
        </w:rPr>
      </w:pPr>
    </w:p>
    <w:p w14:paraId="4FA7557B" w14:textId="548F097B" w:rsidR="00953969" w:rsidRPr="00230472" w:rsidRDefault="00E67CF0" w:rsidP="00E67CF0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Name: </w:t>
      </w:r>
      <w:r w:rsidR="00E73DFF">
        <w:rPr>
          <w:color w:val="auto"/>
          <w:sz w:val="22"/>
          <w:szCs w:val="22"/>
        </w:rPr>
        <w:t xml:space="preserve"> </w:t>
      </w:r>
      <w:r w:rsidR="00E73DFF">
        <w:rPr>
          <w:color w:val="auto"/>
          <w:sz w:val="22"/>
          <w:szCs w:val="22"/>
        </w:rPr>
        <w:tab/>
        <w:t>Patricia Gibbons/Nichola Pearce</w:t>
      </w:r>
    </w:p>
    <w:p w14:paraId="7B734D36" w14:textId="44BC122D" w:rsidR="00953969" w:rsidRPr="00E86FC7" w:rsidRDefault="00E73DFF" w:rsidP="00953969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  <w:t>Practice Manager/</w:t>
      </w:r>
      <w:r w:rsidR="00953969" w:rsidRPr="00E86FC7">
        <w:rPr>
          <w:color w:val="auto"/>
          <w:sz w:val="22"/>
          <w:szCs w:val="22"/>
        </w:rPr>
        <w:t xml:space="preserve">Infection Prevent and Control (IPC) Lead </w:t>
      </w:r>
    </w:p>
    <w:p w14:paraId="6CEB8A25" w14:textId="77777777" w:rsidR="00953969" w:rsidRPr="00230472" w:rsidRDefault="00953969" w:rsidP="00953969">
      <w:pPr>
        <w:pStyle w:val="Default"/>
        <w:rPr>
          <w:b/>
          <w:bCs/>
          <w:color w:val="565659"/>
          <w:sz w:val="22"/>
          <w:szCs w:val="22"/>
        </w:rPr>
      </w:pPr>
    </w:p>
    <w:p w14:paraId="7F958EA4" w14:textId="62B8FA45" w:rsidR="00953969" w:rsidRPr="004F104A" w:rsidRDefault="00953969" w:rsidP="00792528">
      <w:pPr>
        <w:pStyle w:val="Default"/>
        <w:numPr>
          <w:ilvl w:val="0"/>
          <w:numId w:val="4"/>
        </w:numPr>
        <w:rPr>
          <w:color w:val="0070C0"/>
          <w:sz w:val="22"/>
          <w:szCs w:val="22"/>
        </w:rPr>
      </w:pPr>
      <w:r w:rsidRPr="004F104A">
        <w:rPr>
          <w:b/>
          <w:bCs/>
          <w:color w:val="0070C0"/>
          <w:sz w:val="22"/>
          <w:szCs w:val="22"/>
        </w:rPr>
        <w:t>Infection transmission incidents</w:t>
      </w:r>
    </w:p>
    <w:p w14:paraId="278E3219" w14:textId="088BD805" w:rsidR="00953969" w:rsidRDefault="00E67CF0" w:rsidP="00953969">
      <w:pPr>
        <w:pStyle w:val="Default"/>
        <w:rPr>
          <w:i/>
          <w:iCs/>
          <w:color w:val="auto"/>
          <w:sz w:val="22"/>
          <w:szCs w:val="22"/>
        </w:rPr>
      </w:pPr>
      <w:r w:rsidRPr="00792528">
        <w:rPr>
          <w:i/>
          <w:iCs/>
          <w:color w:val="auto"/>
          <w:sz w:val="18"/>
          <w:szCs w:val="18"/>
        </w:rPr>
        <w:t>Provide details of infection transmission incidents</w:t>
      </w:r>
      <w:r w:rsidR="00953969" w:rsidRPr="00792528">
        <w:rPr>
          <w:i/>
          <w:iCs/>
          <w:color w:val="auto"/>
          <w:sz w:val="18"/>
          <w:szCs w:val="18"/>
        </w:rPr>
        <w:t xml:space="preserve"> (which may involve examples of good practice as well as challenging events)</w:t>
      </w:r>
      <w:r w:rsidRPr="00792528">
        <w:rPr>
          <w:i/>
          <w:iCs/>
          <w:color w:val="auto"/>
          <w:sz w:val="18"/>
          <w:szCs w:val="18"/>
        </w:rPr>
        <w:t>, how they were</w:t>
      </w:r>
      <w:r w:rsidR="00953969" w:rsidRPr="00792528">
        <w:rPr>
          <w:i/>
          <w:iCs/>
          <w:color w:val="auto"/>
          <w:sz w:val="18"/>
          <w:szCs w:val="18"/>
        </w:rPr>
        <w:t xml:space="preserve"> investigated</w:t>
      </w:r>
      <w:r w:rsidRPr="00792528">
        <w:rPr>
          <w:i/>
          <w:iCs/>
          <w:color w:val="auto"/>
          <w:sz w:val="18"/>
          <w:szCs w:val="18"/>
        </w:rPr>
        <w:t>,</w:t>
      </w:r>
      <w:r w:rsidR="00953969" w:rsidRPr="00792528">
        <w:rPr>
          <w:i/>
          <w:iCs/>
          <w:color w:val="auto"/>
          <w:sz w:val="18"/>
          <w:szCs w:val="18"/>
        </w:rPr>
        <w:t xml:space="preserve"> </w:t>
      </w:r>
      <w:r w:rsidRPr="00792528">
        <w:rPr>
          <w:i/>
          <w:iCs/>
          <w:color w:val="auto"/>
          <w:sz w:val="18"/>
          <w:szCs w:val="18"/>
        </w:rPr>
        <w:t xml:space="preserve">any lessons </w:t>
      </w:r>
      <w:r w:rsidR="00953969" w:rsidRPr="00792528">
        <w:rPr>
          <w:i/>
          <w:iCs/>
          <w:color w:val="auto"/>
          <w:sz w:val="18"/>
          <w:szCs w:val="18"/>
        </w:rPr>
        <w:t xml:space="preserve">learnt and changes </w:t>
      </w:r>
      <w:r w:rsidRPr="00792528">
        <w:rPr>
          <w:i/>
          <w:iCs/>
          <w:color w:val="auto"/>
          <w:sz w:val="18"/>
          <w:szCs w:val="18"/>
        </w:rPr>
        <w:t>made as a result</w:t>
      </w:r>
      <w:r w:rsidR="00953969" w:rsidRPr="00792528">
        <w:rPr>
          <w:i/>
          <w:iCs/>
          <w:color w:val="auto"/>
          <w:sz w:val="18"/>
          <w:szCs w:val="18"/>
        </w:rPr>
        <w:t xml:space="preserve"> to </w:t>
      </w:r>
      <w:r w:rsidRPr="00792528">
        <w:rPr>
          <w:i/>
          <w:iCs/>
          <w:color w:val="auto"/>
          <w:sz w:val="18"/>
          <w:szCs w:val="18"/>
        </w:rPr>
        <w:t xml:space="preserve">facilitate </w:t>
      </w:r>
      <w:r w:rsidR="00953969" w:rsidRPr="00792528">
        <w:rPr>
          <w:i/>
          <w:iCs/>
          <w:color w:val="auto"/>
          <w:sz w:val="18"/>
          <w:szCs w:val="18"/>
        </w:rPr>
        <w:t>future improvements.</w:t>
      </w:r>
      <w:r w:rsidR="00953969" w:rsidRPr="00792528">
        <w:rPr>
          <w:i/>
          <w:iCs/>
          <w:color w:val="auto"/>
          <w:sz w:val="22"/>
          <w:szCs w:val="22"/>
        </w:rPr>
        <w:t xml:space="preserve"> </w:t>
      </w:r>
    </w:p>
    <w:p w14:paraId="713BAC01" w14:textId="77777777" w:rsidR="00E73DFF" w:rsidRDefault="00E73DFF" w:rsidP="00953969">
      <w:pPr>
        <w:pStyle w:val="Default"/>
        <w:rPr>
          <w:i/>
          <w:iCs/>
          <w:color w:val="auto"/>
          <w:sz w:val="22"/>
          <w:szCs w:val="22"/>
        </w:rPr>
      </w:pPr>
    </w:p>
    <w:p w14:paraId="00E5945E" w14:textId="77777777" w:rsidR="00E73DFF" w:rsidRPr="00E73DFF" w:rsidRDefault="00E73DFF" w:rsidP="00E73DFF">
      <w:pPr>
        <w:spacing w:after="0" w:line="264" w:lineRule="auto"/>
        <w:rPr>
          <w:rFonts w:ascii="Arial" w:hAnsi="Arial" w:cs="Arial"/>
        </w:rPr>
      </w:pPr>
      <w:r w:rsidRPr="00E73DFF">
        <w:rPr>
          <w:rFonts w:ascii="Arial" w:hAnsi="Arial" w:cs="Arial"/>
        </w:rPr>
        <w:t xml:space="preserve">Learning/significant events are raised in the event of an incident. These are clearly detailed on the practice </w:t>
      </w:r>
      <w:proofErr w:type="spellStart"/>
      <w:r w:rsidRPr="00E73DFF">
        <w:rPr>
          <w:rFonts w:ascii="Arial" w:hAnsi="Arial" w:cs="Arial"/>
        </w:rPr>
        <w:t>TeamNet</w:t>
      </w:r>
      <w:proofErr w:type="spellEnd"/>
      <w:r w:rsidRPr="00E73DFF">
        <w:rPr>
          <w:rFonts w:ascii="Arial" w:hAnsi="Arial" w:cs="Arial"/>
        </w:rPr>
        <w:t xml:space="preserve"> site and shared with all staff members/discussed at team meetings.</w:t>
      </w:r>
    </w:p>
    <w:p w14:paraId="027979D9" w14:textId="77777777" w:rsidR="00E73DFF" w:rsidRPr="00E73DFF" w:rsidRDefault="00E73DFF" w:rsidP="00E73DFF">
      <w:pPr>
        <w:spacing w:after="0" w:line="264" w:lineRule="auto"/>
        <w:rPr>
          <w:rFonts w:ascii="Arial" w:hAnsi="Arial" w:cs="Arial"/>
        </w:rPr>
      </w:pPr>
    </w:p>
    <w:p w14:paraId="094426F2" w14:textId="77777777" w:rsidR="00E73DFF" w:rsidRPr="00E73DFF" w:rsidRDefault="00E73DFF" w:rsidP="00E73DFF">
      <w:pPr>
        <w:spacing w:line="264" w:lineRule="auto"/>
        <w:rPr>
          <w:rFonts w:ascii="Arial" w:hAnsi="Arial" w:cs="Arial"/>
        </w:rPr>
      </w:pPr>
      <w:r w:rsidRPr="00E73DFF">
        <w:rPr>
          <w:rFonts w:ascii="Arial" w:hAnsi="Arial" w:cs="Arial"/>
          <w:shd w:val="clear" w:color="auto" w:fill="FFFFFF"/>
        </w:rPr>
        <w:t>In the past year there have been 0 significant events raised that related to infection control. There have also been 0 complaints made regarding cleanliness or infection control.</w:t>
      </w:r>
    </w:p>
    <w:p w14:paraId="28D14F8D" w14:textId="77777777" w:rsidR="00E73DFF" w:rsidRDefault="00E73DFF" w:rsidP="00953969">
      <w:pPr>
        <w:pStyle w:val="Default"/>
        <w:rPr>
          <w:i/>
          <w:iCs/>
          <w:color w:val="auto"/>
          <w:sz w:val="22"/>
          <w:szCs w:val="22"/>
        </w:rPr>
      </w:pPr>
    </w:p>
    <w:p w14:paraId="656B983D" w14:textId="1DFE1E61" w:rsidR="00953969" w:rsidRPr="004F104A" w:rsidRDefault="00E67CF0" w:rsidP="00932CB6">
      <w:pPr>
        <w:pStyle w:val="Default"/>
        <w:numPr>
          <w:ilvl w:val="0"/>
          <w:numId w:val="4"/>
        </w:numPr>
        <w:rPr>
          <w:color w:val="0070C0"/>
          <w:sz w:val="22"/>
          <w:szCs w:val="22"/>
        </w:rPr>
      </w:pPr>
      <w:r w:rsidRPr="004F104A">
        <w:rPr>
          <w:b/>
          <w:bCs/>
          <w:color w:val="0070C0"/>
          <w:sz w:val="22"/>
          <w:szCs w:val="22"/>
        </w:rPr>
        <w:t>IPC</w:t>
      </w:r>
      <w:r w:rsidR="00230472" w:rsidRPr="004F104A">
        <w:rPr>
          <w:b/>
          <w:bCs/>
          <w:color w:val="0070C0"/>
          <w:sz w:val="22"/>
          <w:szCs w:val="22"/>
        </w:rPr>
        <w:t xml:space="preserve"> </w:t>
      </w:r>
      <w:r w:rsidR="00953969" w:rsidRPr="004F104A">
        <w:rPr>
          <w:b/>
          <w:bCs/>
          <w:color w:val="0070C0"/>
          <w:sz w:val="22"/>
          <w:szCs w:val="22"/>
        </w:rPr>
        <w:t>Audit</w:t>
      </w:r>
      <w:r w:rsidRPr="004F104A">
        <w:rPr>
          <w:b/>
          <w:bCs/>
          <w:color w:val="0070C0"/>
          <w:sz w:val="22"/>
          <w:szCs w:val="22"/>
        </w:rPr>
        <w:t>s</w:t>
      </w:r>
      <w:r w:rsidR="00953969" w:rsidRPr="004F104A">
        <w:rPr>
          <w:b/>
          <w:bCs/>
          <w:color w:val="0070C0"/>
          <w:sz w:val="22"/>
          <w:szCs w:val="22"/>
        </w:rPr>
        <w:t xml:space="preserve"> and </w:t>
      </w:r>
      <w:r w:rsidR="004F104A" w:rsidRPr="004F104A">
        <w:rPr>
          <w:b/>
          <w:bCs/>
          <w:color w:val="0070C0"/>
          <w:sz w:val="22"/>
          <w:szCs w:val="22"/>
        </w:rPr>
        <w:t>a</w:t>
      </w:r>
      <w:r w:rsidR="00953969" w:rsidRPr="004F104A">
        <w:rPr>
          <w:b/>
          <w:bCs/>
          <w:color w:val="0070C0"/>
          <w:sz w:val="22"/>
          <w:szCs w:val="22"/>
        </w:rPr>
        <w:t xml:space="preserve">ctions </w:t>
      </w:r>
    </w:p>
    <w:p w14:paraId="43CA06B7" w14:textId="4593B872" w:rsidR="00230472" w:rsidRDefault="00E67CF0" w:rsidP="00953969">
      <w:pPr>
        <w:pStyle w:val="Default"/>
        <w:rPr>
          <w:i/>
          <w:iCs/>
          <w:color w:val="auto"/>
          <w:sz w:val="18"/>
          <w:szCs w:val="18"/>
        </w:rPr>
      </w:pPr>
      <w:r w:rsidRPr="00932CB6">
        <w:rPr>
          <w:i/>
          <w:iCs/>
          <w:color w:val="auto"/>
          <w:sz w:val="18"/>
          <w:szCs w:val="18"/>
        </w:rPr>
        <w:t>Provide an overview of IPC audit programme as well as examples of good practice and actions taken to address suboptimal compliance.</w:t>
      </w:r>
    </w:p>
    <w:p w14:paraId="210CB603" w14:textId="577496CD" w:rsidR="00932CB6" w:rsidRPr="00932CB6" w:rsidRDefault="00932CB6" w:rsidP="00953969">
      <w:pPr>
        <w:pStyle w:val="Default"/>
        <w:rPr>
          <w:i/>
          <w:iCs/>
          <w:color w:val="auto"/>
          <w:sz w:val="22"/>
          <w:szCs w:val="22"/>
        </w:rPr>
      </w:pPr>
    </w:p>
    <w:p w14:paraId="04B4E005" w14:textId="14B6FDF8" w:rsidR="00932CB6" w:rsidRDefault="00E73DFF" w:rsidP="00953969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The practice undertakes quarterly internal audit checks to ensure the highest standards of cleanliness and infection control compliance is achieved.</w:t>
      </w:r>
    </w:p>
    <w:p w14:paraId="36962A0A" w14:textId="77777777" w:rsidR="008253A9" w:rsidRDefault="00E73DFF" w:rsidP="00953969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The practice is audited by Nottingham </w:t>
      </w:r>
      <w:proofErr w:type="spellStart"/>
      <w:r>
        <w:rPr>
          <w:color w:val="auto"/>
          <w:sz w:val="22"/>
          <w:szCs w:val="22"/>
        </w:rPr>
        <w:t>CityCare</w:t>
      </w:r>
      <w:proofErr w:type="spellEnd"/>
      <w:r>
        <w:rPr>
          <w:color w:val="auto"/>
          <w:sz w:val="22"/>
          <w:szCs w:val="22"/>
        </w:rPr>
        <w:t xml:space="preserve"> infection control team on behalf of NHS England every 2 years and they provide a detailed action plan. The last audit was in 2022 and our overall scores were between 96-100%. </w:t>
      </w:r>
    </w:p>
    <w:p w14:paraId="1C4C86F9" w14:textId="77777777" w:rsidR="008253A9" w:rsidRDefault="008253A9" w:rsidP="00953969">
      <w:pPr>
        <w:pStyle w:val="Default"/>
        <w:rPr>
          <w:color w:val="auto"/>
          <w:sz w:val="22"/>
          <w:szCs w:val="22"/>
        </w:rPr>
      </w:pPr>
    </w:p>
    <w:p w14:paraId="03D111B7" w14:textId="1AD0C3FD" w:rsidR="00E73DFF" w:rsidRDefault="00E73DFF" w:rsidP="00953969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A number of minor actions were identified which, where possible, have been corrected. Identified actions included not all treatment room cupboards being boxed to the ceiling/have sloped tops but these are part of a robust cleaning schedule so we mitigate the risk in areas where this still exists. Since the 2022 audit a number of rooms have been upgraded and this area addressed.</w:t>
      </w:r>
    </w:p>
    <w:p w14:paraId="4A1D8A3E" w14:textId="77777777" w:rsidR="00E73DFF" w:rsidRDefault="00E73DFF" w:rsidP="00953969">
      <w:pPr>
        <w:pStyle w:val="Default"/>
        <w:rPr>
          <w:color w:val="auto"/>
          <w:sz w:val="22"/>
          <w:szCs w:val="22"/>
        </w:rPr>
      </w:pPr>
    </w:p>
    <w:p w14:paraId="3265E5E3" w14:textId="6DF69F12" w:rsidR="00E73DFF" w:rsidRPr="00E73DFF" w:rsidRDefault="00E73DFF" w:rsidP="00953969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 xml:space="preserve">The next internal audit is Aug 2024 </w:t>
      </w:r>
      <w:r w:rsidR="008253A9">
        <w:rPr>
          <w:color w:val="auto"/>
          <w:sz w:val="22"/>
          <w:szCs w:val="22"/>
        </w:rPr>
        <w:t>and the next NHS England commissioned audit is Sep 2024.</w:t>
      </w:r>
    </w:p>
    <w:p w14:paraId="4A342D20" w14:textId="5C034ABA" w:rsidR="00932CB6" w:rsidRPr="00932CB6" w:rsidRDefault="00932CB6" w:rsidP="00953969">
      <w:pPr>
        <w:pStyle w:val="Default"/>
        <w:rPr>
          <w:i/>
          <w:iCs/>
          <w:color w:val="auto"/>
          <w:sz w:val="22"/>
          <w:szCs w:val="22"/>
        </w:rPr>
      </w:pPr>
    </w:p>
    <w:p w14:paraId="686441DA" w14:textId="77777777" w:rsidR="00932CB6" w:rsidRPr="00932CB6" w:rsidRDefault="00932CB6" w:rsidP="00953969">
      <w:pPr>
        <w:pStyle w:val="Default"/>
        <w:rPr>
          <w:i/>
          <w:iCs/>
          <w:color w:val="auto"/>
          <w:sz w:val="22"/>
          <w:szCs w:val="22"/>
        </w:rPr>
      </w:pPr>
    </w:p>
    <w:p w14:paraId="02194490" w14:textId="46AC7CEE" w:rsidR="00953969" w:rsidRPr="004F104A" w:rsidRDefault="00953969" w:rsidP="00932CB6">
      <w:pPr>
        <w:pStyle w:val="Default"/>
        <w:numPr>
          <w:ilvl w:val="0"/>
          <w:numId w:val="4"/>
        </w:numPr>
        <w:rPr>
          <w:color w:val="0070C0"/>
          <w:sz w:val="22"/>
          <w:szCs w:val="22"/>
        </w:rPr>
      </w:pPr>
      <w:r w:rsidRPr="004F104A">
        <w:rPr>
          <w:b/>
          <w:bCs/>
          <w:color w:val="0070C0"/>
          <w:sz w:val="22"/>
          <w:szCs w:val="22"/>
        </w:rPr>
        <w:t xml:space="preserve">Risk Assessments </w:t>
      </w:r>
    </w:p>
    <w:p w14:paraId="1E67F6EC" w14:textId="0E0A5F7C" w:rsidR="00953969" w:rsidRPr="00932CB6" w:rsidRDefault="00E67CF0" w:rsidP="00953969">
      <w:pPr>
        <w:pStyle w:val="Default"/>
        <w:rPr>
          <w:i/>
          <w:iCs/>
          <w:color w:val="auto"/>
          <w:sz w:val="18"/>
          <w:szCs w:val="18"/>
        </w:rPr>
      </w:pPr>
      <w:r w:rsidRPr="00932CB6">
        <w:rPr>
          <w:i/>
          <w:iCs/>
          <w:color w:val="auto"/>
          <w:sz w:val="18"/>
          <w:szCs w:val="18"/>
        </w:rPr>
        <w:t>Provide details of IPC related r</w:t>
      </w:r>
      <w:r w:rsidR="00953969" w:rsidRPr="00932CB6">
        <w:rPr>
          <w:i/>
          <w:iCs/>
          <w:color w:val="auto"/>
          <w:sz w:val="18"/>
          <w:szCs w:val="18"/>
        </w:rPr>
        <w:t xml:space="preserve">isk assessments carried out </w:t>
      </w:r>
      <w:r w:rsidRPr="00932CB6">
        <w:rPr>
          <w:i/>
          <w:iCs/>
          <w:color w:val="auto"/>
          <w:sz w:val="18"/>
          <w:szCs w:val="18"/>
        </w:rPr>
        <w:t>and actions taken to prevent and control infection.</w:t>
      </w:r>
    </w:p>
    <w:p w14:paraId="4F81D5E6" w14:textId="6FA2920E" w:rsidR="00230472" w:rsidRPr="008253A9" w:rsidRDefault="00230472" w:rsidP="00953969">
      <w:pPr>
        <w:pStyle w:val="Default"/>
        <w:rPr>
          <w:color w:val="auto"/>
          <w:sz w:val="22"/>
          <w:szCs w:val="22"/>
        </w:rPr>
      </w:pPr>
    </w:p>
    <w:p w14:paraId="06F67AE9" w14:textId="4C744A24" w:rsidR="00932CB6" w:rsidRDefault="003E64B6" w:rsidP="00953969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Ad-hoc risk assessments are carried out as required e.g. in response to local/national directives (measles).</w:t>
      </w:r>
    </w:p>
    <w:p w14:paraId="58CB2689" w14:textId="77777777" w:rsidR="003E64B6" w:rsidRDefault="003E64B6" w:rsidP="00953969">
      <w:pPr>
        <w:pStyle w:val="Default"/>
        <w:rPr>
          <w:color w:val="auto"/>
          <w:sz w:val="22"/>
          <w:szCs w:val="22"/>
        </w:rPr>
      </w:pPr>
    </w:p>
    <w:p w14:paraId="76BACB08" w14:textId="3D7FE25D" w:rsidR="003E64B6" w:rsidRDefault="003E64B6" w:rsidP="00953969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Regular risk assessments are carried out for:</w:t>
      </w:r>
    </w:p>
    <w:p w14:paraId="3FEC97CE" w14:textId="3ED5C93D" w:rsidR="003E64B6" w:rsidRDefault="003E64B6" w:rsidP="003E64B6">
      <w:pPr>
        <w:pStyle w:val="Default"/>
        <w:numPr>
          <w:ilvl w:val="0"/>
          <w:numId w:val="5"/>
        </w:num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Legionella (every 2 years)</w:t>
      </w:r>
    </w:p>
    <w:p w14:paraId="54D62D03" w14:textId="651E23F7" w:rsidR="003E64B6" w:rsidRPr="008253A9" w:rsidRDefault="003E64B6" w:rsidP="003E64B6">
      <w:pPr>
        <w:pStyle w:val="Default"/>
        <w:numPr>
          <w:ilvl w:val="0"/>
          <w:numId w:val="5"/>
        </w:num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Clinical waste (every 2 years)</w:t>
      </w:r>
    </w:p>
    <w:p w14:paraId="007B3D2F" w14:textId="77777777" w:rsidR="00932CB6" w:rsidRPr="008253A9" w:rsidRDefault="00932CB6" w:rsidP="00953969">
      <w:pPr>
        <w:pStyle w:val="Default"/>
        <w:rPr>
          <w:color w:val="auto"/>
          <w:sz w:val="22"/>
          <w:szCs w:val="22"/>
        </w:rPr>
      </w:pPr>
    </w:p>
    <w:p w14:paraId="08D84DFC" w14:textId="77777777" w:rsidR="00932CB6" w:rsidRPr="008253A9" w:rsidRDefault="00932CB6" w:rsidP="00953969">
      <w:pPr>
        <w:pStyle w:val="Default"/>
        <w:rPr>
          <w:color w:val="auto"/>
          <w:sz w:val="22"/>
          <w:szCs w:val="22"/>
        </w:rPr>
      </w:pPr>
    </w:p>
    <w:p w14:paraId="7B79AAB1" w14:textId="77777777" w:rsidR="00932CB6" w:rsidRPr="008253A9" w:rsidRDefault="00932CB6" w:rsidP="00953969">
      <w:pPr>
        <w:pStyle w:val="Default"/>
        <w:rPr>
          <w:color w:val="auto"/>
          <w:sz w:val="18"/>
          <w:szCs w:val="18"/>
        </w:rPr>
      </w:pPr>
    </w:p>
    <w:p w14:paraId="62080659" w14:textId="1282463C" w:rsidR="00953969" w:rsidRPr="004F104A" w:rsidRDefault="00E67CF0" w:rsidP="00932CB6">
      <w:pPr>
        <w:pStyle w:val="Default"/>
        <w:numPr>
          <w:ilvl w:val="0"/>
          <w:numId w:val="4"/>
        </w:numPr>
        <w:rPr>
          <w:color w:val="0070C0"/>
          <w:sz w:val="22"/>
          <w:szCs w:val="22"/>
        </w:rPr>
      </w:pPr>
      <w:r w:rsidRPr="004F104A">
        <w:rPr>
          <w:b/>
          <w:bCs/>
          <w:color w:val="0070C0"/>
          <w:sz w:val="22"/>
          <w:szCs w:val="22"/>
        </w:rPr>
        <w:t>Staff t</w:t>
      </w:r>
      <w:r w:rsidR="00953969" w:rsidRPr="004F104A">
        <w:rPr>
          <w:b/>
          <w:bCs/>
          <w:color w:val="0070C0"/>
          <w:sz w:val="22"/>
          <w:szCs w:val="22"/>
        </w:rPr>
        <w:t xml:space="preserve">raining </w:t>
      </w:r>
    </w:p>
    <w:p w14:paraId="665EAE5A" w14:textId="518B33A7" w:rsidR="00953969" w:rsidRPr="00932CB6" w:rsidRDefault="00E67CF0" w:rsidP="00230472">
      <w:pPr>
        <w:spacing w:after="0"/>
        <w:rPr>
          <w:rFonts w:ascii="Arial" w:hAnsi="Arial" w:cs="Arial"/>
          <w:i/>
          <w:iCs/>
          <w:sz w:val="18"/>
          <w:szCs w:val="18"/>
        </w:rPr>
      </w:pPr>
      <w:r w:rsidRPr="00932CB6">
        <w:rPr>
          <w:rFonts w:ascii="Arial" w:hAnsi="Arial" w:cs="Arial"/>
          <w:i/>
          <w:iCs/>
          <w:sz w:val="18"/>
          <w:szCs w:val="18"/>
        </w:rPr>
        <w:t>Provide details of IPC induction training, annual updates and any other IPC related training.</w:t>
      </w:r>
    </w:p>
    <w:p w14:paraId="52B3FB41" w14:textId="5056B17E" w:rsidR="00230472" w:rsidRDefault="00230472" w:rsidP="00953969">
      <w:pPr>
        <w:pStyle w:val="Default"/>
        <w:rPr>
          <w:b/>
          <w:bCs/>
          <w:color w:val="auto"/>
          <w:sz w:val="22"/>
          <w:szCs w:val="22"/>
        </w:rPr>
      </w:pPr>
    </w:p>
    <w:p w14:paraId="4E98A74D" w14:textId="19114671" w:rsidR="003E64B6" w:rsidRDefault="003E64B6" w:rsidP="00953969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All staff undertake Infection control training as part of their induction at a level relevant to their role.</w:t>
      </w:r>
    </w:p>
    <w:p w14:paraId="085C2C9C" w14:textId="77777777" w:rsidR="003E64B6" w:rsidRDefault="003E64B6" w:rsidP="00953969">
      <w:pPr>
        <w:pStyle w:val="Default"/>
        <w:rPr>
          <w:color w:val="auto"/>
          <w:sz w:val="22"/>
          <w:szCs w:val="22"/>
        </w:rPr>
      </w:pPr>
    </w:p>
    <w:p w14:paraId="432891AB" w14:textId="7FA78A33" w:rsidR="003E64B6" w:rsidRDefault="003E64B6" w:rsidP="00953969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Hand hygiene training is completed annually by all staff.</w:t>
      </w:r>
    </w:p>
    <w:p w14:paraId="63BE420F" w14:textId="77777777" w:rsidR="003E64B6" w:rsidRDefault="003E64B6" w:rsidP="00953969">
      <w:pPr>
        <w:pStyle w:val="Default"/>
        <w:rPr>
          <w:color w:val="auto"/>
          <w:sz w:val="22"/>
          <w:szCs w:val="22"/>
        </w:rPr>
      </w:pPr>
    </w:p>
    <w:p w14:paraId="335464D2" w14:textId="25A1396E" w:rsidR="003E64B6" w:rsidRPr="003E64B6" w:rsidRDefault="003E64B6" w:rsidP="00953969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The practice manager and lead nurse undertake ad-hoc training</w:t>
      </w:r>
      <w:r w:rsidR="00AD37C3">
        <w:rPr>
          <w:color w:val="auto"/>
          <w:sz w:val="22"/>
          <w:szCs w:val="22"/>
        </w:rPr>
        <w:t>/updates as and when required/available.</w:t>
      </w:r>
    </w:p>
    <w:p w14:paraId="2212EC92" w14:textId="317E581E" w:rsidR="00932CB6" w:rsidRDefault="00932CB6" w:rsidP="00953969">
      <w:pPr>
        <w:pStyle w:val="Default"/>
        <w:rPr>
          <w:b/>
          <w:bCs/>
          <w:color w:val="auto"/>
          <w:sz w:val="22"/>
          <w:szCs w:val="22"/>
        </w:rPr>
      </w:pPr>
    </w:p>
    <w:p w14:paraId="189CB16B" w14:textId="77777777" w:rsidR="00932CB6" w:rsidRDefault="00932CB6" w:rsidP="00953969">
      <w:pPr>
        <w:pStyle w:val="Default"/>
        <w:rPr>
          <w:b/>
          <w:bCs/>
          <w:color w:val="auto"/>
          <w:sz w:val="22"/>
          <w:szCs w:val="22"/>
        </w:rPr>
      </w:pPr>
    </w:p>
    <w:p w14:paraId="34BD8032" w14:textId="77777777" w:rsidR="00932CB6" w:rsidRPr="00932CB6" w:rsidRDefault="00932CB6" w:rsidP="00953969">
      <w:pPr>
        <w:pStyle w:val="Default"/>
        <w:rPr>
          <w:b/>
          <w:bCs/>
          <w:color w:val="auto"/>
          <w:sz w:val="18"/>
          <w:szCs w:val="18"/>
        </w:rPr>
      </w:pPr>
    </w:p>
    <w:p w14:paraId="7859E425" w14:textId="33AA847D" w:rsidR="00953969" w:rsidRPr="004F104A" w:rsidRDefault="00E86FC7" w:rsidP="00932CB6">
      <w:pPr>
        <w:pStyle w:val="Default"/>
        <w:numPr>
          <w:ilvl w:val="0"/>
          <w:numId w:val="4"/>
        </w:numPr>
        <w:rPr>
          <w:color w:val="0070C0"/>
          <w:sz w:val="22"/>
          <w:szCs w:val="22"/>
        </w:rPr>
      </w:pPr>
      <w:r w:rsidRPr="004F104A">
        <w:rPr>
          <w:b/>
          <w:bCs/>
          <w:color w:val="0070C0"/>
          <w:sz w:val="22"/>
          <w:szCs w:val="22"/>
        </w:rPr>
        <w:t xml:space="preserve">IPC </w:t>
      </w:r>
      <w:r w:rsidR="00953969" w:rsidRPr="004F104A">
        <w:rPr>
          <w:b/>
          <w:bCs/>
          <w:color w:val="0070C0"/>
          <w:sz w:val="22"/>
          <w:szCs w:val="22"/>
        </w:rPr>
        <w:t>Policies</w:t>
      </w:r>
      <w:r w:rsidRPr="004F104A">
        <w:rPr>
          <w:b/>
          <w:bCs/>
          <w:color w:val="0070C0"/>
          <w:sz w:val="22"/>
          <w:szCs w:val="22"/>
        </w:rPr>
        <w:t>, procedures and guidance</w:t>
      </w:r>
    </w:p>
    <w:p w14:paraId="2B9251DA" w14:textId="1B56DD4C" w:rsidR="00E86FC7" w:rsidRPr="00932CB6" w:rsidRDefault="00E86FC7" w:rsidP="00E86FC7">
      <w:pPr>
        <w:pStyle w:val="Default"/>
        <w:rPr>
          <w:i/>
          <w:iCs/>
          <w:color w:val="auto"/>
          <w:sz w:val="18"/>
          <w:szCs w:val="18"/>
        </w:rPr>
      </w:pPr>
      <w:r w:rsidRPr="00932CB6">
        <w:rPr>
          <w:i/>
          <w:iCs/>
          <w:color w:val="auto"/>
          <w:sz w:val="18"/>
          <w:szCs w:val="18"/>
        </w:rPr>
        <w:t>Provide details of all policy reviews and updates, together with details of how changes have been implemented.</w:t>
      </w:r>
    </w:p>
    <w:p w14:paraId="1E52B823" w14:textId="77777777" w:rsidR="00AD37C3" w:rsidRDefault="00AD37C3" w:rsidP="00AD37C3">
      <w:pPr>
        <w:jc w:val="both"/>
      </w:pPr>
    </w:p>
    <w:p w14:paraId="5DEBCE7D" w14:textId="6DFD026B" w:rsidR="00AD37C3" w:rsidRDefault="00AD37C3" w:rsidP="00AD37C3">
      <w:pPr>
        <w:spacing w:after="0"/>
        <w:jc w:val="both"/>
        <w:rPr>
          <w:rFonts w:ascii="Arial" w:hAnsi="Arial" w:cs="Arial"/>
        </w:rPr>
      </w:pPr>
      <w:r w:rsidRPr="00AD37C3">
        <w:rPr>
          <w:rFonts w:ascii="Arial" w:hAnsi="Arial" w:cs="Arial"/>
        </w:rPr>
        <w:t>The</w:t>
      </w:r>
      <w:r w:rsidRPr="00AD37C3">
        <w:rPr>
          <w:rFonts w:ascii="Arial" w:hAnsi="Arial" w:cs="Arial"/>
        </w:rPr>
        <w:t xml:space="preserve"> Practice sits within the Nottingham City ICB and reports to </w:t>
      </w:r>
      <w:r w:rsidRPr="00AD37C3">
        <w:rPr>
          <w:rFonts w:ascii="Arial" w:hAnsi="Arial" w:cs="Arial"/>
          <w:lang w:eastAsia="en-GB"/>
        </w:rPr>
        <w:t>NHS England</w:t>
      </w:r>
      <w:r w:rsidRPr="00AD37C3">
        <w:rPr>
          <w:rFonts w:ascii="Arial" w:hAnsi="Arial" w:cs="Arial"/>
        </w:rPr>
        <w:t xml:space="preserve">. As part of its governing role NHSE commission a bi-annual Infection Control audit from Nottingham </w:t>
      </w:r>
      <w:proofErr w:type="spellStart"/>
      <w:r w:rsidRPr="00AD37C3">
        <w:rPr>
          <w:rFonts w:ascii="Arial" w:hAnsi="Arial" w:cs="Arial"/>
        </w:rPr>
        <w:t>CityCare</w:t>
      </w:r>
      <w:proofErr w:type="spellEnd"/>
      <w:r w:rsidRPr="00AD37C3">
        <w:rPr>
          <w:rFonts w:ascii="Arial" w:hAnsi="Arial" w:cs="Arial"/>
        </w:rPr>
        <w:t xml:space="preserve">.  </w:t>
      </w:r>
    </w:p>
    <w:p w14:paraId="5FA6AEDA" w14:textId="77777777" w:rsidR="00AD37C3" w:rsidRPr="00AD37C3" w:rsidRDefault="00AD37C3" w:rsidP="00AD37C3">
      <w:pPr>
        <w:spacing w:after="0"/>
        <w:jc w:val="both"/>
        <w:rPr>
          <w:rFonts w:ascii="Arial" w:eastAsia="Calibri" w:hAnsi="Arial" w:cs="Arial"/>
          <w:lang w:eastAsia="en-GB"/>
        </w:rPr>
      </w:pPr>
    </w:p>
    <w:p w14:paraId="31F8AD99" w14:textId="23CF2FF4" w:rsidR="00AD37C3" w:rsidRPr="00AD37C3" w:rsidRDefault="00AD37C3" w:rsidP="00AD37C3">
      <w:pPr>
        <w:spacing w:after="0"/>
        <w:jc w:val="both"/>
        <w:rPr>
          <w:rFonts w:ascii="Arial" w:hAnsi="Arial" w:cs="Arial"/>
        </w:rPr>
      </w:pPr>
      <w:r w:rsidRPr="00AD37C3">
        <w:rPr>
          <w:rFonts w:ascii="Arial" w:hAnsi="Arial" w:cs="Arial"/>
        </w:rPr>
        <w:t xml:space="preserve">The practice has therefore adopted the </w:t>
      </w:r>
      <w:r>
        <w:rPr>
          <w:rFonts w:ascii="Arial" w:hAnsi="Arial" w:cs="Arial"/>
        </w:rPr>
        <w:t>Infection Control</w:t>
      </w:r>
      <w:r w:rsidRPr="00AD37C3">
        <w:rPr>
          <w:rFonts w:ascii="Arial" w:hAnsi="Arial" w:cs="Arial"/>
        </w:rPr>
        <w:t xml:space="preserve"> policies from Nottingham </w:t>
      </w:r>
      <w:proofErr w:type="spellStart"/>
      <w:r w:rsidRPr="00AD37C3">
        <w:rPr>
          <w:rFonts w:ascii="Arial" w:hAnsi="Arial" w:cs="Arial"/>
        </w:rPr>
        <w:t>CityCare</w:t>
      </w:r>
      <w:proofErr w:type="spellEnd"/>
      <w:r w:rsidRPr="00AD37C3">
        <w:rPr>
          <w:rFonts w:ascii="Arial" w:hAnsi="Arial" w:cs="Arial"/>
        </w:rPr>
        <w:t xml:space="preserve">.  </w:t>
      </w:r>
    </w:p>
    <w:p w14:paraId="121B095E" w14:textId="56D1105E" w:rsidR="00AD37C3" w:rsidRDefault="00AD37C3" w:rsidP="00AD37C3">
      <w:pPr>
        <w:spacing w:after="0"/>
        <w:jc w:val="both"/>
      </w:pPr>
      <w:r w:rsidRPr="00AD37C3">
        <w:rPr>
          <w:rFonts w:ascii="Arial" w:hAnsi="Arial" w:cs="Arial"/>
        </w:rPr>
        <w:t xml:space="preserve">Policies are available to download/view on </w:t>
      </w:r>
      <w:proofErr w:type="spellStart"/>
      <w:r w:rsidRPr="00AD37C3">
        <w:rPr>
          <w:rFonts w:ascii="Arial" w:hAnsi="Arial" w:cs="Arial"/>
        </w:rPr>
        <w:t>Agilio</w:t>
      </w:r>
      <w:proofErr w:type="spellEnd"/>
      <w:r w:rsidRPr="00AD37C3">
        <w:rPr>
          <w:rFonts w:ascii="Arial" w:hAnsi="Arial" w:cs="Arial"/>
        </w:rPr>
        <w:t xml:space="preserve"> </w:t>
      </w:r>
      <w:proofErr w:type="spellStart"/>
      <w:r w:rsidRPr="00AD37C3">
        <w:rPr>
          <w:rFonts w:ascii="Arial" w:hAnsi="Arial" w:cs="Arial"/>
        </w:rPr>
        <w:t>TeamNet</w:t>
      </w:r>
      <w:proofErr w:type="spellEnd"/>
      <w:r w:rsidRPr="00AD37C3">
        <w:rPr>
          <w:rFonts w:ascii="Arial" w:hAnsi="Arial" w:cs="Arial"/>
        </w:rPr>
        <w:t xml:space="preserve"> which all staff have access to.</w:t>
      </w:r>
      <w:r>
        <w:t xml:space="preserve"> </w:t>
      </w:r>
    </w:p>
    <w:p w14:paraId="309CDD63" w14:textId="77777777" w:rsidR="00932CB6" w:rsidRDefault="00932CB6" w:rsidP="00AD37C3">
      <w:pPr>
        <w:pStyle w:val="Default"/>
        <w:rPr>
          <w:color w:val="auto"/>
          <w:sz w:val="22"/>
          <w:szCs w:val="22"/>
        </w:rPr>
      </w:pPr>
    </w:p>
    <w:p w14:paraId="236DBFE7" w14:textId="77777777" w:rsidR="00932CB6" w:rsidRPr="00932CB6" w:rsidRDefault="00932CB6" w:rsidP="00953969">
      <w:pPr>
        <w:pStyle w:val="Default"/>
        <w:rPr>
          <w:color w:val="auto"/>
          <w:sz w:val="18"/>
          <w:szCs w:val="18"/>
        </w:rPr>
      </w:pPr>
    </w:p>
    <w:p w14:paraId="020158E2" w14:textId="03DFCFAE" w:rsidR="00E86FC7" w:rsidRPr="004F104A" w:rsidRDefault="00E86FC7" w:rsidP="00932CB6">
      <w:pPr>
        <w:pStyle w:val="Default"/>
        <w:numPr>
          <w:ilvl w:val="0"/>
          <w:numId w:val="4"/>
        </w:numPr>
        <w:rPr>
          <w:b/>
          <w:bCs/>
          <w:color w:val="0070C0"/>
          <w:sz w:val="22"/>
          <w:szCs w:val="22"/>
        </w:rPr>
      </w:pPr>
      <w:r w:rsidRPr="004F104A">
        <w:rPr>
          <w:b/>
          <w:bCs/>
          <w:color w:val="0070C0"/>
          <w:sz w:val="22"/>
          <w:szCs w:val="22"/>
        </w:rPr>
        <w:t>Antimicrobial prescribing and stewardship</w:t>
      </w:r>
    </w:p>
    <w:p w14:paraId="1DB0C368" w14:textId="1712C2ED" w:rsidR="00E86FC7" w:rsidRPr="00932CB6" w:rsidRDefault="00E86FC7" w:rsidP="00953969">
      <w:pPr>
        <w:pStyle w:val="Default"/>
        <w:rPr>
          <w:i/>
          <w:iCs/>
          <w:color w:val="auto"/>
          <w:sz w:val="18"/>
          <w:szCs w:val="18"/>
        </w:rPr>
      </w:pPr>
      <w:r w:rsidRPr="00932CB6">
        <w:rPr>
          <w:i/>
          <w:iCs/>
          <w:color w:val="auto"/>
          <w:sz w:val="18"/>
          <w:szCs w:val="18"/>
        </w:rPr>
        <w:t>Provide details of all activities undertaken to promote and improve antimicrobial prescribing and stewardship.</w:t>
      </w:r>
    </w:p>
    <w:p w14:paraId="5879F966" w14:textId="21C231E0" w:rsidR="00AD37C3" w:rsidRPr="00AD37C3" w:rsidRDefault="00AD37C3" w:rsidP="00AD37C3">
      <w:pPr>
        <w:pStyle w:val="NormalWeb"/>
        <w:shd w:val="clear" w:color="auto" w:fill="FFFFFF"/>
        <w:rPr>
          <w:rFonts w:ascii="Arial" w:hAnsi="Arial" w:cs="Arial"/>
          <w:color w:val="4B5563"/>
          <w:sz w:val="22"/>
          <w:szCs w:val="22"/>
        </w:rPr>
      </w:pPr>
      <w:r w:rsidRPr="00AD37C3">
        <w:rPr>
          <w:rFonts w:ascii="Arial" w:hAnsi="Arial" w:cs="Arial"/>
          <w:color w:val="4B5563"/>
          <w:sz w:val="22"/>
          <w:szCs w:val="22"/>
        </w:rPr>
        <w:t>A</w:t>
      </w:r>
      <w:r w:rsidRPr="00AD37C3">
        <w:rPr>
          <w:rFonts w:ascii="Arial" w:hAnsi="Arial" w:cs="Arial"/>
          <w:color w:val="4B5563"/>
          <w:sz w:val="22"/>
          <w:szCs w:val="22"/>
        </w:rPr>
        <w:t>ll</w:t>
      </w:r>
      <w:r w:rsidRPr="00AD37C3">
        <w:rPr>
          <w:rFonts w:ascii="Arial" w:hAnsi="Arial" w:cs="Arial"/>
          <w:color w:val="4B5563"/>
          <w:sz w:val="22"/>
          <w:szCs w:val="22"/>
        </w:rPr>
        <w:t xml:space="preserve"> our</w:t>
      </w:r>
      <w:r w:rsidRPr="00AD37C3">
        <w:rPr>
          <w:rFonts w:ascii="Arial" w:hAnsi="Arial" w:cs="Arial"/>
          <w:color w:val="4B5563"/>
          <w:sz w:val="22"/>
          <w:szCs w:val="22"/>
        </w:rPr>
        <w:t xml:space="preserve"> clinicians play a role in reducing antibiotic resistance by practicing antibiotic stewardship. This means not prescribing antibiotics for patients who are unlikely to suffer from bacterial infection, whil</w:t>
      </w:r>
      <w:r w:rsidRPr="00AD37C3">
        <w:rPr>
          <w:rFonts w:ascii="Arial" w:hAnsi="Arial" w:cs="Arial"/>
          <w:color w:val="4B5563"/>
          <w:sz w:val="22"/>
          <w:szCs w:val="22"/>
        </w:rPr>
        <w:t xml:space="preserve">st </w:t>
      </w:r>
      <w:r w:rsidRPr="00AD37C3">
        <w:rPr>
          <w:rFonts w:ascii="Arial" w:hAnsi="Arial" w:cs="Arial"/>
          <w:color w:val="4B5563"/>
          <w:sz w:val="22"/>
          <w:szCs w:val="22"/>
        </w:rPr>
        <w:t xml:space="preserve">ensuring </w:t>
      </w:r>
      <w:r w:rsidRPr="00AD37C3">
        <w:rPr>
          <w:rFonts w:ascii="Arial" w:hAnsi="Arial" w:cs="Arial"/>
          <w:color w:val="4B5563"/>
          <w:sz w:val="22"/>
          <w:szCs w:val="22"/>
        </w:rPr>
        <w:t>that</w:t>
      </w:r>
      <w:r w:rsidRPr="00AD37C3">
        <w:rPr>
          <w:rFonts w:ascii="Arial" w:hAnsi="Arial" w:cs="Arial"/>
          <w:color w:val="4B5563"/>
          <w:sz w:val="22"/>
          <w:szCs w:val="22"/>
        </w:rPr>
        <w:t xml:space="preserve"> patients who do require antibiotic treatment receive the appropriate antibiotics, at the correct dose and for the proper duratio</w:t>
      </w:r>
      <w:r w:rsidR="0009778E">
        <w:rPr>
          <w:rFonts w:ascii="Arial" w:hAnsi="Arial" w:cs="Arial"/>
          <w:color w:val="4B5563"/>
          <w:sz w:val="22"/>
          <w:szCs w:val="22"/>
        </w:rPr>
        <w:t>n as per the Nottinghamshire Area Prescribing Committee guidelines.</w:t>
      </w:r>
    </w:p>
    <w:p w14:paraId="6FA7DFDB" w14:textId="37402228" w:rsidR="00AD37C3" w:rsidRPr="00AD37C3" w:rsidRDefault="00AD37C3" w:rsidP="00AD37C3">
      <w:pPr>
        <w:pStyle w:val="NormalWeb"/>
        <w:shd w:val="clear" w:color="auto" w:fill="FFFFFF"/>
        <w:rPr>
          <w:rFonts w:ascii="Arial" w:hAnsi="Arial" w:cs="Arial"/>
          <w:color w:val="4B5563"/>
          <w:sz w:val="22"/>
          <w:szCs w:val="22"/>
        </w:rPr>
      </w:pPr>
      <w:r w:rsidRPr="00AD37C3">
        <w:rPr>
          <w:rFonts w:ascii="Arial" w:hAnsi="Arial" w:cs="Arial"/>
          <w:color w:val="4B5563"/>
          <w:sz w:val="22"/>
          <w:szCs w:val="22"/>
        </w:rPr>
        <w:t xml:space="preserve">We monitor our prescribing of antibiotics </w:t>
      </w:r>
      <w:r w:rsidR="0009778E">
        <w:rPr>
          <w:rFonts w:ascii="Arial" w:hAnsi="Arial" w:cs="Arial"/>
          <w:color w:val="4B5563"/>
          <w:sz w:val="22"/>
          <w:szCs w:val="22"/>
        </w:rPr>
        <w:t>via bi-annual Prescribing reports and ongoing through any learning events.</w:t>
      </w:r>
    </w:p>
    <w:p w14:paraId="64D63E3F" w14:textId="617D85E1" w:rsidR="00E86FC7" w:rsidRPr="00AD37C3" w:rsidRDefault="00E86FC7" w:rsidP="00953969">
      <w:pPr>
        <w:pStyle w:val="Default"/>
        <w:rPr>
          <w:color w:val="auto"/>
          <w:sz w:val="22"/>
          <w:szCs w:val="22"/>
        </w:rPr>
      </w:pPr>
    </w:p>
    <w:p w14:paraId="40699010" w14:textId="6963501E" w:rsidR="00932CB6" w:rsidRPr="00AD37C3" w:rsidRDefault="0009778E" w:rsidP="00953969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This statement will be reviewed annually – next review date August 2025.</w:t>
      </w:r>
    </w:p>
    <w:sectPr w:rsidR="00932CB6" w:rsidRPr="00AD37C3" w:rsidSect="004F104A">
      <w:footerReference w:type="default" r:id="rId8"/>
      <w:pgSz w:w="11906" w:h="16838"/>
      <w:pgMar w:top="709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5F13A" w14:textId="77777777" w:rsidR="00230472" w:rsidRDefault="00230472" w:rsidP="00230472">
      <w:pPr>
        <w:spacing w:after="0" w:line="240" w:lineRule="auto"/>
      </w:pPr>
      <w:r>
        <w:separator/>
      </w:r>
    </w:p>
  </w:endnote>
  <w:endnote w:type="continuationSeparator" w:id="0">
    <w:p w14:paraId="73E0FCD6" w14:textId="77777777" w:rsidR="00230472" w:rsidRDefault="00230472" w:rsidP="00230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101C2" w14:textId="6CB3E672" w:rsidR="00230472" w:rsidRDefault="00230472" w:rsidP="00230472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</w:p>
  <w:tbl>
    <w:tblPr>
      <w:tblStyle w:val="TableGrid"/>
      <w:tblW w:w="10632" w:type="dxa"/>
      <w:tblInd w:w="-856" w:type="dxa"/>
      <w:tblLook w:val="04A0" w:firstRow="1" w:lastRow="0" w:firstColumn="1" w:lastColumn="0" w:noHBand="0" w:noVBand="1"/>
    </w:tblPr>
    <w:tblGrid>
      <w:gridCol w:w="5813"/>
      <w:gridCol w:w="2835"/>
      <w:gridCol w:w="1984"/>
    </w:tblGrid>
    <w:tr w:rsidR="00AD37C3" w:rsidRPr="00AD37C3" w14:paraId="2D8DFCCA" w14:textId="77777777" w:rsidTr="0009778E">
      <w:tc>
        <w:tcPr>
          <w:tcW w:w="5813" w:type="dxa"/>
        </w:tcPr>
        <w:p w14:paraId="6DCF5720" w14:textId="52F76613" w:rsidR="00AD37C3" w:rsidRPr="00AD37C3" w:rsidRDefault="00AD37C3" w:rsidP="00230472">
          <w:pPr>
            <w:pStyle w:val="Footer"/>
            <w:rPr>
              <w:rFonts w:ascii="Arial" w:hAnsi="Arial" w:cs="Arial"/>
              <w:i/>
              <w:iCs/>
              <w:sz w:val="18"/>
              <w:szCs w:val="18"/>
            </w:rPr>
          </w:pPr>
          <w:r w:rsidRPr="00AD37C3">
            <w:rPr>
              <w:rFonts w:ascii="Arial" w:hAnsi="Arial" w:cs="Arial"/>
              <w:i/>
              <w:iCs/>
              <w:sz w:val="18"/>
              <w:szCs w:val="18"/>
            </w:rPr>
            <w:t>THMP Policies/Annual statement on compliance with IPC practice for General Practice</w:t>
          </w:r>
        </w:p>
      </w:tc>
      <w:tc>
        <w:tcPr>
          <w:tcW w:w="2835" w:type="dxa"/>
        </w:tcPr>
        <w:p w14:paraId="464E6076" w14:textId="4C9CA258" w:rsidR="00AD37C3" w:rsidRPr="00AD37C3" w:rsidRDefault="00AD37C3" w:rsidP="00AD37C3">
          <w:pPr>
            <w:pStyle w:val="Footer"/>
            <w:jc w:val="center"/>
            <w:rPr>
              <w:rFonts w:ascii="Arial" w:hAnsi="Arial" w:cs="Arial"/>
              <w:i/>
              <w:iCs/>
              <w:sz w:val="18"/>
              <w:szCs w:val="18"/>
            </w:rPr>
          </w:pPr>
          <w:r w:rsidRPr="00AD37C3">
            <w:rPr>
              <w:rFonts w:ascii="Arial" w:hAnsi="Arial" w:cs="Arial"/>
              <w:i/>
              <w:iCs/>
              <w:sz w:val="18"/>
              <w:szCs w:val="18"/>
            </w:rPr>
            <w:t xml:space="preserve">Page </w:t>
          </w:r>
          <w:r w:rsidRPr="00AD37C3">
            <w:rPr>
              <w:rFonts w:ascii="Arial" w:hAnsi="Arial" w:cs="Arial"/>
              <w:i/>
              <w:iCs/>
              <w:sz w:val="18"/>
              <w:szCs w:val="18"/>
            </w:rPr>
            <w:fldChar w:fldCharType="begin"/>
          </w:r>
          <w:r w:rsidRPr="00AD37C3">
            <w:rPr>
              <w:rFonts w:ascii="Arial" w:hAnsi="Arial" w:cs="Arial"/>
              <w:i/>
              <w:iCs/>
              <w:sz w:val="18"/>
              <w:szCs w:val="18"/>
            </w:rPr>
            <w:instrText xml:space="preserve"> PAGE   \* MERGEFORMAT </w:instrText>
          </w:r>
          <w:r w:rsidRPr="00AD37C3">
            <w:rPr>
              <w:rFonts w:ascii="Arial" w:hAnsi="Arial" w:cs="Arial"/>
              <w:i/>
              <w:iCs/>
              <w:sz w:val="18"/>
              <w:szCs w:val="18"/>
            </w:rPr>
            <w:fldChar w:fldCharType="separate"/>
          </w:r>
          <w:r w:rsidRPr="00AD37C3">
            <w:rPr>
              <w:rFonts w:ascii="Arial" w:hAnsi="Arial" w:cs="Arial"/>
              <w:i/>
              <w:iCs/>
              <w:sz w:val="18"/>
              <w:szCs w:val="18"/>
            </w:rPr>
            <w:t>2</w:t>
          </w:r>
          <w:r w:rsidRPr="00AD37C3">
            <w:rPr>
              <w:rFonts w:ascii="Arial" w:hAnsi="Arial" w:cs="Arial"/>
              <w:i/>
              <w:iCs/>
              <w:sz w:val="18"/>
              <w:szCs w:val="18"/>
            </w:rPr>
            <w:fldChar w:fldCharType="end"/>
          </w:r>
          <w:r w:rsidRPr="00AD37C3">
            <w:rPr>
              <w:rFonts w:ascii="Arial" w:hAnsi="Arial" w:cs="Arial"/>
              <w:i/>
              <w:iCs/>
              <w:sz w:val="18"/>
              <w:szCs w:val="18"/>
            </w:rPr>
            <w:t xml:space="preserve"> of </w:t>
          </w:r>
          <w:r w:rsidRPr="00AD37C3">
            <w:rPr>
              <w:rFonts w:ascii="Arial" w:hAnsi="Arial" w:cs="Arial"/>
              <w:i/>
              <w:iCs/>
              <w:sz w:val="18"/>
              <w:szCs w:val="18"/>
            </w:rPr>
            <w:fldChar w:fldCharType="begin"/>
          </w:r>
          <w:r w:rsidRPr="00AD37C3">
            <w:rPr>
              <w:rFonts w:ascii="Arial" w:hAnsi="Arial" w:cs="Arial"/>
              <w:i/>
              <w:iCs/>
              <w:sz w:val="18"/>
              <w:szCs w:val="18"/>
            </w:rPr>
            <w:instrText xml:space="preserve"> NUMPAGES   \* MERGEFORMAT </w:instrText>
          </w:r>
          <w:r w:rsidRPr="00AD37C3">
            <w:rPr>
              <w:rFonts w:ascii="Arial" w:hAnsi="Arial" w:cs="Arial"/>
              <w:i/>
              <w:iCs/>
              <w:sz w:val="18"/>
              <w:szCs w:val="18"/>
            </w:rPr>
            <w:fldChar w:fldCharType="separate"/>
          </w:r>
          <w:r w:rsidRPr="00AD37C3">
            <w:rPr>
              <w:rFonts w:ascii="Arial" w:hAnsi="Arial" w:cs="Arial"/>
              <w:i/>
              <w:iCs/>
              <w:sz w:val="18"/>
              <w:szCs w:val="18"/>
            </w:rPr>
            <w:t>3</w:t>
          </w:r>
          <w:r w:rsidRPr="00AD37C3">
            <w:rPr>
              <w:rFonts w:ascii="Arial" w:hAnsi="Arial" w:cs="Arial"/>
              <w:i/>
              <w:iCs/>
              <w:sz w:val="18"/>
              <w:szCs w:val="18"/>
            </w:rPr>
            <w:fldChar w:fldCharType="end"/>
          </w:r>
        </w:p>
      </w:tc>
      <w:tc>
        <w:tcPr>
          <w:tcW w:w="1984" w:type="dxa"/>
        </w:tcPr>
        <w:p w14:paraId="47D766C2" w14:textId="3864D0A5" w:rsidR="00AD37C3" w:rsidRPr="00AD37C3" w:rsidRDefault="00AD37C3" w:rsidP="00AD37C3">
          <w:pPr>
            <w:pStyle w:val="Footer"/>
            <w:jc w:val="right"/>
            <w:rPr>
              <w:rFonts w:ascii="Arial" w:hAnsi="Arial" w:cs="Arial"/>
              <w:i/>
              <w:iCs/>
              <w:sz w:val="18"/>
              <w:szCs w:val="18"/>
            </w:rPr>
          </w:pPr>
          <w:r w:rsidRPr="00AD37C3">
            <w:rPr>
              <w:rFonts w:ascii="Arial" w:hAnsi="Arial" w:cs="Arial"/>
              <w:i/>
              <w:iCs/>
              <w:sz w:val="18"/>
              <w:szCs w:val="18"/>
            </w:rPr>
            <w:t>Aug 2024</w:t>
          </w:r>
        </w:p>
      </w:tc>
    </w:tr>
  </w:tbl>
  <w:p w14:paraId="6DF7C0A6" w14:textId="77777777" w:rsidR="00AD37C3" w:rsidRPr="00230472" w:rsidRDefault="00AD37C3" w:rsidP="00230472">
    <w:pPr>
      <w:pStyle w:val="Foo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4DE15" w14:textId="77777777" w:rsidR="00230472" w:rsidRDefault="00230472" w:rsidP="00230472">
      <w:pPr>
        <w:spacing w:after="0" w:line="240" w:lineRule="auto"/>
      </w:pPr>
      <w:r>
        <w:separator/>
      </w:r>
    </w:p>
  </w:footnote>
  <w:footnote w:type="continuationSeparator" w:id="0">
    <w:p w14:paraId="558B4963" w14:textId="77777777" w:rsidR="00230472" w:rsidRDefault="00230472" w:rsidP="002304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A4266"/>
    <w:multiLevelType w:val="hybridMultilevel"/>
    <w:tmpl w:val="A6B02D2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FA5CE9"/>
    <w:multiLevelType w:val="hybridMultilevel"/>
    <w:tmpl w:val="3F921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C32C4F"/>
    <w:multiLevelType w:val="hybridMultilevel"/>
    <w:tmpl w:val="17A456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9EA618C"/>
    <w:multiLevelType w:val="hybridMultilevel"/>
    <w:tmpl w:val="244E33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AD50DB"/>
    <w:multiLevelType w:val="hybridMultilevel"/>
    <w:tmpl w:val="49FCB44A"/>
    <w:lvl w:ilvl="0" w:tplc="020E2B8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99768014">
    <w:abstractNumId w:val="1"/>
  </w:num>
  <w:num w:numId="2" w16cid:durableId="2010401711">
    <w:abstractNumId w:val="2"/>
  </w:num>
  <w:num w:numId="3" w16cid:durableId="391780949">
    <w:abstractNumId w:val="0"/>
  </w:num>
  <w:num w:numId="4" w16cid:durableId="2003074810">
    <w:abstractNumId w:val="4"/>
  </w:num>
  <w:num w:numId="5" w16cid:durableId="16292446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2F8"/>
    <w:rsid w:val="0009778E"/>
    <w:rsid w:val="00230472"/>
    <w:rsid w:val="00246B32"/>
    <w:rsid w:val="002C0C5C"/>
    <w:rsid w:val="003E64B6"/>
    <w:rsid w:val="004060D2"/>
    <w:rsid w:val="004F104A"/>
    <w:rsid w:val="005A72F8"/>
    <w:rsid w:val="00664100"/>
    <w:rsid w:val="006A467B"/>
    <w:rsid w:val="007813F4"/>
    <w:rsid w:val="00792528"/>
    <w:rsid w:val="007A215D"/>
    <w:rsid w:val="008253A9"/>
    <w:rsid w:val="00932CB6"/>
    <w:rsid w:val="00953969"/>
    <w:rsid w:val="00AB7CEE"/>
    <w:rsid w:val="00AD37C3"/>
    <w:rsid w:val="00E67CF0"/>
    <w:rsid w:val="00E73DFF"/>
    <w:rsid w:val="00E8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0EE108"/>
  <w15:chartTrackingRefBased/>
  <w15:docId w15:val="{6A42F52D-BF43-4862-92A8-4E339E6C0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A72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72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72F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72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72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72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72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72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72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72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72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72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72F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72F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72F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72F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72F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72F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A72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A72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72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A72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A72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A72F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A72F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A72F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72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72F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A72F8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95396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304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0472"/>
  </w:style>
  <w:style w:type="paragraph" w:styleId="Footer">
    <w:name w:val="footer"/>
    <w:basedOn w:val="Normal"/>
    <w:link w:val="FooterChar"/>
    <w:unhideWhenUsed/>
    <w:rsid w:val="002304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0472"/>
  </w:style>
  <w:style w:type="table" w:styleId="TableGrid">
    <w:name w:val="Table Grid"/>
    <w:basedOn w:val="TableNormal"/>
    <w:uiPriority w:val="39"/>
    <w:rsid w:val="00E86F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F104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104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D37C3"/>
    <w:rPr>
      <w:color w:val="96607D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D37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6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673</Words>
  <Characters>3839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Annual IPC statement for GP</vt:lpstr>
    </vt:vector>
  </TitlesOfParts>
  <Company/>
  <LinksUpToDate>false</LinksUpToDate>
  <CharactersWithSpaces>4503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Annual IPC statement for GP</dc:title>
  <dc:subject/>
  <dc:creator>Anna Padget</dc:creator>
  <cp:keywords/>
  <dc:description/>
  <cp:lastModifiedBy>Patricia Gibbons</cp:lastModifiedBy>
  <cp:revision>3</cp:revision>
  <cp:lastPrinted>2024-02-21T14:37:00Z</cp:lastPrinted>
  <dcterms:created xsi:type="dcterms:W3CDTF">2024-08-07T08:03:00Z</dcterms:created>
  <dcterms:modified xsi:type="dcterms:W3CDTF">2024-08-07T08:04:00Z</dcterms:modified>
</cp:coreProperties>
</file>