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61" w:rsidRDefault="003E6961" w:rsidP="003E6961">
      <w:pPr>
        <w:pStyle w:val="Header"/>
        <w:jc w:val="center"/>
        <w:rPr>
          <w:b/>
          <w:sz w:val="24"/>
          <w:szCs w:val="24"/>
        </w:rPr>
      </w:pPr>
      <w:bookmarkStart w:id="0" w:name="_GoBack"/>
      <w:bookmarkEnd w:id="0"/>
      <w:r>
        <w:rPr>
          <w:b/>
          <w:sz w:val="24"/>
          <w:szCs w:val="24"/>
        </w:rPr>
        <w:t>Patient Participation Group M</w:t>
      </w:r>
      <w:r w:rsidRPr="00895F84">
        <w:rPr>
          <w:b/>
          <w:sz w:val="24"/>
          <w:szCs w:val="24"/>
        </w:rPr>
        <w:t xml:space="preserve">eeting </w:t>
      </w:r>
      <w:r>
        <w:rPr>
          <w:b/>
          <w:sz w:val="24"/>
          <w:szCs w:val="24"/>
        </w:rPr>
        <w:t>Minutes</w:t>
      </w:r>
    </w:p>
    <w:p w:rsidR="00C95084" w:rsidRDefault="00C95084" w:rsidP="003E6961">
      <w:pPr>
        <w:pStyle w:val="Header"/>
        <w:jc w:val="center"/>
        <w:rPr>
          <w:b/>
          <w:sz w:val="24"/>
          <w:szCs w:val="24"/>
        </w:rPr>
      </w:pPr>
    </w:p>
    <w:tbl>
      <w:tblPr>
        <w:tblStyle w:val="TableGrid"/>
        <w:tblW w:w="9180" w:type="dxa"/>
        <w:tblLook w:val="04A0" w:firstRow="1" w:lastRow="0" w:firstColumn="1" w:lastColumn="0" w:noHBand="0" w:noVBand="1"/>
      </w:tblPr>
      <w:tblGrid>
        <w:gridCol w:w="1951"/>
        <w:gridCol w:w="2835"/>
        <w:gridCol w:w="1134"/>
        <w:gridCol w:w="3260"/>
      </w:tblGrid>
      <w:tr w:rsidR="00895F84" w:rsidTr="004833FB">
        <w:tc>
          <w:tcPr>
            <w:tcW w:w="1951" w:type="dxa"/>
            <w:shd w:val="clear" w:color="auto" w:fill="BFBFBF" w:themeFill="background1" w:themeFillShade="BF"/>
          </w:tcPr>
          <w:p w:rsidR="00895F84" w:rsidRPr="00895F84" w:rsidRDefault="00895F84">
            <w:pPr>
              <w:rPr>
                <w:b/>
              </w:rPr>
            </w:pPr>
            <w:r w:rsidRPr="00895F84">
              <w:rPr>
                <w:b/>
              </w:rPr>
              <w:t>Date/Time</w:t>
            </w:r>
          </w:p>
        </w:tc>
        <w:tc>
          <w:tcPr>
            <w:tcW w:w="2835" w:type="dxa"/>
          </w:tcPr>
          <w:p w:rsidR="00895F84" w:rsidRDefault="003E6961" w:rsidP="004833FB">
            <w:r>
              <w:t>23</w:t>
            </w:r>
            <w:r w:rsidRPr="003E6961">
              <w:rPr>
                <w:vertAlign w:val="superscript"/>
              </w:rPr>
              <w:t>rd</w:t>
            </w:r>
            <w:r>
              <w:t xml:space="preserve"> November</w:t>
            </w:r>
            <w:r w:rsidR="004833FB">
              <w:t xml:space="preserve"> 2017 5</w:t>
            </w:r>
            <w:r w:rsidR="00CE007C">
              <w:t>pm</w:t>
            </w:r>
          </w:p>
        </w:tc>
        <w:tc>
          <w:tcPr>
            <w:tcW w:w="1134" w:type="dxa"/>
            <w:shd w:val="clear" w:color="auto" w:fill="BFBFBF" w:themeFill="background1" w:themeFillShade="BF"/>
          </w:tcPr>
          <w:p w:rsidR="00895F84" w:rsidRPr="00895F84" w:rsidRDefault="00895F84">
            <w:pPr>
              <w:rPr>
                <w:b/>
              </w:rPr>
            </w:pPr>
            <w:r w:rsidRPr="00895F84">
              <w:rPr>
                <w:b/>
              </w:rPr>
              <w:t>V</w:t>
            </w:r>
            <w:r w:rsidRPr="00E72109">
              <w:rPr>
                <w:b/>
                <w:shd w:val="clear" w:color="auto" w:fill="BFBFBF" w:themeFill="background1" w:themeFillShade="BF"/>
              </w:rPr>
              <w:t>enue</w:t>
            </w:r>
          </w:p>
        </w:tc>
        <w:tc>
          <w:tcPr>
            <w:tcW w:w="3260" w:type="dxa"/>
          </w:tcPr>
          <w:p w:rsidR="00895F84" w:rsidRDefault="00CE007C">
            <w:r>
              <w:t>Priory View, Meeting room</w:t>
            </w:r>
          </w:p>
        </w:tc>
      </w:tr>
      <w:tr w:rsidR="00895F84" w:rsidTr="004833FB">
        <w:tc>
          <w:tcPr>
            <w:tcW w:w="1951" w:type="dxa"/>
            <w:shd w:val="clear" w:color="auto" w:fill="BFBFBF" w:themeFill="background1" w:themeFillShade="BF"/>
          </w:tcPr>
          <w:p w:rsidR="00895F84" w:rsidRPr="00895F84" w:rsidRDefault="00895F84">
            <w:pPr>
              <w:rPr>
                <w:b/>
              </w:rPr>
            </w:pPr>
            <w:r w:rsidRPr="00895F84">
              <w:rPr>
                <w:b/>
              </w:rPr>
              <w:t>Attendees</w:t>
            </w:r>
            <w:r w:rsidR="004833FB">
              <w:rPr>
                <w:b/>
              </w:rPr>
              <w:t xml:space="preserve"> PVMC</w:t>
            </w:r>
          </w:p>
        </w:tc>
        <w:tc>
          <w:tcPr>
            <w:tcW w:w="7229" w:type="dxa"/>
            <w:gridSpan w:val="3"/>
          </w:tcPr>
          <w:p w:rsidR="00895F84" w:rsidRDefault="00CE007C" w:rsidP="003E6961">
            <w:r>
              <w:t xml:space="preserve">Helen Walker (HW), </w:t>
            </w:r>
            <w:r w:rsidR="003E6961">
              <w:t xml:space="preserve">Dr Janine </w:t>
            </w:r>
            <w:proofErr w:type="spellStart"/>
            <w:r w:rsidR="003E6961">
              <w:t>Atha</w:t>
            </w:r>
            <w:proofErr w:type="spellEnd"/>
            <w:r w:rsidR="003E6961">
              <w:t xml:space="preserve"> (JA</w:t>
            </w:r>
            <w:r>
              <w:t xml:space="preserve"> </w:t>
            </w:r>
          </w:p>
        </w:tc>
      </w:tr>
      <w:tr w:rsidR="004833FB" w:rsidTr="004833FB">
        <w:tc>
          <w:tcPr>
            <w:tcW w:w="1951" w:type="dxa"/>
            <w:shd w:val="clear" w:color="auto" w:fill="BFBFBF" w:themeFill="background1" w:themeFillShade="BF"/>
          </w:tcPr>
          <w:p w:rsidR="004833FB" w:rsidRPr="00895F84" w:rsidRDefault="004833FB" w:rsidP="00895F84">
            <w:pPr>
              <w:rPr>
                <w:b/>
              </w:rPr>
            </w:pPr>
            <w:r>
              <w:rPr>
                <w:b/>
              </w:rPr>
              <w:t>Attendees PPG</w:t>
            </w:r>
          </w:p>
        </w:tc>
        <w:tc>
          <w:tcPr>
            <w:tcW w:w="7229" w:type="dxa"/>
            <w:gridSpan w:val="3"/>
          </w:tcPr>
          <w:p w:rsidR="004833FB" w:rsidRDefault="004833FB" w:rsidP="003E6961">
            <w:r>
              <w:t>Bob Dickson (BD), Sheila O’Connor (SO),</w:t>
            </w:r>
            <w:r w:rsidR="003E6961">
              <w:t xml:space="preserve"> David </w:t>
            </w:r>
            <w:proofErr w:type="spellStart"/>
            <w:r w:rsidR="003E6961">
              <w:t>Lunnun</w:t>
            </w:r>
            <w:proofErr w:type="spellEnd"/>
            <w:r w:rsidR="003E6961">
              <w:t xml:space="preserve"> (DL), Harry Shields (HS), Kevin Ashton (KA)</w:t>
            </w:r>
          </w:p>
        </w:tc>
      </w:tr>
      <w:tr w:rsidR="00895F84" w:rsidTr="004833FB">
        <w:tc>
          <w:tcPr>
            <w:tcW w:w="1951" w:type="dxa"/>
            <w:shd w:val="clear" w:color="auto" w:fill="BFBFBF" w:themeFill="background1" w:themeFillShade="BF"/>
          </w:tcPr>
          <w:p w:rsidR="00895F84" w:rsidRPr="00895F84" w:rsidRDefault="00895F84" w:rsidP="00895F84">
            <w:pPr>
              <w:rPr>
                <w:b/>
              </w:rPr>
            </w:pPr>
            <w:r w:rsidRPr="00895F84">
              <w:rPr>
                <w:b/>
              </w:rPr>
              <w:t>Apologies</w:t>
            </w:r>
          </w:p>
        </w:tc>
        <w:tc>
          <w:tcPr>
            <w:tcW w:w="7229" w:type="dxa"/>
            <w:gridSpan w:val="3"/>
          </w:tcPr>
          <w:p w:rsidR="00895F84" w:rsidRDefault="003E6961" w:rsidP="0021413D">
            <w:r>
              <w:t>Yvonne Clark,</w:t>
            </w:r>
            <w:r w:rsidR="004833FB">
              <w:t xml:space="preserve"> Angela Yeoman, Lillian Macfarlane </w:t>
            </w:r>
            <w:r>
              <w:t>, Brian Brock,</w:t>
            </w:r>
          </w:p>
        </w:tc>
      </w:tr>
    </w:tbl>
    <w:p w:rsidR="00895F84" w:rsidRDefault="00895F84"/>
    <w:tbl>
      <w:tblPr>
        <w:tblStyle w:val="TableGrid"/>
        <w:tblW w:w="9180" w:type="dxa"/>
        <w:tblLook w:val="04A0" w:firstRow="1" w:lastRow="0" w:firstColumn="1" w:lastColumn="0" w:noHBand="0" w:noVBand="1"/>
      </w:tblPr>
      <w:tblGrid>
        <w:gridCol w:w="674"/>
        <w:gridCol w:w="6225"/>
        <w:gridCol w:w="891"/>
        <w:gridCol w:w="1390"/>
      </w:tblGrid>
      <w:tr w:rsidR="0075270D" w:rsidTr="007C7DDB">
        <w:trPr>
          <w:tblHeader/>
        </w:trPr>
        <w:tc>
          <w:tcPr>
            <w:tcW w:w="674" w:type="dxa"/>
            <w:shd w:val="clear" w:color="auto" w:fill="BFBFBF" w:themeFill="background1" w:themeFillShade="BF"/>
          </w:tcPr>
          <w:p w:rsidR="0075270D" w:rsidRPr="00E72109" w:rsidRDefault="0075270D">
            <w:pPr>
              <w:rPr>
                <w:b/>
              </w:rPr>
            </w:pPr>
            <w:r w:rsidRPr="00E72109">
              <w:rPr>
                <w:b/>
              </w:rPr>
              <w:t>Item</w:t>
            </w:r>
          </w:p>
        </w:tc>
        <w:tc>
          <w:tcPr>
            <w:tcW w:w="6225" w:type="dxa"/>
            <w:shd w:val="clear" w:color="auto" w:fill="BFBFBF" w:themeFill="background1" w:themeFillShade="BF"/>
          </w:tcPr>
          <w:p w:rsidR="0075270D" w:rsidRPr="00E72109" w:rsidRDefault="0075270D">
            <w:pPr>
              <w:rPr>
                <w:b/>
              </w:rPr>
            </w:pPr>
            <w:r w:rsidRPr="00E72109">
              <w:rPr>
                <w:b/>
              </w:rPr>
              <w:t>Agenda Item</w:t>
            </w:r>
          </w:p>
        </w:tc>
        <w:tc>
          <w:tcPr>
            <w:tcW w:w="891" w:type="dxa"/>
            <w:shd w:val="clear" w:color="auto" w:fill="BFBFBF" w:themeFill="background1" w:themeFillShade="BF"/>
          </w:tcPr>
          <w:p w:rsidR="0075270D" w:rsidRPr="00E72109" w:rsidRDefault="0075270D" w:rsidP="0075270D">
            <w:pPr>
              <w:rPr>
                <w:b/>
              </w:rPr>
            </w:pPr>
            <w:r>
              <w:rPr>
                <w:b/>
              </w:rPr>
              <w:t>Action By</w:t>
            </w:r>
          </w:p>
        </w:tc>
        <w:tc>
          <w:tcPr>
            <w:tcW w:w="1390" w:type="dxa"/>
            <w:shd w:val="clear" w:color="auto" w:fill="BFBFBF" w:themeFill="background1" w:themeFillShade="BF"/>
          </w:tcPr>
          <w:p w:rsidR="0075270D" w:rsidRPr="00E72109" w:rsidRDefault="0075270D">
            <w:pPr>
              <w:rPr>
                <w:b/>
              </w:rPr>
            </w:pPr>
            <w:r>
              <w:rPr>
                <w:b/>
              </w:rPr>
              <w:t>Action Date</w:t>
            </w:r>
          </w:p>
        </w:tc>
      </w:tr>
      <w:tr w:rsidR="0075270D" w:rsidTr="000238B0">
        <w:tc>
          <w:tcPr>
            <w:tcW w:w="674" w:type="dxa"/>
          </w:tcPr>
          <w:p w:rsidR="0075270D" w:rsidRDefault="0075270D">
            <w:r>
              <w:t>1</w:t>
            </w:r>
          </w:p>
        </w:tc>
        <w:tc>
          <w:tcPr>
            <w:tcW w:w="6225" w:type="dxa"/>
          </w:tcPr>
          <w:p w:rsidR="0075270D" w:rsidRDefault="000B5F7F" w:rsidP="00895F84">
            <w:pPr>
              <w:rPr>
                <w:b/>
              </w:rPr>
            </w:pPr>
            <w:r>
              <w:rPr>
                <w:b/>
              </w:rPr>
              <w:t>Review of Previous Minutes</w:t>
            </w:r>
          </w:p>
          <w:p w:rsidR="004833FB" w:rsidRDefault="004833FB" w:rsidP="00895F84">
            <w:pPr>
              <w:rPr>
                <w:b/>
              </w:rPr>
            </w:pPr>
          </w:p>
          <w:p w:rsidR="004833FB" w:rsidRDefault="000B5F7F" w:rsidP="000B5F7F">
            <w:r>
              <w:t>HW reviewed progress on actions from previous meeting. All actions were completed with updates</w:t>
            </w:r>
            <w:r w:rsidR="008B0861">
              <w:t>,</w:t>
            </w:r>
            <w:r>
              <w:t xml:space="preserve"> as follows:</w:t>
            </w:r>
          </w:p>
          <w:p w:rsidR="000B5F7F" w:rsidRDefault="000B5F7F" w:rsidP="000B5F7F"/>
          <w:p w:rsidR="000B5F7F" w:rsidRPr="0021413D" w:rsidRDefault="000B5F7F" w:rsidP="000B5F7F">
            <w:pPr>
              <w:rPr>
                <w:b/>
                <w:color w:val="FF0000"/>
              </w:rPr>
            </w:pPr>
            <w:r>
              <w:t xml:space="preserve">The SMS message that patients receive to remind them to attend their appointment was provided. SO said that it </w:t>
            </w:r>
            <w:r w:rsidR="008B0861">
              <w:t>was</w:t>
            </w:r>
            <w:r>
              <w:t xml:space="preserve"> frustrating that you could not reply to the text, rather you had to enter a new number to text back. HW suggested this was due to the system being automated, </w:t>
            </w:r>
            <w:proofErr w:type="spellStart"/>
            <w:r>
              <w:t>eg</w:t>
            </w:r>
            <w:proofErr w:type="spellEnd"/>
            <w:r>
              <w:t xml:space="preserve"> if you text back DECLINE for an appointment it would automatically update the patient appointment book.</w:t>
            </w:r>
            <w:r w:rsidR="0021413D">
              <w:t xml:space="preserve"> </w:t>
            </w:r>
            <w:r w:rsidR="0021413D">
              <w:rPr>
                <w:b/>
                <w:color w:val="FF0000"/>
              </w:rPr>
              <w:t>Following</w:t>
            </w:r>
            <w:r w:rsidR="0021413D" w:rsidRPr="0021413D">
              <w:rPr>
                <w:b/>
                <w:color w:val="FF0000"/>
              </w:rPr>
              <w:t xml:space="preserve"> the meeting</w:t>
            </w:r>
            <w:r w:rsidR="0021413D">
              <w:rPr>
                <w:b/>
                <w:color w:val="FF0000"/>
              </w:rPr>
              <w:t>,</w:t>
            </w:r>
            <w:r w:rsidR="0021413D" w:rsidRPr="0021413D">
              <w:rPr>
                <w:b/>
                <w:color w:val="FF0000"/>
              </w:rPr>
              <w:t xml:space="preserve"> HW can confirm that clicking on the telephone number in the text message will enable the patient to send the DEC</w:t>
            </w:r>
            <w:r w:rsidR="0021413D">
              <w:rPr>
                <w:b/>
                <w:color w:val="FF0000"/>
              </w:rPr>
              <w:t>L</w:t>
            </w:r>
            <w:r w:rsidR="0021413D" w:rsidRPr="0021413D">
              <w:rPr>
                <w:b/>
                <w:color w:val="FF0000"/>
              </w:rPr>
              <w:t>INE message back without having to re-type the number.</w:t>
            </w:r>
          </w:p>
          <w:p w:rsidR="000B5F7F" w:rsidRDefault="000B5F7F" w:rsidP="000B5F7F"/>
          <w:p w:rsidR="000B5F7F" w:rsidRPr="00AA143C" w:rsidRDefault="000B5F7F" w:rsidP="000B5F7F">
            <w:pPr>
              <w:rPr>
                <w:color w:val="FF0000"/>
              </w:rPr>
            </w:pPr>
            <w:r>
              <w:t>Monitors in waiting room with patient information have been costed and the intention is to purchase before March 2018.</w:t>
            </w:r>
            <w:r w:rsidR="00AA143C">
              <w:t xml:space="preserve"> </w:t>
            </w:r>
            <w:r w:rsidR="00AA143C" w:rsidRPr="00AA143C">
              <w:rPr>
                <w:color w:val="FF0000"/>
              </w:rPr>
              <w:t xml:space="preserve">Update: </w:t>
            </w:r>
            <w:r w:rsidR="00AA143C">
              <w:rPr>
                <w:color w:val="FF0000"/>
              </w:rPr>
              <w:t>Budgets</w:t>
            </w:r>
            <w:r w:rsidR="00AA143C" w:rsidRPr="00AA143C">
              <w:rPr>
                <w:color w:val="FF0000"/>
              </w:rPr>
              <w:t xml:space="preserve"> prevent the purchase of these currently and we will review in the new financial year.</w:t>
            </w:r>
          </w:p>
          <w:p w:rsidR="000B5F7F" w:rsidRDefault="000B5F7F" w:rsidP="000B5F7F"/>
          <w:p w:rsidR="000B5F7F" w:rsidRDefault="007C7DDB" w:rsidP="000B5F7F">
            <w:r>
              <w:t>The r</w:t>
            </w:r>
            <w:r w:rsidR="000B5F7F">
              <w:t xml:space="preserve">e-painting </w:t>
            </w:r>
            <w:r>
              <w:t xml:space="preserve">of the lines around the </w:t>
            </w:r>
            <w:r w:rsidR="000B5F7F">
              <w:t xml:space="preserve">Disabled Parking bay was completed and this seems to have prevented </w:t>
            </w:r>
            <w:r>
              <w:t xml:space="preserve">people who are not displaying an appropriate </w:t>
            </w:r>
            <w:r w:rsidR="000B5F7F">
              <w:t>badge from parking in the area in front of the building.</w:t>
            </w:r>
          </w:p>
          <w:p w:rsidR="000B5F7F" w:rsidRPr="004833FB" w:rsidRDefault="000B5F7F" w:rsidP="000B5F7F"/>
        </w:tc>
        <w:tc>
          <w:tcPr>
            <w:tcW w:w="891" w:type="dxa"/>
          </w:tcPr>
          <w:p w:rsidR="0075270D" w:rsidRDefault="0075270D" w:rsidP="0075270D"/>
        </w:tc>
        <w:tc>
          <w:tcPr>
            <w:tcW w:w="1390" w:type="dxa"/>
          </w:tcPr>
          <w:p w:rsidR="0075270D" w:rsidRDefault="0075270D" w:rsidP="006B3546">
            <w:pPr>
              <w:jc w:val="center"/>
            </w:pPr>
          </w:p>
        </w:tc>
      </w:tr>
      <w:tr w:rsidR="0075270D" w:rsidTr="000238B0">
        <w:tc>
          <w:tcPr>
            <w:tcW w:w="674" w:type="dxa"/>
          </w:tcPr>
          <w:p w:rsidR="0075270D" w:rsidRDefault="0075270D">
            <w:r>
              <w:t>2</w:t>
            </w:r>
          </w:p>
        </w:tc>
        <w:tc>
          <w:tcPr>
            <w:tcW w:w="6225" w:type="dxa"/>
          </w:tcPr>
          <w:p w:rsidR="003858F5" w:rsidRPr="007C7DDB" w:rsidRDefault="000B5F7F" w:rsidP="000B5F7F">
            <w:pPr>
              <w:rPr>
                <w:b/>
              </w:rPr>
            </w:pPr>
            <w:r w:rsidRPr="007C7DDB">
              <w:rPr>
                <w:b/>
              </w:rPr>
              <w:t>Displaying Patient Information</w:t>
            </w:r>
          </w:p>
          <w:p w:rsidR="000B5F7F" w:rsidRDefault="000B5F7F" w:rsidP="000B5F7F"/>
          <w:p w:rsidR="000B5F7F" w:rsidRDefault="000B5F7F" w:rsidP="000B5F7F">
            <w:r>
              <w:t>HW was about to review the information that is displayed and how Priory View makes the information available to patients</w:t>
            </w:r>
            <w:r w:rsidR="007C7DDB">
              <w:t>,</w:t>
            </w:r>
            <w:r>
              <w:t xml:space="preserve"> and asked for feedback on what information </w:t>
            </w:r>
            <w:r w:rsidR="007C7DDB">
              <w:t xml:space="preserve">would be useful to </w:t>
            </w:r>
            <w:r>
              <w:t>display.</w:t>
            </w:r>
          </w:p>
          <w:p w:rsidR="000B5F7F" w:rsidRDefault="000B5F7F" w:rsidP="000B5F7F"/>
          <w:p w:rsidR="000B5F7F" w:rsidRDefault="000B5F7F" w:rsidP="000B5F7F">
            <w:r>
              <w:t xml:space="preserve">Some ideas suggested </w:t>
            </w:r>
            <w:r w:rsidR="007C7DDB">
              <w:t>(</w:t>
            </w:r>
            <w:r>
              <w:t xml:space="preserve">for both our website and for display at the </w:t>
            </w:r>
            <w:r w:rsidR="007C7DDB">
              <w:t>Practice) included</w:t>
            </w:r>
            <w:r>
              <w:t>:</w:t>
            </w:r>
          </w:p>
          <w:p w:rsidR="000B5F7F" w:rsidRDefault="000B5F7F" w:rsidP="007C7DDB">
            <w:pPr>
              <w:pStyle w:val="ListParagraph"/>
              <w:numPr>
                <w:ilvl w:val="0"/>
                <w:numId w:val="9"/>
              </w:numPr>
            </w:pPr>
            <w:r>
              <w:t xml:space="preserve">Have information available that has been translated </w:t>
            </w:r>
            <w:r w:rsidR="007C7DDB">
              <w:t xml:space="preserve">into </w:t>
            </w:r>
            <w:r w:rsidR="007C7DDB">
              <w:lastRenderedPageBreak/>
              <w:t>common languages for the area</w:t>
            </w:r>
          </w:p>
          <w:p w:rsidR="000B5F7F" w:rsidRDefault="000B5F7F" w:rsidP="007C7DDB">
            <w:pPr>
              <w:pStyle w:val="ListParagraph"/>
              <w:numPr>
                <w:ilvl w:val="0"/>
                <w:numId w:val="9"/>
              </w:numPr>
            </w:pPr>
            <w:r>
              <w:t>Information about  each Partner GP and their specialisms</w:t>
            </w:r>
          </w:p>
          <w:p w:rsidR="000B5F7F" w:rsidRDefault="000B5F7F" w:rsidP="007C7DDB">
            <w:pPr>
              <w:pStyle w:val="ListParagraph"/>
              <w:numPr>
                <w:ilvl w:val="0"/>
                <w:numId w:val="9"/>
              </w:numPr>
            </w:pPr>
            <w:r>
              <w:t xml:space="preserve">Display photographs of the team to help patients remember who they have seen. </w:t>
            </w:r>
          </w:p>
          <w:p w:rsidR="000B5F7F" w:rsidRDefault="000B5F7F" w:rsidP="007C7DDB">
            <w:pPr>
              <w:pStyle w:val="ListParagraph"/>
              <w:numPr>
                <w:ilvl w:val="0"/>
                <w:numId w:val="9"/>
              </w:numPr>
            </w:pPr>
            <w:r>
              <w:t>Links to Community based services</w:t>
            </w:r>
          </w:p>
          <w:p w:rsidR="006F1BD9" w:rsidRDefault="006F1BD9" w:rsidP="007C7DDB">
            <w:pPr>
              <w:pStyle w:val="ListParagraph"/>
              <w:numPr>
                <w:ilvl w:val="0"/>
                <w:numId w:val="9"/>
              </w:numPr>
            </w:pPr>
            <w:r>
              <w:t>Information about our Patient Empowerment Programme and signposting to services</w:t>
            </w:r>
          </w:p>
          <w:p w:rsidR="006F1BD9" w:rsidRDefault="006F1BD9" w:rsidP="007C7DDB">
            <w:pPr>
              <w:pStyle w:val="ListParagraph"/>
              <w:numPr>
                <w:ilvl w:val="0"/>
                <w:numId w:val="9"/>
              </w:numPr>
            </w:pPr>
            <w:r>
              <w:t>Clarity on the services offered at the Surgery</w:t>
            </w:r>
          </w:p>
          <w:p w:rsidR="006F1BD9" w:rsidRDefault="006F1BD9" w:rsidP="007C7DDB">
            <w:pPr>
              <w:pStyle w:val="ListParagraph"/>
              <w:numPr>
                <w:ilvl w:val="0"/>
                <w:numId w:val="9"/>
              </w:numPr>
            </w:pPr>
            <w:r>
              <w:t>Information about the PPG group and the ideas and suggestions that have been put forward and progress on actions</w:t>
            </w:r>
          </w:p>
          <w:p w:rsidR="006F1BD9" w:rsidRDefault="006F1BD9" w:rsidP="007C7DDB">
            <w:pPr>
              <w:pStyle w:val="ListParagraph"/>
              <w:numPr>
                <w:ilvl w:val="0"/>
                <w:numId w:val="9"/>
              </w:numPr>
            </w:pPr>
            <w:r>
              <w:t xml:space="preserve">Information on key medical/scientific advances with facts to help provide guidance, </w:t>
            </w:r>
            <w:proofErr w:type="spellStart"/>
            <w:r>
              <w:t>eg</w:t>
            </w:r>
            <w:proofErr w:type="spellEnd"/>
            <w:r>
              <w:t xml:space="preserve"> Anti-biotics, diabetes</w:t>
            </w:r>
          </w:p>
          <w:p w:rsidR="006F1BD9" w:rsidRDefault="006F1BD9" w:rsidP="007C7DDB">
            <w:pPr>
              <w:pStyle w:val="ListParagraph"/>
              <w:numPr>
                <w:ilvl w:val="0"/>
                <w:numId w:val="9"/>
              </w:numPr>
            </w:pPr>
            <w:r>
              <w:t xml:space="preserve">Clear pathways for </w:t>
            </w:r>
            <w:proofErr w:type="gramStart"/>
            <w:r>
              <w:t>Chronic</w:t>
            </w:r>
            <w:proofErr w:type="gramEnd"/>
            <w:r>
              <w:t xml:space="preserve"> </w:t>
            </w:r>
            <w:r w:rsidR="007C7DDB">
              <w:t>conditions</w:t>
            </w:r>
            <w:r>
              <w:t xml:space="preserve"> and the care patients should expect.</w:t>
            </w:r>
          </w:p>
          <w:p w:rsidR="006F1BD9" w:rsidRDefault="006F1BD9" w:rsidP="007C7DDB">
            <w:pPr>
              <w:pStyle w:val="ListParagraph"/>
              <w:numPr>
                <w:ilvl w:val="0"/>
                <w:numId w:val="9"/>
              </w:numPr>
            </w:pPr>
            <w:r>
              <w:t xml:space="preserve">Breaking down information, </w:t>
            </w:r>
            <w:proofErr w:type="spellStart"/>
            <w:r>
              <w:t>ie</w:t>
            </w:r>
            <w:proofErr w:type="spellEnd"/>
            <w:r>
              <w:t xml:space="preserve"> rather than displaying information on number of patients that did not attend their appointment, break this down to show the cost of the problem and if displaying information about patient satisfaction, ensure the number of respondents is displayed.</w:t>
            </w:r>
          </w:p>
          <w:p w:rsidR="006F1BD9" w:rsidRDefault="006F1BD9" w:rsidP="006F1BD9"/>
          <w:p w:rsidR="006F1BD9" w:rsidRPr="00AA143C" w:rsidRDefault="006F1BD9" w:rsidP="006F1BD9">
            <w:pPr>
              <w:rPr>
                <w:color w:val="FF0000"/>
              </w:rPr>
            </w:pPr>
            <w:r w:rsidRPr="006F1BD9">
              <w:rPr>
                <w:b/>
              </w:rPr>
              <w:t>Action</w:t>
            </w:r>
            <w:r>
              <w:t>: HW will consider all the suggestion</w:t>
            </w:r>
            <w:r w:rsidR="0021413D">
              <w:t>s</w:t>
            </w:r>
            <w:r>
              <w:t xml:space="preserve"> and will discuss with the Partners and agree what information we can start to display clearly for all patients.</w:t>
            </w:r>
            <w:r w:rsidR="00AA143C">
              <w:t xml:space="preserve"> </w:t>
            </w:r>
            <w:r w:rsidR="00AA143C" w:rsidRPr="00AA143C">
              <w:rPr>
                <w:color w:val="FF0000"/>
              </w:rPr>
              <w:t xml:space="preserve">Update: Notice boards have been labelled into specific areas of information such as Statutory Notices, Community Information, Patient Services and notices have been updated. Ongoing </w:t>
            </w:r>
          </w:p>
          <w:p w:rsidR="007C7DDB" w:rsidRPr="006B69F6" w:rsidRDefault="007C7DDB" w:rsidP="006F1BD9"/>
        </w:tc>
        <w:tc>
          <w:tcPr>
            <w:tcW w:w="891" w:type="dxa"/>
          </w:tcPr>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5E15B2" w:rsidRDefault="005E15B2" w:rsidP="003858F5"/>
          <w:p w:rsidR="007C7DDB" w:rsidRDefault="007C7DDB" w:rsidP="003858F5"/>
          <w:p w:rsidR="007C7DDB" w:rsidRDefault="007C7DDB" w:rsidP="003858F5"/>
          <w:p w:rsidR="007C7DDB" w:rsidRDefault="007C7DDB" w:rsidP="003858F5"/>
          <w:p w:rsidR="007C7DDB" w:rsidRDefault="007C7DDB" w:rsidP="003858F5"/>
          <w:p w:rsidR="007C7DDB" w:rsidRDefault="007C7DDB" w:rsidP="003858F5"/>
          <w:p w:rsidR="007C7DDB" w:rsidRDefault="007C7DDB" w:rsidP="003858F5"/>
          <w:p w:rsidR="007C7DDB" w:rsidRDefault="007C7DDB" w:rsidP="003858F5"/>
          <w:p w:rsidR="007C7DDB" w:rsidRDefault="007C7DDB" w:rsidP="003858F5"/>
          <w:p w:rsidR="007C7DDB" w:rsidRDefault="007C7DDB" w:rsidP="003858F5"/>
          <w:p w:rsidR="007C7DDB" w:rsidRDefault="007C7DDB" w:rsidP="007C7DDB">
            <w:pPr>
              <w:jc w:val="center"/>
            </w:pPr>
            <w:r>
              <w:t>HW</w:t>
            </w:r>
          </w:p>
        </w:tc>
        <w:tc>
          <w:tcPr>
            <w:tcW w:w="1390" w:type="dxa"/>
          </w:tcPr>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75270D" w:rsidRDefault="0075270D"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6B3546">
            <w:pPr>
              <w:jc w:val="center"/>
            </w:pPr>
          </w:p>
          <w:p w:rsidR="00820F6C" w:rsidRDefault="00820F6C" w:rsidP="003858F5"/>
          <w:p w:rsidR="004D2BED" w:rsidRDefault="004D2BED" w:rsidP="006B3546">
            <w:pPr>
              <w:jc w:val="center"/>
            </w:pPr>
          </w:p>
          <w:p w:rsidR="005E15B2" w:rsidRDefault="005E15B2" w:rsidP="003858F5"/>
          <w:p w:rsidR="007C7DDB" w:rsidRDefault="007C7DDB" w:rsidP="003858F5"/>
          <w:p w:rsidR="007C7DDB" w:rsidRDefault="007C7DDB" w:rsidP="003858F5"/>
          <w:p w:rsidR="007C7DDB" w:rsidRDefault="007C7DDB" w:rsidP="003858F5"/>
          <w:p w:rsidR="007C7DDB" w:rsidRDefault="007C7DDB" w:rsidP="003858F5"/>
          <w:p w:rsidR="007C7DDB" w:rsidRDefault="007C7DDB" w:rsidP="003858F5"/>
          <w:p w:rsidR="007C7DDB" w:rsidRDefault="007C7DDB" w:rsidP="003858F5"/>
          <w:p w:rsidR="007C7DDB" w:rsidRDefault="007C7DDB" w:rsidP="003858F5"/>
          <w:p w:rsidR="007C7DDB" w:rsidRDefault="007C7DDB" w:rsidP="003858F5"/>
          <w:p w:rsidR="007C7DDB" w:rsidRDefault="007C7DDB" w:rsidP="003858F5">
            <w:r>
              <w:t>Before next PPG</w:t>
            </w:r>
          </w:p>
        </w:tc>
      </w:tr>
      <w:tr w:rsidR="0075270D" w:rsidTr="000238B0">
        <w:tc>
          <w:tcPr>
            <w:tcW w:w="674" w:type="dxa"/>
          </w:tcPr>
          <w:p w:rsidR="0075270D" w:rsidRDefault="0075270D">
            <w:r>
              <w:lastRenderedPageBreak/>
              <w:t>3</w:t>
            </w:r>
          </w:p>
        </w:tc>
        <w:tc>
          <w:tcPr>
            <w:tcW w:w="6225" w:type="dxa"/>
          </w:tcPr>
          <w:p w:rsidR="003858F5" w:rsidRDefault="006F1BD9" w:rsidP="001C24C3">
            <w:pPr>
              <w:rPr>
                <w:b/>
              </w:rPr>
            </w:pPr>
            <w:r>
              <w:rPr>
                <w:b/>
              </w:rPr>
              <w:t>Chronic Condition Recalls</w:t>
            </w:r>
          </w:p>
          <w:p w:rsidR="006F1BD9" w:rsidRPr="006F1BD9" w:rsidRDefault="006F1BD9" w:rsidP="001C24C3"/>
          <w:p w:rsidR="006F1BD9" w:rsidRDefault="006F1BD9" w:rsidP="001C24C3">
            <w:r w:rsidRPr="006F1BD9">
              <w:t xml:space="preserve">BD </w:t>
            </w:r>
            <w:r>
              <w:t>was interest</w:t>
            </w:r>
            <w:r w:rsidR="007C7DDB">
              <w:t>ed</w:t>
            </w:r>
            <w:r>
              <w:t xml:space="preserve"> to understand what our process was for Pre-Diabetic patients. HW mentioned that the pathway for the surgery to care for Pre-diabetic patients has been </w:t>
            </w:r>
            <w:r w:rsidR="007C7DDB">
              <w:t>approved</w:t>
            </w:r>
            <w:r>
              <w:t xml:space="preserve"> over the last few </w:t>
            </w:r>
            <w:r w:rsidR="007C7DDB">
              <w:t>months</w:t>
            </w:r>
            <w:r>
              <w:t xml:space="preserve">. JA advised that clarity on </w:t>
            </w:r>
            <w:r w:rsidR="007C7DDB">
              <w:t xml:space="preserve">the </w:t>
            </w:r>
            <w:r>
              <w:t>pre-diabetic condition has only recently been defined with recommended treatment and coding of the condition for our systems.</w:t>
            </w:r>
          </w:p>
          <w:p w:rsidR="003858F5" w:rsidRPr="007C7DDB" w:rsidRDefault="006F1BD9" w:rsidP="003858F5">
            <w:pPr>
              <w:rPr>
                <w:color w:val="FF0000"/>
              </w:rPr>
            </w:pPr>
            <w:r w:rsidRPr="006F1BD9">
              <w:rPr>
                <w:b/>
              </w:rPr>
              <w:t>Action</w:t>
            </w:r>
            <w:r>
              <w:t>: HW agreed to share the process with BD and to also see if this was appropriate to display on patient information boards.</w:t>
            </w:r>
          </w:p>
        </w:tc>
        <w:tc>
          <w:tcPr>
            <w:tcW w:w="891" w:type="dxa"/>
          </w:tcPr>
          <w:p w:rsidR="0075270D" w:rsidRDefault="0075270D" w:rsidP="006B3546">
            <w:pPr>
              <w:jc w:val="center"/>
            </w:pPr>
          </w:p>
          <w:p w:rsidR="003858F5" w:rsidRDefault="003858F5" w:rsidP="006B3546">
            <w:pPr>
              <w:jc w:val="center"/>
            </w:pPr>
          </w:p>
          <w:p w:rsidR="003858F5" w:rsidRDefault="003858F5" w:rsidP="006B3546">
            <w:pPr>
              <w:jc w:val="center"/>
            </w:pPr>
          </w:p>
          <w:p w:rsidR="003858F5" w:rsidRDefault="003858F5" w:rsidP="006B3546">
            <w:pPr>
              <w:jc w:val="center"/>
            </w:pPr>
          </w:p>
          <w:p w:rsidR="003858F5" w:rsidRDefault="003858F5" w:rsidP="006B3546">
            <w:pPr>
              <w:jc w:val="center"/>
            </w:pPr>
          </w:p>
          <w:p w:rsidR="003858F5" w:rsidRDefault="003858F5" w:rsidP="006B3546">
            <w:pPr>
              <w:jc w:val="center"/>
            </w:pPr>
          </w:p>
          <w:p w:rsidR="003858F5" w:rsidRDefault="003858F5" w:rsidP="006B3546">
            <w:pPr>
              <w:jc w:val="center"/>
            </w:pPr>
          </w:p>
          <w:p w:rsidR="00CF0B15" w:rsidRDefault="00CF0B15" w:rsidP="006B3546">
            <w:pPr>
              <w:jc w:val="center"/>
            </w:pPr>
          </w:p>
          <w:p w:rsidR="00C87DBE" w:rsidRDefault="003858F5" w:rsidP="00C87DBE">
            <w:r>
              <w:t>HW</w:t>
            </w:r>
          </w:p>
        </w:tc>
        <w:tc>
          <w:tcPr>
            <w:tcW w:w="1390" w:type="dxa"/>
          </w:tcPr>
          <w:p w:rsidR="00566CDF" w:rsidRDefault="00566CDF" w:rsidP="001C24C3">
            <w:pPr>
              <w:jc w:val="center"/>
            </w:pPr>
          </w:p>
          <w:p w:rsidR="00C87DBE" w:rsidRDefault="00C87DBE" w:rsidP="001C24C3">
            <w:pPr>
              <w:jc w:val="center"/>
            </w:pPr>
          </w:p>
          <w:p w:rsidR="00C87DBE" w:rsidRDefault="00C87DBE" w:rsidP="001C24C3">
            <w:pPr>
              <w:jc w:val="center"/>
            </w:pPr>
          </w:p>
          <w:p w:rsidR="003858F5" w:rsidRDefault="003858F5" w:rsidP="001C24C3">
            <w:pPr>
              <w:jc w:val="center"/>
            </w:pPr>
          </w:p>
          <w:p w:rsidR="003858F5" w:rsidRDefault="003858F5" w:rsidP="001C24C3">
            <w:pPr>
              <w:jc w:val="center"/>
            </w:pPr>
          </w:p>
          <w:p w:rsidR="003858F5" w:rsidRDefault="003858F5" w:rsidP="001C24C3">
            <w:pPr>
              <w:jc w:val="center"/>
            </w:pPr>
          </w:p>
          <w:p w:rsidR="00CF0B15" w:rsidRDefault="00CF0B15" w:rsidP="001C24C3">
            <w:pPr>
              <w:jc w:val="center"/>
            </w:pPr>
          </w:p>
          <w:p w:rsidR="003858F5" w:rsidRDefault="003858F5" w:rsidP="001C24C3">
            <w:pPr>
              <w:jc w:val="center"/>
            </w:pPr>
          </w:p>
          <w:p w:rsidR="003858F5" w:rsidRDefault="003858F5" w:rsidP="001C24C3">
            <w:pPr>
              <w:jc w:val="center"/>
            </w:pPr>
            <w:r>
              <w:t xml:space="preserve">Before next </w:t>
            </w:r>
            <w:r w:rsidR="007C7DDB">
              <w:t>PPG</w:t>
            </w:r>
          </w:p>
          <w:p w:rsidR="00C87DBE" w:rsidRDefault="00C87DBE" w:rsidP="00C87DBE"/>
        </w:tc>
      </w:tr>
      <w:tr w:rsidR="003858F5" w:rsidTr="000238B0">
        <w:tc>
          <w:tcPr>
            <w:tcW w:w="674" w:type="dxa"/>
          </w:tcPr>
          <w:p w:rsidR="003858F5" w:rsidRDefault="00CF0B15">
            <w:r>
              <w:t>4</w:t>
            </w:r>
          </w:p>
        </w:tc>
        <w:tc>
          <w:tcPr>
            <w:tcW w:w="6225" w:type="dxa"/>
          </w:tcPr>
          <w:p w:rsidR="003858F5" w:rsidRPr="008B0861" w:rsidRDefault="006F1BD9" w:rsidP="006F1BD9">
            <w:pPr>
              <w:rPr>
                <w:b/>
              </w:rPr>
            </w:pPr>
            <w:r w:rsidRPr="008B0861">
              <w:rPr>
                <w:b/>
              </w:rPr>
              <w:t>AOB</w:t>
            </w:r>
          </w:p>
          <w:p w:rsidR="006F1BD9" w:rsidRDefault="006F1BD9" w:rsidP="006F1BD9"/>
          <w:p w:rsidR="006F1BD9" w:rsidRDefault="006F1BD9" w:rsidP="006F1BD9">
            <w:r>
              <w:t xml:space="preserve">HS </w:t>
            </w:r>
            <w:r w:rsidR="008B0861">
              <w:t xml:space="preserve">said that he was impressed with the blood pressure and weight monitoring equipment available in other surgeries that patients </w:t>
            </w:r>
            <w:r w:rsidR="008B0861">
              <w:lastRenderedPageBreak/>
              <w:t xml:space="preserve">can access in waiting areas and </w:t>
            </w:r>
            <w:r w:rsidR="007C7DDB">
              <w:t xml:space="preserve">to </w:t>
            </w:r>
            <w:r w:rsidR="008B0861">
              <w:t xml:space="preserve">provide the information to the GP as they arrive at their appointment. </w:t>
            </w:r>
          </w:p>
          <w:p w:rsidR="008B0861" w:rsidRDefault="008B0861" w:rsidP="006F1BD9"/>
          <w:p w:rsidR="008B0861" w:rsidRDefault="008B0861" w:rsidP="006F1BD9">
            <w:r>
              <w:t>HW mentioned that significant financial cuts and</w:t>
            </w:r>
            <w:r w:rsidR="007C7DDB">
              <w:t xml:space="preserve"> the</w:t>
            </w:r>
            <w:r>
              <w:t xml:space="preserve"> redirecting of money that used to come directly to the Practice to provide equipment to improve patient care has recently </w:t>
            </w:r>
            <w:r w:rsidR="007C7DDB">
              <w:t>been</w:t>
            </w:r>
            <w:r>
              <w:t xml:space="preserve"> redirected away </w:t>
            </w:r>
            <w:r w:rsidR="0021413D">
              <w:t>from</w:t>
            </w:r>
            <w:r>
              <w:t xml:space="preserve"> the Practice. Finding the additional funds moving forward for this kind of equipment may be challenging.</w:t>
            </w:r>
          </w:p>
          <w:p w:rsidR="008B0861" w:rsidRPr="00AA143C" w:rsidRDefault="008B0861" w:rsidP="006F1BD9">
            <w:pPr>
              <w:rPr>
                <w:color w:val="FF0000"/>
              </w:rPr>
            </w:pPr>
            <w:r w:rsidRPr="008B0861">
              <w:rPr>
                <w:b/>
              </w:rPr>
              <w:t>Action</w:t>
            </w:r>
            <w:r>
              <w:t>: HW will investigate the costs and will present to the Partners for consideration and will report back to the PPG.</w:t>
            </w:r>
            <w:r w:rsidR="00AA143C">
              <w:t xml:space="preserve"> </w:t>
            </w:r>
            <w:r w:rsidR="00AA143C">
              <w:rPr>
                <w:color w:val="FF0000"/>
              </w:rPr>
              <w:t>Update: The Partner GPs</w:t>
            </w:r>
            <w:r w:rsidR="00AA143C" w:rsidRPr="00AA143C">
              <w:rPr>
                <w:color w:val="FF0000"/>
              </w:rPr>
              <w:t xml:space="preserve"> supported the idea of a blood pressure and weight monitoring equipment but </w:t>
            </w:r>
            <w:r w:rsidR="00AA143C">
              <w:rPr>
                <w:color w:val="FF0000"/>
              </w:rPr>
              <w:t>our budget</w:t>
            </w:r>
            <w:r w:rsidR="00AA143C" w:rsidRPr="00AA143C">
              <w:rPr>
                <w:color w:val="FF0000"/>
              </w:rPr>
              <w:t xml:space="preserve"> prevent us being able to purchase this currently. We will review this in the next financial year.</w:t>
            </w:r>
          </w:p>
          <w:p w:rsidR="008B0861" w:rsidRPr="003858F5" w:rsidRDefault="008B0861" w:rsidP="006F1BD9"/>
        </w:tc>
        <w:tc>
          <w:tcPr>
            <w:tcW w:w="891" w:type="dxa"/>
          </w:tcPr>
          <w:p w:rsidR="003858F5" w:rsidRDefault="003858F5"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r>
              <w:t>HW</w:t>
            </w:r>
          </w:p>
        </w:tc>
        <w:tc>
          <w:tcPr>
            <w:tcW w:w="1390" w:type="dxa"/>
          </w:tcPr>
          <w:p w:rsidR="003858F5" w:rsidRDefault="003858F5"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7C7DDB">
            <w:pPr>
              <w:jc w:val="center"/>
            </w:pPr>
            <w:r>
              <w:t>Before next PPG</w:t>
            </w:r>
          </w:p>
          <w:p w:rsidR="007C7DDB" w:rsidRDefault="007C7DDB" w:rsidP="006B3546">
            <w:pPr>
              <w:jc w:val="center"/>
            </w:pPr>
          </w:p>
        </w:tc>
      </w:tr>
      <w:tr w:rsidR="003858F5" w:rsidTr="000238B0">
        <w:tc>
          <w:tcPr>
            <w:tcW w:w="674" w:type="dxa"/>
          </w:tcPr>
          <w:p w:rsidR="003858F5" w:rsidRDefault="00CF0B15">
            <w:r>
              <w:lastRenderedPageBreak/>
              <w:t>5</w:t>
            </w:r>
          </w:p>
        </w:tc>
        <w:tc>
          <w:tcPr>
            <w:tcW w:w="6225" w:type="dxa"/>
          </w:tcPr>
          <w:p w:rsidR="00DB35DC" w:rsidRDefault="008B0861" w:rsidP="00DB35DC">
            <w:pPr>
              <w:rPr>
                <w:b/>
              </w:rPr>
            </w:pPr>
            <w:r>
              <w:rPr>
                <w:b/>
              </w:rPr>
              <w:t>Prescribing</w:t>
            </w:r>
          </w:p>
          <w:p w:rsidR="008B0861" w:rsidRDefault="008B0861" w:rsidP="00DB35DC"/>
          <w:p w:rsidR="008B0861" w:rsidRDefault="008B0861" w:rsidP="00DB35DC">
            <w:r>
              <w:t xml:space="preserve">A number of </w:t>
            </w:r>
            <w:r w:rsidR="0021413D">
              <w:t xml:space="preserve">prescribing </w:t>
            </w:r>
            <w:r>
              <w:t xml:space="preserve">issues were generally raised around the delay in receiving </w:t>
            </w:r>
            <w:r w:rsidR="007C7DDB">
              <w:t xml:space="preserve">electronic </w:t>
            </w:r>
            <w:r>
              <w:t>prescriptions. JA advised that although prescription</w:t>
            </w:r>
            <w:r w:rsidR="007C7DDB">
              <w:t>s</w:t>
            </w:r>
            <w:r>
              <w:t xml:space="preserve"> had a 48 hour turnaround</w:t>
            </w:r>
            <w:r w:rsidR="007C7DDB">
              <w:t xml:space="preserve"> for the GP to sign</w:t>
            </w:r>
            <w:r>
              <w:t>, GPs at Priory View turned these around on the day. Any delays therefore may be down to the Pharmacy or system to provide the medication.</w:t>
            </w:r>
          </w:p>
          <w:p w:rsidR="008B0861" w:rsidRPr="00AA143C" w:rsidRDefault="008B0861" w:rsidP="00DB35DC">
            <w:pPr>
              <w:rPr>
                <w:color w:val="FF0000"/>
              </w:rPr>
            </w:pPr>
            <w:r w:rsidRPr="007C7DDB">
              <w:rPr>
                <w:b/>
              </w:rPr>
              <w:t>Action</w:t>
            </w:r>
            <w:r>
              <w:t>: HW will look into one example mentioned in the meeting to check where the delay took place and will feed back to the indi</w:t>
            </w:r>
            <w:r w:rsidR="007C7DDB">
              <w:t>v</w:t>
            </w:r>
            <w:r>
              <w:t>i</w:t>
            </w:r>
            <w:r w:rsidR="007C7DDB">
              <w:t>du</w:t>
            </w:r>
            <w:r>
              <w:t>al concerned.</w:t>
            </w:r>
            <w:r w:rsidR="00AA143C">
              <w:t xml:space="preserve"> </w:t>
            </w:r>
            <w:r w:rsidR="00AA143C" w:rsidRPr="00AA143C">
              <w:rPr>
                <w:color w:val="FF0000"/>
              </w:rPr>
              <w:t xml:space="preserve">Update: This was an error in the nurses not ordering the required items. </w:t>
            </w:r>
            <w:r w:rsidR="00AA143C">
              <w:rPr>
                <w:color w:val="FF0000"/>
              </w:rPr>
              <w:t xml:space="preserve">I understand our Reception team </w:t>
            </w:r>
            <w:r w:rsidR="00AA143C" w:rsidRPr="00AA143C">
              <w:rPr>
                <w:color w:val="FF0000"/>
              </w:rPr>
              <w:t>are ensuring the ordering is taking place on behalf of this patient.</w:t>
            </w:r>
          </w:p>
          <w:p w:rsidR="00CF0B15" w:rsidRPr="003858F5" w:rsidRDefault="00CF0B15" w:rsidP="00DB35DC"/>
        </w:tc>
        <w:tc>
          <w:tcPr>
            <w:tcW w:w="891" w:type="dxa"/>
          </w:tcPr>
          <w:p w:rsidR="003858F5" w:rsidRDefault="003858F5"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r>
              <w:t>HW</w:t>
            </w:r>
          </w:p>
        </w:tc>
        <w:tc>
          <w:tcPr>
            <w:tcW w:w="1390" w:type="dxa"/>
          </w:tcPr>
          <w:p w:rsidR="003858F5" w:rsidRDefault="003858F5"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p w:rsidR="007C7DDB" w:rsidRDefault="007C7DDB" w:rsidP="007C7DDB">
            <w:pPr>
              <w:jc w:val="center"/>
            </w:pPr>
            <w:r>
              <w:t>Before next PPG</w:t>
            </w:r>
          </w:p>
          <w:p w:rsidR="007C7DDB" w:rsidRDefault="007C7DDB" w:rsidP="006B3546">
            <w:pPr>
              <w:jc w:val="center"/>
            </w:pPr>
          </w:p>
        </w:tc>
      </w:tr>
      <w:tr w:rsidR="0075270D" w:rsidTr="000238B0">
        <w:tc>
          <w:tcPr>
            <w:tcW w:w="674" w:type="dxa"/>
          </w:tcPr>
          <w:p w:rsidR="0075270D" w:rsidRDefault="007C7DDB">
            <w:r>
              <w:t>6</w:t>
            </w:r>
          </w:p>
        </w:tc>
        <w:tc>
          <w:tcPr>
            <w:tcW w:w="6225" w:type="dxa"/>
          </w:tcPr>
          <w:p w:rsidR="0075270D" w:rsidRDefault="0075270D" w:rsidP="00895F84">
            <w:pPr>
              <w:rPr>
                <w:b/>
              </w:rPr>
            </w:pPr>
            <w:r w:rsidRPr="00903FE2">
              <w:rPr>
                <w:b/>
              </w:rPr>
              <w:t>Next Meeting agreed</w:t>
            </w:r>
            <w:r w:rsidR="000238B0">
              <w:rPr>
                <w:b/>
              </w:rPr>
              <w:t>:</w:t>
            </w:r>
          </w:p>
          <w:p w:rsidR="007C7DDB" w:rsidRDefault="007C7DDB" w:rsidP="00192F40"/>
          <w:p w:rsidR="000238B0" w:rsidRDefault="008B0861" w:rsidP="00192F40">
            <w:r>
              <w:t>We agreed to arrange the meeting on a Thursday at 5pm in three months. Date for your diaries is:</w:t>
            </w:r>
          </w:p>
          <w:p w:rsidR="004B5948" w:rsidRDefault="004B5948" w:rsidP="00192F40"/>
          <w:p w:rsidR="004B5948" w:rsidRDefault="008B0861" w:rsidP="008B0861">
            <w:r>
              <w:t>Thursday</w:t>
            </w:r>
            <w:r w:rsidR="004B5948">
              <w:t xml:space="preserve"> </w:t>
            </w:r>
            <w:r>
              <w:t>1</w:t>
            </w:r>
            <w:r w:rsidRPr="008B0861">
              <w:rPr>
                <w:vertAlign w:val="superscript"/>
              </w:rPr>
              <w:t>st</w:t>
            </w:r>
            <w:r>
              <w:t xml:space="preserve"> March 2018</w:t>
            </w:r>
            <w:r w:rsidR="004B5948">
              <w:t xml:space="preserve"> at 5pm</w:t>
            </w:r>
          </w:p>
          <w:p w:rsidR="0021413D" w:rsidRDefault="0021413D" w:rsidP="008B0861"/>
        </w:tc>
        <w:tc>
          <w:tcPr>
            <w:tcW w:w="891" w:type="dxa"/>
          </w:tcPr>
          <w:p w:rsidR="0075270D" w:rsidRDefault="0075270D" w:rsidP="006B3546">
            <w:pPr>
              <w:jc w:val="center"/>
            </w:pPr>
          </w:p>
        </w:tc>
        <w:tc>
          <w:tcPr>
            <w:tcW w:w="1390" w:type="dxa"/>
          </w:tcPr>
          <w:p w:rsidR="0075270D" w:rsidRDefault="0075270D" w:rsidP="006B3546">
            <w:pPr>
              <w:jc w:val="center"/>
            </w:pPr>
          </w:p>
        </w:tc>
      </w:tr>
    </w:tbl>
    <w:p w:rsidR="00E72109" w:rsidRDefault="00E72109" w:rsidP="00E72109"/>
    <w:p w:rsidR="00895F84" w:rsidRPr="00E72109" w:rsidRDefault="00895F84" w:rsidP="00E72109">
      <w:pPr>
        <w:jc w:val="center"/>
      </w:pPr>
    </w:p>
    <w:sectPr w:rsidR="00895F84" w:rsidRPr="00E72109" w:rsidSect="007C7DDB">
      <w:headerReference w:type="default" r:id="rId8"/>
      <w:pgSz w:w="11906" w:h="16838"/>
      <w:pgMar w:top="115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44" w:rsidRDefault="00F00244" w:rsidP="00895F84">
      <w:pPr>
        <w:spacing w:after="0" w:line="240" w:lineRule="auto"/>
      </w:pPr>
      <w:r>
        <w:separator/>
      </w:r>
    </w:p>
  </w:endnote>
  <w:endnote w:type="continuationSeparator" w:id="0">
    <w:p w:rsidR="00F00244" w:rsidRDefault="00F00244" w:rsidP="0089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44" w:rsidRDefault="00F00244" w:rsidP="00895F84">
      <w:pPr>
        <w:spacing w:after="0" w:line="240" w:lineRule="auto"/>
      </w:pPr>
      <w:r>
        <w:separator/>
      </w:r>
    </w:p>
  </w:footnote>
  <w:footnote w:type="continuationSeparator" w:id="0">
    <w:p w:rsidR="00F00244" w:rsidRDefault="00F00244" w:rsidP="0089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61" w:rsidRDefault="003E6961" w:rsidP="003E6961">
    <w:pPr>
      <w:pStyle w:val="Header"/>
    </w:pPr>
    <w:r>
      <w:rPr>
        <w:noProof/>
        <w:lang w:eastAsia="en-GB"/>
      </w:rPr>
      <w:drawing>
        <wp:inline distT="0" distB="0" distL="0" distR="0" wp14:anchorId="648268DB" wp14:editId="79FD8048">
          <wp:extent cx="957316" cy="9689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6967" cy="968638"/>
                  </a:xfrm>
                  <a:prstGeom prst="rect">
                    <a:avLst/>
                  </a:prstGeom>
                </pic:spPr>
              </pic:pic>
            </a:graphicData>
          </a:graphic>
        </wp:inline>
      </w:drawing>
    </w:r>
    <w:r>
      <w:rPr>
        <w:noProof/>
        <w:lang w:eastAsia="en-GB"/>
      </w:rPr>
      <w:drawing>
        <wp:inline distT="0" distB="0" distL="0" distR="0" wp14:anchorId="0D2F4B7C" wp14:editId="6A6F9B4D">
          <wp:extent cx="495346" cy="2565900"/>
          <wp:effectExtent l="0" t="63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rot="5400000">
                    <a:off x="0" y="0"/>
                    <a:ext cx="500661" cy="2593430"/>
                  </a:xfrm>
                  <a:prstGeom prst="rect">
                    <a:avLst/>
                  </a:prstGeom>
                </pic:spPr>
              </pic:pic>
            </a:graphicData>
          </a:graphic>
        </wp:inline>
      </w:drawing>
    </w:r>
  </w:p>
  <w:p w:rsidR="003E6961" w:rsidRDefault="003E6961" w:rsidP="00895F84">
    <w:pPr>
      <w:pStyle w:val="Header"/>
      <w:jc w:val="center"/>
      <w:rPr>
        <w:b/>
        <w:sz w:val="24"/>
        <w:szCs w:val="24"/>
      </w:rPr>
    </w:pPr>
    <w:r>
      <w:rPr>
        <w:noProof/>
        <w:lang w:eastAsia="en-GB"/>
      </w:rPr>
      <mc:AlternateContent>
        <mc:Choice Requires="wps">
          <w:drawing>
            <wp:anchor distT="0" distB="0" distL="114300" distR="114300" simplePos="0" relativeHeight="251659264" behindDoc="0" locked="0" layoutInCell="1" allowOverlap="1" wp14:anchorId="56A5CF35" wp14:editId="320B1639">
              <wp:simplePos x="0" y="0"/>
              <wp:positionH relativeFrom="column">
                <wp:posOffset>-76200</wp:posOffset>
              </wp:positionH>
              <wp:positionV relativeFrom="paragraph">
                <wp:posOffset>-1905</wp:posOffset>
              </wp:positionV>
              <wp:extent cx="6229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" strokecolor="#4579b8 [3044]" strokeweight="3pt"/>
          </w:pict>
        </mc:Fallback>
      </mc:AlternateContent>
    </w:r>
  </w:p>
  <w:p w:rsidR="00895F84" w:rsidRDefault="0089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24BD"/>
    <w:multiLevelType w:val="hybridMultilevel"/>
    <w:tmpl w:val="1ED2B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2E0085"/>
    <w:multiLevelType w:val="hybridMultilevel"/>
    <w:tmpl w:val="3BAC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847DE"/>
    <w:multiLevelType w:val="hybridMultilevel"/>
    <w:tmpl w:val="C71A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C0F0D"/>
    <w:multiLevelType w:val="hybridMultilevel"/>
    <w:tmpl w:val="1DAA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34E52"/>
    <w:multiLevelType w:val="hybridMultilevel"/>
    <w:tmpl w:val="A6D6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6F4849"/>
    <w:multiLevelType w:val="hybridMultilevel"/>
    <w:tmpl w:val="95682E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83B52BB"/>
    <w:multiLevelType w:val="hybridMultilevel"/>
    <w:tmpl w:val="1256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2F3290"/>
    <w:multiLevelType w:val="hybridMultilevel"/>
    <w:tmpl w:val="3C84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3758D7"/>
    <w:multiLevelType w:val="hybridMultilevel"/>
    <w:tmpl w:val="0FDE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84"/>
    <w:rsid w:val="000164BE"/>
    <w:rsid w:val="000238B0"/>
    <w:rsid w:val="000A33C2"/>
    <w:rsid w:val="000B5F7F"/>
    <w:rsid w:val="00192F40"/>
    <w:rsid w:val="001A5760"/>
    <w:rsid w:val="001B78AB"/>
    <w:rsid w:val="001C24C3"/>
    <w:rsid w:val="001E0D1C"/>
    <w:rsid w:val="002127CD"/>
    <w:rsid w:val="0021413D"/>
    <w:rsid w:val="002F00A4"/>
    <w:rsid w:val="003858F5"/>
    <w:rsid w:val="003B3072"/>
    <w:rsid w:val="003E6961"/>
    <w:rsid w:val="00406082"/>
    <w:rsid w:val="004833FB"/>
    <w:rsid w:val="00486573"/>
    <w:rsid w:val="00494ADA"/>
    <w:rsid w:val="004B5948"/>
    <w:rsid w:val="004C26B8"/>
    <w:rsid w:val="004D2BED"/>
    <w:rsid w:val="00551B4E"/>
    <w:rsid w:val="00566CDF"/>
    <w:rsid w:val="005C0FD7"/>
    <w:rsid w:val="005E15B2"/>
    <w:rsid w:val="00614397"/>
    <w:rsid w:val="006B3546"/>
    <w:rsid w:val="006B69F6"/>
    <w:rsid w:val="006F1BD9"/>
    <w:rsid w:val="00732300"/>
    <w:rsid w:val="0075270D"/>
    <w:rsid w:val="007B2C84"/>
    <w:rsid w:val="007C7DDB"/>
    <w:rsid w:val="00820F6C"/>
    <w:rsid w:val="008322BD"/>
    <w:rsid w:val="00895F84"/>
    <w:rsid w:val="008B0861"/>
    <w:rsid w:val="008B51F4"/>
    <w:rsid w:val="008E5BA3"/>
    <w:rsid w:val="00903FE2"/>
    <w:rsid w:val="00956EC1"/>
    <w:rsid w:val="009B06D7"/>
    <w:rsid w:val="009E17B5"/>
    <w:rsid w:val="00A02959"/>
    <w:rsid w:val="00A30655"/>
    <w:rsid w:val="00A825AB"/>
    <w:rsid w:val="00AA143C"/>
    <w:rsid w:val="00AB20E5"/>
    <w:rsid w:val="00AF1C46"/>
    <w:rsid w:val="00B02811"/>
    <w:rsid w:val="00BD495D"/>
    <w:rsid w:val="00C6172C"/>
    <w:rsid w:val="00C87DBE"/>
    <w:rsid w:val="00C95084"/>
    <w:rsid w:val="00CE007C"/>
    <w:rsid w:val="00CF0B15"/>
    <w:rsid w:val="00CF5B17"/>
    <w:rsid w:val="00D0070D"/>
    <w:rsid w:val="00D91C77"/>
    <w:rsid w:val="00DB35DC"/>
    <w:rsid w:val="00E34839"/>
    <w:rsid w:val="00E35BE8"/>
    <w:rsid w:val="00E72109"/>
    <w:rsid w:val="00EE7751"/>
    <w:rsid w:val="00F00244"/>
    <w:rsid w:val="00F52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84"/>
  </w:style>
  <w:style w:type="paragraph" w:styleId="Footer">
    <w:name w:val="footer"/>
    <w:basedOn w:val="Normal"/>
    <w:link w:val="FooterChar"/>
    <w:uiPriority w:val="99"/>
    <w:unhideWhenUsed/>
    <w:rsid w:val="0089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84"/>
  </w:style>
  <w:style w:type="paragraph" w:styleId="BalloonText">
    <w:name w:val="Balloon Text"/>
    <w:basedOn w:val="Normal"/>
    <w:link w:val="BalloonTextChar"/>
    <w:uiPriority w:val="99"/>
    <w:semiHidden/>
    <w:unhideWhenUsed/>
    <w:rsid w:val="0089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4"/>
    <w:rPr>
      <w:rFonts w:ascii="Tahoma" w:hAnsi="Tahoma" w:cs="Tahoma"/>
      <w:sz w:val="16"/>
      <w:szCs w:val="16"/>
    </w:rPr>
  </w:style>
  <w:style w:type="table" w:styleId="TableGrid">
    <w:name w:val="Table Grid"/>
    <w:basedOn w:val="TableNormal"/>
    <w:uiPriority w:val="59"/>
    <w:rsid w:val="008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84"/>
  </w:style>
  <w:style w:type="paragraph" w:styleId="Footer">
    <w:name w:val="footer"/>
    <w:basedOn w:val="Normal"/>
    <w:link w:val="FooterChar"/>
    <w:uiPriority w:val="99"/>
    <w:unhideWhenUsed/>
    <w:rsid w:val="0089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84"/>
  </w:style>
  <w:style w:type="paragraph" w:styleId="BalloonText">
    <w:name w:val="Balloon Text"/>
    <w:basedOn w:val="Normal"/>
    <w:link w:val="BalloonTextChar"/>
    <w:uiPriority w:val="99"/>
    <w:semiHidden/>
    <w:unhideWhenUsed/>
    <w:rsid w:val="0089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4"/>
    <w:rPr>
      <w:rFonts w:ascii="Tahoma" w:hAnsi="Tahoma" w:cs="Tahoma"/>
      <w:sz w:val="16"/>
      <w:szCs w:val="16"/>
    </w:rPr>
  </w:style>
  <w:style w:type="table" w:styleId="TableGrid">
    <w:name w:val="Table Grid"/>
    <w:basedOn w:val="TableNormal"/>
    <w:uiPriority w:val="59"/>
    <w:rsid w:val="008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Judith King</cp:lastModifiedBy>
  <cp:revision>2</cp:revision>
  <cp:lastPrinted>2017-11-24T10:00:00Z</cp:lastPrinted>
  <dcterms:created xsi:type="dcterms:W3CDTF">2018-10-02T10:16:00Z</dcterms:created>
  <dcterms:modified xsi:type="dcterms:W3CDTF">2018-10-02T10:16:00Z</dcterms:modified>
</cp:coreProperties>
</file>