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1" w:rsidRDefault="003E6961" w:rsidP="003E6961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Patient Participation Group M</w:t>
      </w:r>
      <w:r w:rsidRPr="00895F84">
        <w:rPr>
          <w:b/>
          <w:sz w:val="24"/>
          <w:szCs w:val="24"/>
        </w:rPr>
        <w:t xml:space="preserve">eeting </w:t>
      </w:r>
      <w:r>
        <w:rPr>
          <w:b/>
          <w:sz w:val="24"/>
          <w:szCs w:val="24"/>
        </w:rPr>
        <w:t>Minutes</w:t>
      </w:r>
    </w:p>
    <w:p w:rsidR="00C95084" w:rsidRDefault="00C95084" w:rsidP="003E6961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2835"/>
        <w:gridCol w:w="1134"/>
        <w:gridCol w:w="3260"/>
      </w:tblGrid>
      <w:tr w:rsidR="00895F84" w:rsidTr="004833FB">
        <w:tc>
          <w:tcPr>
            <w:tcW w:w="1951" w:type="dxa"/>
            <w:shd w:val="clear" w:color="auto" w:fill="BFBFBF" w:themeFill="background1" w:themeFillShade="BF"/>
          </w:tcPr>
          <w:p w:rsidR="00895F84" w:rsidRPr="00895F84" w:rsidRDefault="00895F84">
            <w:pPr>
              <w:rPr>
                <w:b/>
              </w:rPr>
            </w:pPr>
            <w:r w:rsidRPr="00895F84">
              <w:rPr>
                <w:b/>
              </w:rPr>
              <w:t>Date/Time</w:t>
            </w:r>
          </w:p>
        </w:tc>
        <w:tc>
          <w:tcPr>
            <w:tcW w:w="2835" w:type="dxa"/>
          </w:tcPr>
          <w:p w:rsidR="00895F84" w:rsidRDefault="00483550" w:rsidP="00E125C5">
            <w:r>
              <w:t>13</w:t>
            </w:r>
            <w:r w:rsidRPr="00483550">
              <w:rPr>
                <w:vertAlign w:val="superscript"/>
              </w:rPr>
              <w:t>th</w:t>
            </w:r>
            <w:r>
              <w:t xml:space="preserve"> December</w:t>
            </w:r>
            <w:r w:rsidR="004833FB">
              <w:t xml:space="preserve"> 201</w:t>
            </w:r>
            <w:r w:rsidR="00E125C5">
              <w:t>8</w:t>
            </w:r>
            <w:r w:rsidR="004833FB">
              <w:t xml:space="preserve"> 5</w:t>
            </w:r>
            <w:r w:rsidR="00CE007C">
              <w:t>pm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95F84" w:rsidRPr="00895F84" w:rsidRDefault="00895F84">
            <w:pPr>
              <w:rPr>
                <w:b/>
              </w:rPr>
            </w:pPr>
            <w:r w:rsidRPr="00895F84">
              <w:rPr>
                <w:b/>
              </w:rPr>
              <w:t>V</w:t>
            </w:r>
            <w:r w:rsidRPr="00E72109">
              <w:rPr>
                <w:b/>
                <w:shd w:val="clear" w:color="auto" w:fill="BFBFBF" w:themeFill="background1" w:themeFillShade="BF"/>
              </w:rPr>
              <w:t>enue</w:t>
            </w:r>
          </w:p>
        </w:tc>
        <w:tc>
          <w:tcPr>
            <w:tcW w:w="3260" w:type="dxa"/>
          </w:tcPr>
          <w:p w:rsidR="00895F84" w:rsidRDefault="00CE007C">
            <w:r>
              <w:t>Priory View, Meeting room</w:t>
            </w:r>
          </w:p>
        </w:tc>
      </w:tr>
      <w:tr w:rsidR="00895F84" w:rsidTr="004833FB">
        <w:tc>
          <w:tcPr>
            <w:tcW w:w="1951" w:type="dxa"/>
            <w:shd w:val="clear" w:color="auto" w:fill="BFBFBF" w:themeFill="background1" w:themeFillShade="BF"/>
          </w:tcPr>
          <w:p w:rsidR="00895F84" w:rsidRPr="00895F84" w:rsidRDefault="00895F84">
            <w:pPr>
              <w:rPr>
                <w:b/>
              </w:rPr>
            </w:pPr>
            <w:r w:rsidRPr="00895F84">
              <w:rPr>
                <w:b/>
              </w:rPr>
              <w:t>Attendees</w:t>
            </w:r>
            <w:r w:rsidR="004833FB">
              <w:rPr>
                <w:b/>
              </w:rPr>
              <w:t xml:space="preserve"> PVMC</w:t>
            </w:r>
          </w:p>
        </w:tc>
        <w:tc>
          <w:tcPr>
            <w:tcW w:w="7229" w:type="dxa"/>
            <w:gridSpan w:val="3"/>
          </w:tcPr>
          <w:p w:rsidR="00895F84" w:rsidRDefault="00483550" w:rsidP="00483550">
            <w:r>
              <w:t>Helen Walker (HW)</w:t>
            </w:r>
          </w:p>
        </w:tc>
      </w:tr>
      <w:tr w:rsidR="004833FB" w:rsidTr="004833FB">
        <w:tc>
          <w:tcPr>
            <w:tcW w:w="1951" w:type="dxa"/>
            <w:shd w:val="clear" w:color="auto" w:fill="BFBFBF" w:themeFill="background1" w:themeFillShade="BF"/>
          </w:tcPr>
          <w:p w:rsidR="004833FB" w:rsidRPr="00895F84" w:rsidRDefault="004833FB" w:rsidP="00895F84">
            <w:pPr>
              <w:rPr>
                <w:b/>
              </w:rPr>
            </w:pPr>
            <w:r>
              <w:rPr>
                <w:b/>
              </w:rPr>
              <w:t>Attendees PPG</w:t>
            </w:r>
          </w:p>
        </w:tc>
        <w:tc>
          <w:tcPr>
            <w:tcW w:w="7229" w:type="dxa"/>
            <w:gridSpan w:val="3"/>
          </w:tcPr>
          <w:p w:rsidR="004833FB" w:rsidRDefault="004833FB" w:rsidP="00483550">
            <w:r>
              <w:t xml:space="preserve">Bob Dickson (BD), </w:t>
            </w:r>
            <w:r w:rsidR="003E6961">
              <w:t>Kevin Ashton (KA)</w:t>
            </w:r>
          </w:p>
        </w:tc>
      </w:tr>
      <w:tr w:rsidR="00895F84" w:rsidTr="004833FB">
        <w:tc>
          <w:tcPr>
            <w:tcW w:w="1951" w:type="dxa"/>
            <w:shd w:val="clear" w:color="auto" w:fill="BFBFBF" w:themeFill="background1" w:themeFillShade="BF"/>
          </w:tcPr>
          <w:p w:rsidR="00895F84" w:rsidRPr="00895F84" w:rsidRDefault="00895F84" w:rsidP="00895F84">
            <w:pPr>
              <w:rPr>
                <w:b/>
              </w:rPr>
            </w:pPr>
            <w:r w:rsidRPr="00895F84">
              <w:rPr>
                <w:b/>
              </w:rPr>
              <w:t>Apologies</w:t>
            </w:r>
          </w:p>
        </w:tc>
        <w:tc>
          <w:tcPr>
            <w:tcW w:w="7229" w:type="dxa"/>
            <w:gridSpan w:val="3"/>
          </w:tcPr>
          <w:p w:rsidR="00895F84" w:rsidRDefault="004833FB" w:rsidP="00483550">
            <w:r>
              <w:t>Angela Yeoman</w:t>
            </w:r>
            <w:r w:rsidR="003F6645">
              <w:t xml:space="preserve"> (AY)</w:t>
            </w:r>
            <w:r>
              <w:t>, Lillian Macfarlane</w:t>
            </w:r>
            <w:r w:rsidR="007F0D1B">
              <w:t xml:space="preserve"> (LM</w:t>
            </w:r>
            <w:r w:rsidR="00483550">
              <w:t>)</w:t>
            </w:r>
            <w:r w:rsidR="0099014B">
              <w:t>,</w:t>
            </w:r>
            <w:r w:rsidR="003F6645">
              <w:t xml:space="preserve"> Safdar Hussain (SH), </w:t>
            </w:r>
            <w:r w:rsidR="0099014B">
              <w:t>Brian Brock (BB)</w:t>
            </w:r>
            <w:r w:rsidR="00483550">
              <w:t>, Sheila O’Connor (SO), Harry Shields (HS), David Lunnun (DL)</w:t>
            </w:r>
          </w:p>
        </w:tc>
      </w:tr>
      <w:tr w:rsidR="0099014B" w:rsidTr="004833FB">
        <w:tc>
          <w:tcPr>
            <w:tcW w:w="1951" w:type="dxa"/>
            <w:shd w:val="clear" w:color="auto" w:fill="BFBFBF" w:themeFill="background1" w:themeFillShade="BF"/>
          </w:tcPr>
          <w:p w:rsidR="0099014B" w:rsidRPr="00895F84" w:rsidRDefault="0099014B" w:rsidP="00895F84">
            <w:pPr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7229" w:type="dxa"/>
            <w:gridSpan w:val="3"/>
          </w:tcPr>
          <w:p w:rsidR="0099014B" w:rsidRDefault="0099014B" w:rsidP="0099014B"/>
        </w:tc>
      </w:tr>
    </w:tbl>
    <w:p w:rsidR="00895F84" w:rsidRDefault="00895F84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4"/>
        <w:gridCol w:w="6225"/>
        <w:gridCol w:w="891"/>
        <w:gridCol w:w="1390"/>
      </w:tblGrid>
      <w:tr w:rsidR="0075270D" w:rsidTr="007C7DDB">
        <w:trPr>
          <w:tblHeader/>
        </w:trPr>
        <w:tc>
          <w:tcPr>
            <w:tcW w:w="674" w:type="dxa"/>
            <w:shd w:val="clear" w:color="auto" w:fill="BFBFBF" w:themeFill="background1" w:themeFillShade="BF"/>
          </w:tcPr>
          <w:p w:rsidR="0075270D" w:rsidRPr="00E72109" w:rsidRDefault="0075270D">
            <w:pPr>
              <w:rPr>
                <w:b/>
              </w:rPr>
            </w:pPr>
            <w:r w:rsidRPr="00E72109">
              <w:rPr>
                <w:b/>
              </w:rPr>
              <w:t>Item</w:t>
            </w:r>
          </w:p>
        </w:tc>
        <w:tc>
          <w:tcPr>
            <w:tcW w:w="6225" w:type="dxa"/>
            <w:shd w:val="clear" w:color="auto" w:fill="BFBFBF" w:themeFill="background1" w:themeFillShade="BF"/>
          </w:tcPr>
          <w:p w:rsidR="0075270D" w:rsidRPr="00E72109" w:rsidRDefault="0075270D">
            <w:pPr>
              <w:rPr>
                <w:b/>
              </w:rPr>
            </w:pPr>
            <w:r w:rsidRPr="00E72109">
              <w:rPr>
                <w:b/>
              </w:rPr>
              <w:t>Agenda Item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:rsidR="0075270D" w:rsidRPr="00E72109" w:rsidRDefault="0075270D" w:rsidP="0075270D">
            <w:pPr>
              <w:rPr>
                <w:b/>
              </w:rPr>
            </w:pPr>
            <w:r>
              <w:rPr>
                <w:b/>
              </w:rPr>
              <w:t>Action By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75270D" w:rsidRPr="00E72109" w:rsidRDefault="0075270D">
            <w:pPr>
              <w:rPr>
                <w:b/>
              </w:rPr>
            </w:pPr>
            <w:r>
              <w:rPr>
                <w:b/>
              </w:rPr>
              <w:t>Action Date</w:t>
            </w:r>
          </w:p>
        </w:tc>
      </w:tr>
      <w:tr w:rsidR="0075270D" w:rsidTr="000238B0">
        <w:tc>
          <w:tcPr>
            <w:tcW w:w="674" w:type="dxa"/>
          </w:tcPr>
          <w:p w:rsidR="0075270D" w:rsidRDefault="0075270D">
            <w:r>
              <w:t>1</w:t>
            </w:r>
          </w:p>
        </w:tc>
        <w:tc>
          <w:tcPr>
            <w:tcW w:w="6225" w:type="dxa"/>
          </w:tcPr>
          <w:p w:rsidR="0075270D" w:rsidRDefault="000B5F7F" w:rsidP="00895F84">
            <w:pPr>
              <w:rPr>
                <w:b/>
              </w:rPr>
            </w:pPr>
            <w:r>
              <w:rPr>
                <w:b/>
              </w:rPr>
              <w:t>Review of Previous Minutes</w:t>
            </w:r>
          </w:p>
          <w:p w:rsidR="004833FB" w:rsidRDefault="004833FB" w:rsidP="00895F84">
            <w:pPr>
              <w:rPr>
                <w:b/>
              </w:rPr>
            </w:pPr>
          </w:p>
          <w:p w:rsidR="000B5F7F" w:rsidRDefault="00483550" w:rsidP="00483550">
            <w:r>
              <w:t>All actions were completed or are ongoing.</w:t>
            </w:r>
            <w:r w:rsidR="00154A2D">
              <w:t xml:space="preserve"> The following is ongoing.</w:t>
            </w:r>
          </w:p>
          <w:p w:rsidR="00154A2D" w:rsidRDefault="00154A2D" w:rsidP="00483550"/>
          <w:p w:rsidR="00154A2D" w:rsidRDefault="00154A2D" w:rsidP="00154A2D">
            <w:r>
              <w:t>DL advised that access around the reception desk was often difficult with people blocking the access to the main waiting area when speaking to a receptionist.</w:t>
            </w:r>
          </w:p>
          <w:p w:rsidR="00154A2D" w:rsidRDefault="00154A2D" w:rsidP="00154A2D">
            <w:pPr>
              <w:rPr>
                <w:b/>
                <w:color w:val="FF0000"/>
              </w:rPr>
            </w:pPr>
            <w:r w:rsidRPr="00DD70AB">
              <w:rPr>
                <w:b/>
              </w:rPr>
              <w:t>Action</w:t>
            </w:r>
            <w:r>
              <w:t xml:space="preserve">: HW will review the area and look at ways to improve access for all patients including wheelchair users. </w:t>
            </w:r>
            <w:r>
              <w:rPr>
                <w:b/>
                <w:color w:val="FF0000"/>
              </w:rPr>
              <w:t>Review of area completed. Q</w:t>
            </w:r>
            <w:r w:rsidRPr="00010DDF">
              <w:rPr>
                <w:b/>
                <w:color w:val="FF0000"/>
              </w:rPr>
              <w:t>uotes</w:t>
            </w:r>
            <w:r>
              <w:rPr>
                <w:b/>
                <w:color w:val="FF0000"/>
              </w:rPr>
              <w:t xml:space="preserve"> obtained. Waiting for f</w:t>
            </w:r>
            <w:r w:rsidRPr="00010DDF">
              <w:rPr>
                <w:b/>
                <w:color w:val="FF0000"/>
              </w:rPr>
              <w:t xml:space="preserve">unding </w:t>
            </w:r>
            <w:r>
              <w:rPr>
                <w:b/>
                <w:color w:val="FF0000"/>
              </w:rPr>
              <w:t xml:space="preserve">in new year </w:t>
            </w:r>
            <w:r w:rsidRPr="00010DDF">
              <w:rPr>
                <w:b/>
                <w:color w:val="FF0000"/>
              </w:rPr>
              <w:t>to commence with plans to move Check-in screen and create signage to the opposite end of the reception desk.</w:t>
            </w:r>
          </w:p>
          <w:p w:rsidR="00154A2D" w:rsidRDefault="00154A2D" w:rsidP="00154A2D">
            <w:pPr>
              <w:rPr>
                <w:b/>
                <w:color w:val="FF0000"/>
              </w:rPr>
            </w:pPr>
          </w:p>
          <w:p w:rsidR="00154A2D" w:rsidRPr="00154A2D" w:rsidRDefault="00154A2D" w:rsidP="00154A2D">
            <w:pPr>
              <w:rPr>
                <w:color w:val="000000" w:themeColor="text1"/>
              </w:rPr>
            </w:pPr>
            <w:r w:rsidRPr="00154A2D">
              <w:rPr>
                <w:color w:val="000000" w:themeColor="text1"/>
              </w:rPr>
              <w:t>13-12-18 – HW asked the PPG for their thoughts on location</w:t>
            </w:r>
            <w:r>
              <w:rPr>
                <w:color w:val="000000" w:themeColor="text1"/>
              </w:rPr>
              <w:t xml:space="preserve"> </w:t>
            </w:r>
            <w:r w:rsidRPr="00154A2D">
              <w:rPr>
                <w:color w:val="000000" w:themeColor="text1"/>
              </w:rPr>
              <w:t>of the Auto Check</w:t>
            </w:r>
            <w:r>
              <w:rPr>
                <w:color w:val="000000" w:themeColor="text1"/>
              </w:rPr>
              <w:t>-</w:t>
            </w:r>
            <w:r w:rsidRPr="00154A2D">
              <w:rPr>
                <w:color w:val="000000" w:themeColor="text1"/>
              </w:rPr>
              <w:t>in screen. HW was thin</w:t>
            </w:r>
            <w:r>
              <w:rPr>
                <w:color w:val="000000" w:themeColor="text1"/>
              </w:rPr>
              <w:t>k</w:t>
            </w:r>
            <w:r w:rsidRPr="00154A2D">
              <w:rPr>
                <w:color w:val="000000" w:themeColor="text1"/>
              </w:rPr>
              <w:t>ing of moving the screen into the lobby area to ease patients que</w:t>
            </w:r>
            <w:r>
              <w:rPr>
                <w:color w:val="000000" w:themeColor="text1"/>
              </w:rPr>
              <w:t>u</w:t>
            </w:r>
            <w:r w:rsidRPr="00154A2D">
              <w:rPr>
                <w:color w:val="000000" w:themeColor="text1"/>
              </w:rPr>
              <w:t>ing around the reception desk and to lower the screen to make acces</w:t>
            </w:r>
            <w:r>
              <w:rPr>
                <w:color w:val="000000" w:themeColor="text1"/>
              </w:rPr>
              <w:t>s</w:t>
            </w:r>
            <w:r w:rsidRPr="00154A2D">
              <w:rPr>
                <w:color w:val="000000" w:themeColor="text1"/>
              </w:rPr>
              <w:t xml:space="preserve"> eas</w:t>
            </w:r>
            <w:r>
              <w:rPr>
                <w:color w:val="000000" w:themeColor="text1"/>
              </w:rPr>
              <w:t>i</w:t>
            </w:r>
            <w:r w:rsidRPr="00154A2D">
              <w:rPr>
                <w:color w:val="000000" w:themeColor="text1"/>
              </w:rPr>
              <w:t xml:space="preserve">er. The group agreed the lobby would be good </w:t>
            </w:r>
            <w:r>
              <w:rPr>
                <w:color w:val="000000" w:themeColor="text1"/>
              </w:rPr>
              <w:t>location</w:t>
            </w:r>
            <w:r w:rsidRPr="00154A2D">
              <w:rPr>
                <w:color w:val="000000" w:themeColor="text1"/>
              </w:rPr>
              <w:t xml:space="preserve"> and also suggested looking for a frame that could enable the screen to move up and down. </w:t>
            </w:r>
            <w:r w:rsidRPr="00154A2D">
              <w:rPr>
                <w:b/>
                <w:color w:val="000000" w:themeColor="text1"/>
              </w:rPr>
              <w:t>Action</w:t>
            </w:r>
            <w:r w:rsidRPr="00154A2D">
              <w:rPr>
                <w:color w:val="000000" w:themeColor="text1"/>
              </w:rPr>
              <w:t xml:space="preserve">: HW to look into frames and relocate the monitor as soon as </w:t>
            </w:r>
            <w:r>
              <w:rPr>
                <w:color w:val="000000" w:themeColor="text1"/>
              </w:rPr>
              <w:t>possible</w:t>
            </w:r>
            <w:r w:rsidRPr="00154A2D">
              <w:rPr>
                <w:color w:val="000000" w:themeColor="text1"/>
              </w:rPr>
              <w:t>.</w:t>
            </w:r>
          </w:p>
          <w:p w:rsidR="00154A2D" w:rsidRPr="004833FB" w:rsidRDefault="00154A2D" w:rsidP="00483550"/>
        </w:tc>
        <w:tc>
          <w:tcPr>
            <w:tcW w:w="891" w:type="dxa"/>
          </w:tcPr>
          <w:p w:rsidR="0075270D" w:rsidRDefault="0075270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75270D"/>
          <w:p w:rsidR="00154A2D" w:rsidRDefault="00154A2D" w:rsidP="00154A2D">
            <w:pPr>
              <w:jc w:val="center"/>
            </w:pPr>
            <w:r>
              <w:t>HW</w:t>
            </w:r>
          </w:p>
        </w:tc>
        <w:tc>
          <w:tcPr>
            <w:tcW w:w="1390" w:type="dxa"/>
          </w:tcPr>
          <w:p w:rsidR="0075270D" w:rsidRDefault="0075270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</w:p>
          <w:p w:rsidR="00154A2D" w:rsidRDefault="00154A2D" w:rsidP="006B3546">
            <w:pPr>
              <w:jc w:val="center"/>
            </w:pPr>
            <w:r>
              <w:t>First half 2019</w:t>
            </w:r>
          </w:p>
        </w:tc>
      </w:tr>
      <w:tr w:rsidR="003F6645" w:rsidTr="000238B0">
        <w:tc>
          <w:tcPr>
            <w:tcW w:w="674" w:type="dxa"/>
          </w:tcPr>
          <w:p w:rsidR="003F6645" w:rsidRDefault="003F6645">
            <w:r>
              <w:t>2</w:t>
            </w:r>
          </w:p>
        </w:tc>
        <w:tc>
          <w:tcPr>
            <w:tcW w:w="6225" w:type="dxa"/>
          </w:tcPr>
          <w:p w:rsidR="003F6645" w:rsidRDefault="003F6645" w:rsidP="000B5F7F">
            <w:pPr>
              <w:rPr>
                <w:b/>
              </w:rPr>
            </w:pPr>
            <w:r>
              <w:rPr>
                <w:b/>
              </w:rPr>
              <w:t>Suggestion Box</w:t>
            </w:r>
          </w:p>
          <w:p w:rsidR="003F6645" w:rsidRPr="00483550" w:rsidRDefault="00483550" w:rsidP="000B5F7F">
            <w:pPr>
              <w:rPr>
                <w:b/>
              </w:rPr>
            </w:pPr>
            <w:r w:rsidRPr="00483550">
              <w:rPr>
                <w:b/>
              </w:rPr>
              <w:t>Better Appointments and more available appointments</w:t>
            </w:r>
          </w:p>
          <w:p w:rsidR="00483550" w:rsidRDefault="00483550" w:rsidP="000B5F7F">
            <w:r>
              <w:t>HW advised that appointments are reviewed every week and more information about the appointment system will be provided so patients can see the number of appointments we make available every month.</w:t>
            </w:r>
          </w:p>
          <w:p w:rsidR="00483550" w:rsidRDefault="00483550" w:rsidP="000B5F7F"/>
          <w:p w:rsidR="00483550" w:rsidRPr="00483550" w:rsidRDefault="00483550" w:rsidP="000B5F7F">
            <w:pPr>
              <w:rPr>
                <w:b/>
              </w:rPr>
            </w:pPr>
            <w:r w:rsidRPr="00483550">
              <w:rPr>
                <w:b/>
              </w:rPr>
              <w:t>Drinks/Water machine in Reception</w:t>
            </w:r>
          </w:p>
          <w:p w:rsidR="00483550" w:rsidRDefault="00483550" w:rsidP="000B5F7F">
            <w:r>
              <w:t>A water machine has been suggested previous</w:t>
            </w:r>
            <w:r w:rsidR="00F17914">
              <w:t>ly</w:t>
            </w:r>
            <w:r>
              <w:t xml:space="preserve"> and we are awaiting funding to see if this could be installed in the ground floor waiting area.</w:t>
            </w:r>
          </w:p>
          <w:p w:rsidR="00483550" w:rsidRDefault="00483550" w:rsidP="000B5F7F"/>
          <w:p w:rsidR="00483550" w:rsidRPr="00483550" w:rsidRDefault="00483550" w:rsidP="000B5F7F">
            <w:pPr>
              <w:rPr>
                <w:b/>
              </w:rPr>
            </w:pPr>
            <w:r w:rsidRPr="00483550">
              <w:rPr>
                <w:b/>
              </w:rPr>
              <w:t>Bin in reception</w:t>
            </w:r>
          </w:p>
          <w:p w:rsidR="00483550" w:rsidRDefault="00483550" w:rsidP="000B5F7F">
            <w:r>
              <w:t>We can look at putting a bin in reception area</w:t>
            </w:r>
            <w:r w:rsidR="00F17914">
              <w:t xml:space="preserve"> for patients</w:t>
            </w:r>
            <w:r>
              <w:t>.</w:t>
            </w:r>
          </w:p>
          <w:p w:rsidR="00FB5443" w:rsidRPr="003F6645" w:rsidRDefault="00FB5443" w:rsidP="00456AA3"/>
        </w:tc>
        <w:tc>
          <w:tcPr>
            <w:tcW w:w="891" w:type="dxa"/>
          </w:tcPr>
          <w:p w:rsidR="003F6645" w:rsidRDefault="003F6645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HW</w:t>
            </w: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HW</w:t>
            </w:r>
          </w:p>
        </w:tc>
        <w:tc>
          <w:tcPr>
            <w:tcW w:w="1390" w:type="dxa"/>
          </w:tcPr>
          <w:p w:rsidR="003F6645" w:rsidRDefault="003F6645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By summer 2019</w:t>
            </w: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By next PPG Mtg</w:t>
            </w:r>
          </w:p>
        </w:tc>
      </w:tr>
      <w:tr w:rsidR="0075270D" w:rsidTr="000238B0">
        <w:tc>
          <w:tcPr>
            <w:tcW w:w="674" w:type="dxa"/>
          </w:tcPr>
          <w:p w:rsidR="0075270D" w:rsidRDefault="003F6645">
            <w:r>
              <w:lastRenderedPageBreak/>
              <w:t>3</w:t>
            </w:r>
          </w:p>
        </w:tc>
        <w:tc>
          <w:tcPr>
            <w:tcW w:w="6225" w:type="dxa"/>
          </w:tcPr>
          <w:p w:rsidR="00DD70AB" w:rsidRDefault="00483550" w:rsidP="00DD70AB">
            <w:pPr>
              <w:rPr>
                <w:b/>
              </w:rPr>
            </w:pPr>
            <w:r>
              <w:rPr>
                <w:b/>
              </w:rPr>
              <w:t>PPG Member changes</w:t>
            </w:r>
          </w:p>
          <w:p w:rsidR="00483550" w:rsidRPr="00483550" w:rsidRDefault="00483550" w:rsidP="00DD70AB">
            <w:r w:rsidRPr="00483550">
              <w:t xml:space="preserve">There have been no additional members this quarter. It is noted that Rebekah Rockwell </w:t>
            </w:r>
            <w:r w:rsidR="00F17914">
              <w:t xml:space="preserve">resigned from the </w:t>
            </w:r>
            <w:r w:rsidRPr="00483550">
              <w:t>PPG</w:t>
            </w:r>
            <w:r w:rsidR="00F17914">
              <w:t xml:space="preserve"> in the last quarter</w:t>
            </w:r>
            <w:r w:rsidRPr="00483550">
              <w:t>.</w:t>
            </w:r>
          </w:p>
          <w:p w:rsidR="00000300" w:rsidRPr="006B69F6" w:rsidRDefault="00000300" w:rsidP="00483550"/>
        </w:tc>
        <w:tc>
          <w:tcPr>
            <w:tcW w:w="891" w:type="dxa"/>
          </w:tcPr>
          <w:p w:rsidR="0075270D" w:rsidRDefault="0075270D" w:rsidP="006B3546">
            <w:pPr>
              <w:jc w:val="center"/>
            </w:pPr>
          </w:p>
          <w:p w:rsidR="007C7DDB" w:rsidRDefault="007C7DDB" w:rsidP="007C7DDB">
            <w:pPr>
              <w:jc w:val="center"/>
            </w:pPr>
          </w:p>
        </w:tc>
        <w:tc>
          <w:tcPr>
            <w:tcW w:w="1390" w:type="dxa"/>
          </w:tcPr>
          <w:p w:rsidR="0075270D" w:rsidRDefault="0075270D" w:rsidP="006B3546">
            <w:pPr>
              <w:jc w:val="center"/>
            </w:pPr>
          </w:p>
          <w:p w:rsidR="007C7DDB" w:rsidRDefault="007C7DDB" w:rsidP="003858F5"/>
        </w:tc>
      </w:tr>
      <w:tr w:rsidR="00483550" w:rsidTr="000238B0">
        <w:tc>
          <w:tcPr>
            <w:tcW w:w="674" w:type="dxa"/>
          </w:tcPr>
          <w:p w:rsidR="00483550" w:rsidRDefault="00483550">
            <w:r>
              <w:t>4</w:t>
            </w:r>
          </w:p>
        </w:tc>
        <w:tc>
          <w:tcPr>
            <w:tcW w:w="6225" w:type="dxa"/>
          </w:tcPr>
          <w:p w:rsidR="00483550" w:rsidRDefault="00483550" w:rsidP="00DD70AB">
            <w:pPr>
              <w:rPr>
                <w:b/>
              </w:rPr>
            </w:pPr>
            <w:r>
              <w:rPr>
                <w:b/>
              </w:rPr>
              <w:t>Newsletter</w:t>
            </w:r>
          </w:p>
          <w:p w:rsidR="00483550" w:rsidRDefault="00483550" w:rsidP="00DD70AB">
            <w:r>
              <w:t>HW handed out the Winter Newsletter. HW thought that PPG members may want to write an article or contribute ideas to future editions.</w:t>
            </w:r>
          </w:p>
          <w:p w:rsidR="00483550" w:rsidRDefault="00483550" w:rsidP="00483550">
            <w:r w:rsidRPr="00483550">
              <w:rPr>
                <w:b/>
              </w:rPr>
              <w:t>Action</w:t>
            </w:r>
            <w:r>
              <w:t xml:space="preserve">: HW will forward </w:t>
            </w:r>
            <w:r w:rsidR="00F17914">
              <w:t xml:space="preserve">a </w:t>
            </w:r>
            <w:r>
              <w:t>draft newsletter moving forward and request PPG members contributions or ideas before publishing each issue.</w:t>
            </w:r>
          </w:p>
          <w:p w:rsidR="00483550" w:rsidRPr="00483550" w:rsidRDefault="00483550" w:rsidP="00F17914">
            <w:r>
              <w:t xml:space="preserve">BD suggested that for a wider audience we consider emailing the newsletter. </w:t>
            </w:r>
            <w:r w:rsidRPr="00483550">
              <w:rPr>
                <w:b/>
              </w:rPr>
              <w:t>Action</w:t>
            </w:r>
            <w:r>
              <w:t>: HW will investigate the process for compiling a</w:t>
            </w:r>
            <w:r w:rsidR="00822D59">
              <w:t>n</w:t>
            </w:r>
            <w:r>
              <w:t xml:space="preserve"> email group for receipt of the newsletter.</w:t>
            </w:r>
          </w:p>
        </w:tc>
        <w:tc>
          <w:tcPr>
            <w:tcW w:w="891" w:type="dxa"/>
          </w:tcPr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HW</w:t>
            </w: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HW</w:t>
            </w:r>
          </w:p>
        </w:tc>
        <w:tc>
          <w:tcPr>
            <w:tcW w:w="1390" w:type="dxa"/>
          </w:tcPr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Ongoing</w:t>
            </w: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</w:p>
          <w:p w:rsidR="00483550" w:rsidRDefault="00483550" w:rsidP="006B3546">
            <w:pPr>
              <w:jc w:val="center"/>
            </w:pPr>
            <w:r>
              <w:t>By next PPG Mtg</w:t>
            </w:r>
          </w:p>
        </w:tc>
      </w:tr>
      <w:tr w:rsidR="0075270D" w:rsidTr="000238B0">
        <w:tc>
          <w:tcPr>
            <w:tcW w:w="674" w:type="dxa"/>
          </w:tcPr>
          <w:p w:rsidR="0075270D" w:rsidRDefault="003F6645">
            <w:r>
              <w:t>4</w:t>
            </w:r>
          </w:p>
        </w:tc>
        <w:tc>
          <w:tcPr>
            <w:tcW w:w="6225" w:type="dxa"/>
          </w:tcPr>
          <w:p w:rsidR="003858F5" w:rsidRDefault="00822D59" w:rsidP="001C24C3">
            <w:pPr>
              <w:rPr>
                <w:b/>
              </w:rPr>
            </w:pPr>
            <w:r>
              <w:rPr>
                <w:b/>
              </w:rPr>
              <w:t>PPG Funding Bid</w:t>
            </w:r>
          </w:p>
          <w:p w:rsidR="00822D59" w:rsidRDefault="00822D59" w:rsidP="001C24C3">
            <w:r w:rsidRPr="00822D59">
              <w:t>HW</w:t>
            </w:r>
            <w:r>
              <w:t xml:space="preserve"> advised the group that up to £1000 of funding to support a programme of PPG development was available and bids needed to be made before 7</w:t>
            </w:r>
            <w:r w:rsidRPr="00822D59">
              <w:rPr>
                <w:vertAlign w:val="superscript"/>
              </w:rPr>
              <w:t>th</w:t>
            </w:r>
            <w:r>
              <w:t xml:space="preserve"> January. The group reviewed the PPG Quality indicator checklist to identify areas that could form a bid. </w:t>
            </w:r>
            <w:r w:rsidRPr="00822D59">
              <w:rPr>
                <w:b/>
              </w:rPr>
              <w:t>Action</w:t>
            </w:r>
            <w:r>
              <w:t>: HW to prepare a bid for funding that includes the following:</w:t>
            </w:r>
          </w:p>
          <w:p w:rsidR="00822D59" w:rsidRDefault="00822D59" w:rsidP="00822D59">
            <w:pPr>
              <w:pStyle w:val="ListParagraph"/>
              <w:numPr>
                <w:ilvl w:val="0"/>
                <w:numId w:val="15"/>
              </w:numPr>
            </w:pPr>
            <w:r>
              <w:t>Possible consultant to join group to develop a PPG action plan</w:t>
            </w:r>
          </w:p>
          <w:p w:rsidR="00822D59" w:rsidRDefault="00822D59" w:rsidP="00822D59">
            <w:pPr>
              <w:pStyle w:val="ListParagraph"/>
              <w:numPr>
                <w:ilvl w:val="0"/>
                <w:numId w:val="15"/>
              </w:numPr>
            </w:pPr>
            <w:r>
              <w:t>Additional money to pay for administrat</w:t>
            </w:r>
            <w:r w:rsidR="00F17914">
              <w:t>or to</w:t>
            </w:r>
            <w:r>
              <w:t xml:space="preserve"> coordinate and develop surveys that could be sent to a wider Virtual PPG</w:t>
            </w:r>
          </w:p>
          <w:p w:rsidR="00822D59" w:rsidRPr="00822D59" w:rsidRDefault="00822D59" w:rsidP="00822D59">
            <w:pPr>
              <w:pStyle w:val="ListParagraph"/>
              <w:numPr>
                <w:ilvl w:val="0"/>
                <w:numId w:val="15"/>
              </w:numPr>
            </w:pPr>
            <w:r>
              <w:t>Notice boards</w:t>
            </w:r>
            <w:r w:rsidR="00F17914">
              <w:t xml:space="preserve"> and materials put up</w:t>
            </w:r>
            <w:r>
              <w:t xml:space="preserve"> in reception to demonstrate “You Said We Did” based on work achieved by the PPG</w:t>
            </w:r>
          </w:p>
          <w:p w:rsidR="00000300" w:rsidRPr="007C7DDB" w:rsidRDefault="00000300" w:rsidP="00483550">
            <w:pPr>
              <w:rPr>
                <w:color w:val="FF0000"/>
              </w:rPr>
            </w:pPr>
          </w:p>
        </w:tc>
        <w:tc>
          <w:tcPr>
            <w:tcW w:w="891" w:type="dxa"/>
          </w:tcPr>
          <w:p w:rsidR="0075270D" w:rsidRDefault="0075270D" w:rsidP="006B3546">
            <w:pPr>
              <w:jc w:val="center"/>
            </w:pPr>
          </w:p>
          <w:p w:rsidR="00C87DBE" w:rsidRDefault="00C87DBE" w:rsidP="00C87DBE"/>
          <w:p w:rsidR="00822D59" w:rsidRDefault="00822D59" w:rsidP="00C87DBE"/>
          <w:p w:rsidR="00822D59" w:rsidRDefault="00822D59" w:rsidP="00C87DBE"/>
          <w:p w:rsidR="00822D59" w:rsidRDefault="00822D59" w:rsidP="00822D59">
            <w:pPr>
              <w:jc w:val="center"/>
            </w:pPr>
            <w:r>
              <w:t>HW</w:t>
            </w:r>
          </w:p>
        </w:tc>
        <w:tc>
          <w:tcPr>
            <w:tcW w:w="1390" w:type="dxa"/>
          </w:tcPr>
          <w:p w:rsidR="00566CDF" w:rsidRDefault="00566CDF" w:rsidP="001C24C3">
            <w:pPr>
              <w:jc w:val="center"/>
            </w:pPr>
          </w:p>
          <w:p w:rsidR="00C87DBE" w:rsidRDefault="00C87DBE" w:rsidP="001C24C3">
            <w:pPr>
              <w:jc w:val="center"/>
            </w:pPr>
          </w:p>
          <w:p w:rsidR="00822D59" w:rsidRDefault="00822D59" w:rsidP="001C24C3">
            <w:pPr>
              <w:jc w:val="center"/>
            </w:pPr>
          </w:p>
          <w:p w:rsidR="00822D59" w:rsidRDefault="00822D59" w:rsidP="001C24C3">
            <w:pPr>
              <w:jc w:val="center"/>
            </w:pPr>
          </w:p>
          <w:p w:rsidR="00822D59" w:rsidRDefault="00822D59" w:rsidP="001C24C3">
            <w:pPr>
              <w:jc w:val="center"/>
            </w:pPr>
            <w:r>
              <w:t>7/1/19</w:t>
            </w:r>
          </w:p>
          <w:p w:rsidR="00C87DBE" w:rsidRDefault="00C87DBE" w:rsidP="003F6645">
            <w:pPr>
              <w:jc w:val="center"/>
            </w:pPr>
          </w:p>
        </w:tc>
      </w:tr>
      <w:tr w:rsidR="003858F5" w:rsidTr="000238B0">
        <w:tc>
          <w:tcPr>
            <w:tcW w:w="674" w:type="dxa"/>
          </w:tcPr>
          <w:p w:rsidR="003858F5" w:rsidRDefault="003F6645">
            <w:r>
              <w:t>5</w:t>
            </w:r>
          </w:p>
        </w:tc>
        <w:tc>
          <w:tcPr>
            <w:tcW w:w="6225" w:type="dxa"/>
          </w:tcPr>
          <w:p w:rsidR="00000300" w:rsidRPr="00822D59" w:rsidRDefault="00822D59" w:rsidP="00822D59">
            <w:pPr>
              <w:rPr>
                <w:b/>
              </w:rPr>
            </w:pPr>
            <w:r w:rsidRPr="00822D59">
              <w:rPr>
                <w:b/>
              </w:rPr>
              <w:t>Virtual PPG</w:t>
            </w:r>
          </w:p>
          <w:p w:rsidR="00822D59" w:rsidRDefault="00822D59" w:rsidP="00822D59">
            <w:r>
              <w:t xml:space="preserve">HW advised that whilst we had a face to face PPG, it would be useful to expand feedback </w:t>
            </w:r>
            <w:r w:rsidR="00F17914">
              <w:t>from</w:t>
            </w:r>
            <w:r>
              <w:t xml:space="preserve"> a wider group. This could be done via a virtual PPG. By sending surveys </w:t>
            </w:r>
            <w:r w:rsidR="00F17914">
              <w:t xml:space="preserve">and </w:t>
            </w:r>
            <w:r>
              <w:t>asking questions to specific patient groups, the information can be brought to PPG meetings to inform services and debate.</w:t>
            </w:r>
          </w:p>
          <w:p w:rsidR="00822D59" w:rsidRPr="003858F5" w:rsidRDefault="00822D59" w:rsidP="00822D59">
            <w:r w:rsidRPr="00822D59">
              <w:rPr>
                <w:b/>
              </w:rPr>
              <w:t>Action</w:t>
            </w:r>
            <w:r>
              <w:t>: HW to investigate further how a virtual PPG can be set up during 2019</w:t>
            </w:r>
          </w:p>
        </w:tc>
        <w:tc>
          <w:tcPr>
            <w:tcW w:w="891" w:type="dxa"/>
          </w:tcPr>
          <w:p w:rsidR="00DD70AB" w:rsidRDefault="00DD70AB" w:rsidP="006B3546">
            <w:pPr>
              <w:jc w:val="center"/>
            </w:pPr>
          </w:p>
        </w:tc>
        <w:tc>
          <w:tcPr>
            <w:tcW w:w="1390" w:type="dxa"/>
          </w:tcPr>
          <w:p w:rsidR="003858F5" w:rsidRDefault="003858F5" w:rsidP="006B3546">
            <w:pPr>
              <w:jc w:val="center"/>
            </w:pPr>
          </w:p>
          <w:p w:rsidR="00DD70AB" w:rsidRDefault="00DD70AB" w:rsidP="00010DDF">
            <w:pPr>
              <w:jc w:val="center"/>
            </w:pPr>
          </w:p>
        </w:tc>
      </w:tr>
      <w:tr w:rsidR="003858F5" w:rsidTr="000238B0">
        <w:tc>
          <w:tcPr>
            <w:tcW w:w="674" w:type="dxa"/>
          </w:tcPr>
          <w:p w:rsidR="003858F5" w:rsidRDefault="003F6645">
            <w:r>
              <w:t>6</w:t>
            </w:r>
          </w:p>
        </w:tc>
        <w:tc>
          <w:tcPr>
            <w:tcW w:w="6225" w:type="dxa"/>
          </w:tcPr>
          <w:p w:rsidR="008B0861" w:rsidRDefault="003F3A96" w:rsidP="00DB35DC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DD70AB" w:rsidRPr="00F17914" w:rsidRDefault="00822D59" w:rsidP="00DB35DC">
            <w:pPr>
              <w:rPr>
                <w:b/>
              </w:rPr>
            </w:pPr>
            <w:r w:rsidRPr="00F17914">
              <w:rPr>
                <w:b/>
              </w:rPr>
              <w:t>Inviting speakers to future meetings</w:t>
            </w:r>
          </w:p>
          <w:p w:rsidR="00822D59" w:rsidRDefault="00822D59" w:rsidP="00DB35DC">
            <w:r>
              <w:t xml:space="preserve">The PPG seemed enthusiastic at having speakers join </w:t>
            </w:r>
            <w:r w:rsidR="00F17914">
              <w:t xml:space="preserve">future </w:t>
            </w:r>
            <w:r>
              <w:t xml:space="preserve">the </w:t>
            </w:r>
            <w:r>
              <w:lastRenderedPageBreak/>
              <w:t>PPG meetings</w:t>
            </w:r>
            <w:r w:rsidR="00F17914">
              <w:t>. Members of the practice could</w:t>
            </w:r>
            <w:r>
              <w:t xml:space="preserve"> discuss their roles in a format of Top 3 things they like and dislike about their roles to help inform the group and develop debate and suggestions to improve</w:t>
            </w:r>
            <w:r w:rsidR="00F17914">
              <w:t xml:space="preserve"> understanding</w:t>
            </w:r>
            <w:r>
              <w:t xml:space="preserve">. </w:t>
            </w:r>
          </w:p>
          <w:p w:rsidR="00822D59" w:rsidRDefault="00822D59" w:rsidP="00DB35DC">
            <w:r w:rsidRPr="008C15AE">
              <w:rPr>
                <w:b/>
              </w:rPr>
              <w:t>Action</w:t>
            </w:r>
            <w:r>
              <w:t>: HW to ask the team if they would like to contribute to both the newsletter and future PPGs.</w:t>
            </w:r>
          </w:p>
          <w:p w:rsidR="00822D59" w:rsidRDefault="00822D59" w:rsidP="00DB35DC">
            <w:r w:rsidRPr="008C15AE">
              <w:rPr>
                <w:b/>
              </w:rPr>
              <w:t>Action</w:t>
            </w:r>
            <w:r>
              <w:t xml:space="preserve">: HW to look at other speakers from </w:t>
            </w:r>
            <w:r w:rsidR="00F17914">
              <w:t>a</w:t>
            </w:r>
            <w:r>
              <w:t xml:space="preserve"> healthcare setting that the PPG may be interested in listening to</w:t>
            </w:r>
          </w:p>
          <w:p w:rsidR="00CF0B15" w:rsidRPr="003858F5" w:rsidRDefault="00CF0B15" w:rsidP="00483550"/>
        </w:tc>
        <w:tc>
          <w:tcPr>
            <w:tcW w:w="891" w:type="dxa"/>
          </w:tcPr>
          <w:p w:rsidR="007C7DDB" w:rsidRDefault="007C7DDB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  <w:r>
              <w:t>HW</w:t>
            </w: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  <w:r>
              <w:t>HW</w:t>
            </w:r>
          </w:p>
        </w:tc>
        <w:tc>
          <w:tcPr>
            <w:tcW w:w="1390" w:type="dxa"/>
          </w:tcPr>
          <w:p w:rsidR="003858F5" w:rsidRDefault="003858F5" w:rsidP="006B3546">
            <w:pPr>
              <w:jc w:val="center"/>
            </w:pPr>
          </w:p>
          <w:p w:rsidR="007C7DDB" w:rsidRDefault="007C7DDB" w:rsidP="006B3546">
            <w:pPr>
              <w:jc w:val="center"/>
            </w:pPr>
          </w:p>
          <w:p w:rsidR="007C7DDB" w:rsidRDefault="007C7DDB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  <w:r>
              <w:t>By next PPG mtg</w:t>
            </w:r>
          </w:p>
          <w:p w:rsidR="008C15AE" w:rsidRDefault="008C15AE" w:rsidP="006B3546">
            <w:pPr>
              <w:jc w:val="center"/>
            </w:pPr>
          </w:p>
          <w:p w:rsidR="008C15AE" w:rsidRDefault="008C15AE" w:rsidP="006B3546">
            <w:pPr>
              <w:jc w:val="center"/>
            </w:pPr>
            <w:r>
              <w:t>By next PPG Mtg</w:t>
            </w:r>
          </w:p>
          <w:p w:rsidR="007C7DDB" w:rsidRDefault="007C7DDB" w:rsidP="00B9236F">
            <w:pPr>
              <w:jc w:val="center"/>
            </w:pPr>
          </w:p>
        </w:tc>
      </w:tr>
      <w:tr w:rsidR="0075270D" w:rsidTr="000238B0">
        <w:tc>
          <w:tcPr>
            <w:tcW w:w="674" w:type="dxa"/>
          </w:tcPr>
          <w:p w:rsidR="0075270D" w:rsidRDefault="003F6645">
            <w:r>
              <w:lastRenderedPageBreak/>
              <w:t>7</w:t>
            </w:r>
          </w:p>
        </w:tc>
        <w:tc>
          <w:tcPr>
            <w:tcW w:w="6225" w:type="dxa"/>
          </w:tcPr>
          <w:p w:rsidR="0075270D" w:rsidRDefault="0075270D" w:rsidP="00895F84">
            <w:pPr>
              <w:rPr>
                <w:b/>
              </w:rPr>
            </w:pPr>
            <w:r w:rsidRPr="00903FE2">
              <w:rPr>
                <w:b/>
              </w:rPr>
              <w:t>Next Meeting agreed</w:t>
            </w:r>
            <w:r w:rsidR="000238B0">
              <w:rPr>
                <w:b/>
              </w:rPr>
              <w:t>:</w:t>
            </w:r>
          </w:p>
          <w:p w:rsidR="007C7DDB" w:rsidRDefault="007C7DDB" w:rsidP="00192F40"/>
          <w:p w:rsidR="004B5948" w:rsidRDefault="008C15AE" w:rsidP="00192F40">
            <w:r>
              <w:t>D</w:t>
            </w:r>
            <w:r w:rsidR="008B0861">
              <w:t xml:space="preserve">ate for </w:t>
            </w:r>
            <w:r w:rsidR="003F3A96">
              <w:t>your diaries</w:t>
            </w:r>
            <w:r w:rsidR="008B0861">
              <w:t>:</w:t>
            </w:r>
          </w:p>
          <w:p w:rsidR="004B5948" w:rsidRPr="004746E0" w:rsidRDefault="003F3A96" w:rsidP="008B0861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4746E0" w:rsidRPr="004746E0">
              <w:rPr>
                <w:b/>
              </w:rPr>
              <w:t xml:space="preserve"> </w:t>
            </w:r>
            <w:r w:rsidR="008C15AE">
              <w:rPr>
                <w:b/>
              </w:rPr>
              <w:t>21</w:t>
            </w:r>
            <w:r w:rsidR="008C15AE" w:rsidRPr="008C15AE">
              <w:rPr>
                <w:b/>
                <w:vertAlign w:val="superscript"/>
              </w:rPr>
              <w:t>st</w:t>
            </w:r>
            <w:r w:rsidR="008C15AE">
              <w:rPr>
                <w:b/>
              </w:rPr>
              <w:t xml:space="preserve"> March</w:t>
            </w:r>
            <w:r w:rsidR="008B0861" w:rsidRPr="004746E0">
              <w:rPr>
                <w:b/>
              </w:rPr>
              <w:t xml:space="preserve"> 201</w:t>
            </w:r>
            <w:r w:rsidR="008C15AE">
              <w:rPr>
                <w:b/>
              </w:rPr>
              <w:t>9</w:t>
            </w:r>
            <w:r w:rsidR="004B5948" w:rsidRPr="004746E0">
              <w:rPr>
                <w:b/>
              </w:rPr>
              <w:t xml:space="preserve"> at 5pm</w:t>
            </w:r>
          </w:p>
          <w:p w:rsidR="0021413D" w:rsidRDefault="0021413D" w:rsidP="008B0861"/>
        </w:tc>
        <w:tc>
          <w:tcPr>
            <w:tcW w:w="891" w:type="dxa"/>
          </w:tcPr>
          <w:p w:rsidR="0075270D" w:rsidRDefault="0075270D" w:rsidP="006B3546">
            <w:pPr>
              <w:jc w:val="center"/>
            </w:pPr>
          </w:p>
        </w:tc>
        <w:tc>
          <w:tcPr>
            <w:tcW w:w="1390" w:type="dxa"/>
          </w:tcPr>
          <w:p w:rsidR="0075270D" w:rsidRDefault="0075270D" w:rsidP="006B3546">
            <w:pPr>
              <w:jc w:val="center"/>
            </w:pPr>
          </w:p>
        </w:tc>
      </w:tr>
    </w:tbl>
    <w:p w:rsidR="00E72109" w:rsidRDefault="00E72109" w:rsidP="00E72109"/>
    <w:p w:rsidR="00895F84" w:rsidRPr="00E72109" w:rsidRDefault="00895F84" w:rsidP="00E72109">
      <w:pPr>
        <w:jc w:val="center"/>
      </w:pPr>
    </w:p>
    <w:sectPr w:rsidR="00895F84" w:rsidRPr="00E72109" w:rsidSect="007C7DDB">
      <w:headerReference w:type="default" r:id="rId8"/>
      <w:pgSz w:w="11906" w:h="16838"/>
      <w:pgMar w:top="11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4" w:rsidRDefault="00F00244" w:rsidP="00895F84">
      <w:pPr>
        <w:spacing w:after="0" w:line="240" w:lineRule="auto"/>
      </w:pPr>
      <w:r>
        <w:separator/>
      </w:r>
    </w:p>
  </w:endnote>
  <w:endnote w:type="continuationSeparator" w:id="0">
    <w:p w:rsidR="00F00244" w:rsidRDefault="00F00244" w:rsidP="008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4" w:rsidRDefault="00F00244" w:rsidP="00895F84">
      <w:pPr>
        <w:spacing w:after="0" w:line="240" w:lineRule="auto"/>
      </w:pPr>
      <w:r>
        <w:separator/>
      </w:r>
    </w:p>
  </w:footnote>
  <w:footnote w:type="continuationSeparator" w:id="0">
    <w:p w:rsidR="00F00244" w:rsidRDefault="00F00244" w:rsidP="0089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1" w:rsidRDefault="003E6961" w:rsidP="003E6961">
    <w:pPr>
      <w:pStyle w:val="Header"/>
    </w:pPr>
    <w:r>
      <w:rPr>
        <w:noProof/>
        <w:lang w:eastAsia="en-GB"/>
      </w:rPr>
      <w:drawing>
        <wp:inline distT="0" distB="0" distL="0" distR="0" wp14:anchorId="648268DB" wp14:editId="79FD8048">
          <wp:extent cx="957316" cy="96899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967" cy="96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D2F4B7C" wp14:editId="6A6F9B4D">
          <wp:extent cx="495346" cy="2565900"/>
          <wp:effectExtent l="0" t="635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5400000">
                    <a:off x="0" y="0"/>
                    <a:ext cx="500661" cy="259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961" w:rsidRDefault="003E6961" w:rsidP="00895F84">
    <w:pPr>
      <w:pStyle w:val="Header"/>
      <w:jc w:val="center"/>
      <w:rPr>
        <w:b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5CF35" wp14:editId="320B1639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622935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15pt" to="48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" strokecolor="#4579b8 [3044]" strokeweight="3pt"/>
          </w:pict>
        </mc:Fallback>
      </mc:AlternateContent>
    </w:r>
  </w:p>
  <w:p w:rsidR="00895F84" w:rsidRDefault="00895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25"/>
    <w:multiLevelType w:val="hybridMultilevel"/>
    <w:tmpl w:val="6268B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60E8"/>
    <w:multiLevelType w:val="hybridMultilevel"/>
    <w:tmpl w:val="BE2AC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524BD"/>
    <w:multiLevelType w:val="hybridMultilevel"/>
    <w:tmpl w:val="1ED2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0085"/>
    <w:multiLevelType w:val="hybridMultilevel"/>
    <w:tmpl w:val="3BAC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7DE"/>
    <w:multiLevelType w:val="hybridMultilevel"/>
    <w:tmpl w:val="C71A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0F0D"/>
    <w:multiLevelType w:val="hybridMultilevel"/>
    <w:tmpl w:val="1DAA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E52"/>
    <w:multiLevelType w:val="hybridMultilevel"/>
    <w:tmpl w:val="A6D6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C4F94"/>
    <w:multiLevelType w:val="hybridMultilevel"/>
    <w:tmpl w:val="4732D9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7C42BD"/>
    <w:multiLevelType w:val="hybridMultilevel"/>
    <w:tmpl w:val="2FF4F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6F4849"/>
    <w:multiLevelType w:val="hybridMultilevel"/>
    <w:tmpl w:val="95682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DD612B"/>
    <w:multiLevelType w:val="hybridMultilevel"/>
    <w:tmpl w:val="DF6E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52BB"/>
    <w:multiLevelType w:val="hybridMultilevel"/>
    <w:tmpl w:val="1256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F3290"/>
    <w:multiLevelType w:val="hybridMultilevel"/>
    <w:tmpl w:val="3C84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58D7"/>
    <w:multiLevelType w:val="hybridMultilevel"/>
    <w:tmpl w:val="0FDE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F09B9"/>
    <w:multiLevelType w:val="hybridMultilevel"/>
    <w:tmpl w:val="4F48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4"/>
    <w:rsid w:val="00000300"/>
    <w:rsid w:val="00001679"/>
    <w:rsid w:val="00006446"/>
    <w:rsid w:val="00010DDF"/>
    <w:rsid w:val="000164BE"/>
    <w:rsid w:val="000238B0"/>
    <w:rsid w:val="000A33C2"/>
    <w:rsid w:val="000B5F7F"/>
    <w:rsid w:val="00154A2D"/>
    <w:rsid w:val="00192F40"/>
    <w:rsid w:val="001A5760"/>
    <w:rsid w:val="001B78AB"/>
    <w:rsid w:val="001C24C3"/>
    <w:rsid w:val="001E0D1C"/>
    <w:rsid w:val="002127CD"/>
    <w:rsid w:val="0021413D"/>
    <w:rsid w:val="002A66E5"/>
    <w:rsid w:val="002F00A4"/>
    <w:rsid w:val="003858F5"/>
    <w:rsid w:val="003B3072"/>
    <w:rsid w:val="003E6961"/>
    <w:rsid w:val="003F3A96"/>
    <w:rsid w:val="003F6645"/>
    <w:rsid w:val="00406082"/>
    <w:rsid w:val="00456AA3"/>
    <w:rsid w:val="004746E0"/>
    <w:rsid w:val="004833FB"/>
    <w:rsid w:val="00483550"/>
    <w:rsid w:val="00494ADA"/>
    <w:rsid w:val="004B5948"/>
    <w:rsid w:val="004C26B8"/>
    <w:rsid w:val="004D2BED"/>
    <w:rsid w:val="004E2F26"/>
    <w:rsid w:val="00551B4E"/>
    <w:rsid w:val="00566CDF"/>
    <w:rsid w:val="005C0FD7"/>
    <w:rsid w:val="005E15B2"/>
    <w:rsid w:val="00614397"/>
    <w:rsid w:val="006B3546"/>
    <w:rsid w:val="006B69F6"/>
    <w:rsid w:val="006B78F1"/>
    <w:rsid w:val="006F1BD9"/>
    <w:rsid w:val="00732300"/>
    <w:rsid w:val="007475B8"/>
    <w:rsid w:val="0075270D"/>
    <w:rsid w:val="007B2C84"/>
    <w:rsid w:val="007C7DDB"/>
    <w:rsid w:val="007F0D1B"/>
    <w:rsid w:val="00820F6C"/>
    <w:rsid w:val="00822D59"/>
    <w:rsid w:val="008322BD"/>
    <w:rsid w:val="00895F84"/>
    <w:rsid w:val="008B0861"/>
    <w:rsid w:val="008B51F4"/>
    <w:rsid w:val="008C15AE"/>
    <w:rsid w:val="008D1350"/>
    <w:rsid w:val="008E5BA3"/>
    <w:rsid w:val="00903FE2"/>
    <w:rsid w:val="00956EC1"/>
    <w:rsid w:val="0099014B"/>
    <w:rsid w:val="009B06D7"/>
    <w:rsid w:val="009E17B5"/>
    <w:rsid w:val="00A02959"/>
    <w:rsid w:val="00A30655"/>
    <w:rsid w:val="00A825AB"/>
    <w:rsid w:val="00A91B1F"/>
    <w:rsid w:val="00AA143C"/>
    <w:rsid w:val="00AB20E5"/>
    <w:rsid w:val="00AF1C46"/>
    <w:rsid w:val="00B02811"/>
    <w:rsid w:val="00B9236F"/>
    <w:rsid w:val="00BD495D"/>
    <w:rsid w:val="00C6172C"/>
    <w:rsid w:val="00C87DBE"/>
    <w:rsid w:val="00C95084"/>
    <w:rsid w:val="00CE007C"/>
    <w:rsid w:val="00CF0B15"/>
    <w:rsid w:val="00CF5B17"/>
    <w:rsid w:val="00D0070D"/>
    <w:rsid w:val="00D75F5E"/>
    <w:rsid w:val="00D91C77"/>
    <w:rsid w:val="00DB35DC"/>
    <w:rsid w:val="00DD70AB"/>
    <w:rsid w:val="00E01DBE"/>
    <w:rsid w:val="00E125C5"/>
    <w:rsid w:val="00E34839"/>
    <w:rsid w:val="00E35BE8"/>
    <w:rsid w:val="00E72109"/>
    <w:rsid w:val="00EE7751"/>
    <w:rsid w:val="00F00244"/>
    <w:rsid w:val="00F17914"/>
    <w:rsid w:val="00F237D2"/>
    <w:rsid w:val="00F52A05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84"/>
  </w:style>
  <w:style w:type="paragraph" w:styleId="Footer">
    <w:name w:val="footer"/>
    <w:basedOn w:val="Normal"/>
    <w:link w:val="Foot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84"/>
  </w:style>
  <w:style w:type="paragraph" w:styleId="BalloonText">
    <w:name w:val="Balloon Text"/>
    <w:basedOn w:val="Normal"/>
    <w:link w:val="BalloonTextChar"/>
    <w:uiPriority w:val="99"/>
    <w:semiHidden/>
    <w:unhideWhenUsed/>
    <w:rsid w:val="0089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84"/>
  </w:style>
  <w:style w:type="paragraph" w:styleId="Footer">
    <w:name w:val="footer"/>
    <w:basedOn w:val="Normal"/>
    <w:link w:val="FooterChar"/>
    <w:uiPriority w:val="99"/>
    <w:unhideWhenUsed/>
    <w:rsid w:val="008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84"/>
  </w:style>
  <w:style w:type="paragraph" w:styleId="BalloonText">
    <w:name w:val="Balloon Text"/>
    <w:basedOn w:val="Normal"/>
    <w:link w:val="BalloonTextChar"/>
    <w:uiPriority w:val="99"/>
    <w:semiHidden/>
    <w:unhideWhenUsed/>
    <w:rsid w:val="0089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Judith King</cp:lastModifiedBy>
  <cp:revision>2</cp:revision>
  <cp:lastPrinted>2018-12-14T15:06:00Z</cp:lastPrinted>
  <dcterms:created xsi:type="dcterms:W3CDTF">2018-12-24T11:59:00Z</dcterms:created>
  <dcterms:modified xsi:type="dcterms:W3CDTF">2018-12-24T11:59:00Z</dcterms:modified>
</cp:coreProperties>
</file>