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61" w:rsidRDefault="003E6961" w:rsidP="003E6961">
      <w:pPr>
        <w:pStyle w:val="Header"/>
        <w:jc w:val="center"/>
        <w:rPr>
          <w:b/>
          <w:sz w:val="24"/>
          <w:szCs w:val="24"/>
        </w:rPr>
      </w:pPr>
      <w:bookmarkStart w:id="0" w:name="_GoBack"/>
      <w:bookmarkEnd w:id="0"/>
      <w:r>
        <w:rPr>
          <w:b/>
          <w:sz w:val="24"/>
          <w:szCs w:val="24"/>
        </w:rPr>
        <w:t>Patient Participation Group M</w:t>
      </w:r>
      <w:r w:rsidRPr="00895F84">
        <w:rPr>
          <w:b/>
          <w:sz w:val="24"/>
          <w:szCs w:val="24"/>
        </w:rPr>
        <w:t xml:space="preserve">eeting </w:t>
      </w:r>
      <w:r>
        <w:rPr>
          <w:b/>
          <w:sz w:val="24"/>
          <w:szCs w:val="24"/>
        </w:rPr>
        <w:t>Minutes</w:t>
      </w:r>
    </w:p>
    <w:p w:rsidR="00C95084" w:rsidRDefault="00C95084" w:rsidP="003E6961">
      <w:pPr>
        <w:pStyle w:val="Header"/>
        <w:jc w:val="center"/>
        <w:rPr>
          <w:b/>
          <w:sz w:val="24"/>
          <w:szCs w:val="24"/>
        </w:rPr>
      </w:pPr>
    </w:p>
    <w:tbl>
      <w:tblPr>
        <w:tblStyle w:val="TableGrid"/>
        <w:tblW w:w="9180" w:type="dxa"/>
        <w:tblLook w:val="04A0" w:firstRow="1" w:lastRow="0" w:firstColumn="1" w:lastColumn="0" w:noHBand="0" w:noVBand="1"/>
      </w:tblPr>
      <w:tblGrid>
        <w:gridCol w:w="1951"/>
        <w:gridCol w:w="2835"/>
        <w:gridCol w:w="1134"/>
        <w:gridCol w:w="3260"/>
      </w:tblGrid>
      <w:tr w:rsidR="00895F84" w:rsidTr="004833FB">
        <w:tc>
          <w:tcPr>
            <w:tcW w:w="1951" w:type="dxa"/>
            <w:shd w:val="clear" w:color="auto" w:fill="BFBFBF" w:themeFill="background1" w:themeFillShade="BF"/>
          </w:tcPr>
          <w:p w:rsidR="00895F84" w:rsidRPr="00895F84" w:rsidRDefault="00895F84">
            <w:pPr>
              <w:rPr>
                <w:b/>
              </w:rPr>
            </w:pPr>
            <w:r w:rsidRPr="00895F84">
              <w:rPr>
                <w:b/>
              </w:rPr>
              <w:t>Date/Time</w:t>
            </w:r>
          </w:p>
        </w:tc>
        <w:tc>
          <w:tcPr>
            <w:tcW w:w="2835" w:type="dxa"/>
          </w:tcPr>
          <w:p w:rsidR="00895F84" w:rsidRDefault="00120C65" w:rsidP="0028103A">
            <w:r>
              <w:t>1</w:t>
            </w:r>
            <w:r w:rsidR="0028103A">
              <w:t>2</w:t>
            </w:r>
            <w:r w:rsidRPr="00120C65">
              <w:rPr>
                <w:vertAlign w:val="superscript"/>
              </w:rPr>
              <w:t>th</w:t>
            </w:r>
            <w:r>
              <w:t xml:space="preserve"> </w:t>
            </w:r>
            <w:r w:rsidR="0028103A">
              <w:t>September</w:t>
            </w:r>
            <w:r w:rsidR="00214D42">
              <w:t xml:space="preserve"> 2019</w:t>
            </w:r>
            <w:r w:rsidR="004833FB">
              <w:t xml:space="preserve"> 5</w:t>
            </w:r>
            <w:r w:rsidR="00CE007C">
              <w:t>pm</w:t>
            </w:r>
          </w:p>
        </w:tc>
        <w:tc>
          <w:tcPr>
            <w:tcW w:w="1134" w:type="dxa"/>
            <w:shd w:val="clear" w:color="auto" w:fill="BFBFBF" w:themeFill="background1" w:themeFillShade="BF"/>
          </w:tcPr>
          <w:p w:rsidR="00895F84" w:rsidRPr="00895F84" w:rsidRDefault="00895F84">
            <w:pPr>
              <w:rPr>
                <w:b/>
              </w:rPr>
            </w:pPr>
            <w:r w:rsidRPr="00895F84">
              <w:rPr>
                <w:b/>
              </w:rPr>
              <w:t>V</w:t>
            </w:r>
            <w:r w:rsidRPr="00E72109">
              <w:rPr>
                <w:b/>
                <w:shd w:val="clear" w:color="auto" w:fill="BFBFBF" w:themeFill="background1" w:themeFillShade="BF"/>
              </w:rPr>
              <w:t>enue</w:t>
            </w:r>
          </w:p>
        </w:tc>
        <w:tc>
          <w:tcPr>
            <w:tcW w:w="3260" w:type="dxa"/>
          </w:tcPr>
          <w:p w:rsidR="00895F84" w:rsidRDefault="00CE007C">
            <w:r>
              <w:t>Priory View, Meeting room</w:t>
            </w:r>
          </w:p>
        </w:tc>
      </w:tr>
      <w:tr w:rsidR="00895F84" w:rsidTr="004833FB">
        <w:tc>
          <w:tcPr>
            <w:tcW w:w="1951" w:type="dxa"/>
            <w:shd w:val="clear" w:color="auto" w:fill="BFBFBF" w:themeFill="background1" w:themeFillShade="BF"/>
          </w:tcPr>
          <w:p w:rsidR="00895F84" w:rsidRPr="00895F84" w:rsidRDefault="00895F84">
            <w:pPr>
              <w:rPr>
                <w:b/>
              </w:rPr>
            </w:pPr>
            <w:r w:rsidRPr="00895F84">
              <w:rPr>
                <w:b/>
              </w:rPr>
              <w:t>Attendees</w:t>
            </w:r>
            <w:r w:rsidR="004833FB">
              <w:rPr>
                <w:b/>
              </w:rPr>
              <w:t xml:space="preserve"> PVMC</w:t>
            </w:r>
          </w:p>
        </w:tc>
        <w:tc>
          <w:tcPr>
            <w:tcW w:w="7229" w:type="dxa"/>
            <w:gridSpan w:val="3"/>
          </w:tcPr>
          <w:p w:rsidR="00895F84" w:rsidRDefault="00483550" w:rsidP="00483550">
            <w:r>
              <w:t>Helen Walker (HW)</w:t>
            </w:r>
            <w:r w:rsidR="0028103A">
              <w:t>, Dr Gorrard-Smith (CGS)</w:t>
            </w:r>
          </w:p>
        </w:tc>
      </w:tr>
      <w:tr w:rsidR="004833FB" w:rsidTr="004833FB">
        <w:tc>
          <w:tcPr>
            <w:tcW w:w="1951" w:type="dxa"/>
            <w:shd w:val="clear" w:color="auto" w:fill="BFBFBF" w:themeFill="background1" w:themeFillShade="BF"/>
          </w:tcPr>
          <w:p w:rsidR="004833FB" w:rsidRPr="00895F84" w:rsidRDefault="004833FB" w:rsidP="00895F84">
            <w:pPr>
              <w:rPr>
                <w:b/>
              </w:rPr>
            </w:pPr>
            <w:r>
              <w:rPr>
                <w:b/>
              </w:rPr>
              <w:t>Attendees PPG</w:t>
            </w:r>
          </w:p>
        </w:tc>
        <w:tc>
          <w:tcPr>
            <w:tcW w:w="7229" w:type="dxa"/>
            <w:gridSpan w:val="3"/>
          </w:tcPr>
          <w:p w:rsidR="004833FB" w:rsidRDefault="004833FB" w:rsidP="00120C65">
            <w:r>
              <w:t>BD</w:t>
            </w:r>
            <w:r w:rsidR="00992534">
              <w:t xml:space="preserve">, </w:t>
            </w:r>
            <w:r w:rsidR="00120C65">
              <w:t>KA</w:t>
            </w:r>
            <w:r w:rsidR="00992534">
              <w:t>, HS</w:t>
            </w:r>
            <w:r w:rsidR="0028103A">
              <w:t>, SH</w:t>
            </w:r>
          </w:p>
        </w:tc>
      </w:tr>
      <w:tr w:rsidR="00895F84" w:rsidTr="004833FB">
        <w:tc>
          <w:tcPr>
            <w:tcW w:w="1951" w:type="dxa"/>
            <w:shd w:val="clear" w:color="auto" w:fill="BFBFBF" w:themeFill="background1" w:themeFillShade="BF"/>
          </w:tcPr>
          <w:p w:rsidR="00895F84" w:rsidRPr="00895F84" w:rsidRDefault="00895F84" w:rsidP="00895F84">
            <w:pPr>
              <w:rPr>
                <w:b/>
              </w:rPr>
            </w:pPr>
            <w:r w:rsidRPr="00895F84">
              <w:rPr>
                <w:b/>
              </w:rPr>
              <w:t>Apologies</w:t>
            </w:r>
          </w:p>
        </w:tc>
        <w:tc>
          <w:tcPr>
            <w:tcW w:w="7229" w:type="dxa"/>
            <w:gridSpan w:val="3"/>
          </w:tcPr>
          <w:p w:rsidR="00895F84" w:rsidRDefault="003F6645" w:rsidP="0028103A">
            <w:r>
              <w:t>AY</w:t>
            </w:r>
            <w:r w:rsidR="00992534">
              <w:t xml:space="preserve">, </w:t>
            </w:r>
            <w:r w:rsidR="007F0D1B">
              <w:t>LM</w:t>
            </w:r>
            <w:r w:rsidR="00992534">
              <w:t xml:space="preserve">, SO, </w:t>
            </w:r>
            <w:r w:rsidR="00483550">
              <w:t>DL</w:t>
            </w:r>
            <w:r w:rsidR="00992534">
              <w:t xml:space="preserve">, </w:t>
            </w:r>
            <w:r w:rsidR="00214D42">
              <w:t>KA</w:t>
            </w:r>
            <w:r w:rsidR="0028103A">
              <w:t>, BB</w:t>
            </w:r>
          </w:p>
        </w:tc>
      </w:tr>
      <w:tr w:rsidR="0099014B" w:rsidTr="004833FB">
        <w:tc>
          <w:tcPr>
            <w:tcW w:w="1951" w:type="dxa"/>
            <w:shd w:val="clear" w:color="auto" w:fill="BFBFBF" w:themeFill="background1" w:themeFillShade="BF"/>
          </w:tcPr>
          <w:p w:rsidR="0099014B" w:rsidRPr="00895F84" w:rsidRDefault="0099014B" w:rsidP="00895F84">
            <w:pPr>
              <w:rPr>
                <w:b/>
              </w:rPr>
            </w:pPr>
            <w:r>
              <w:rPr>
                <w:b/>
              </w:rPr>
              <w:t>Guests</w:t>
            </w:r>
          </w:p>
        </w:tc>
        <w:tc>
          <w:tcPr>
            <w:tcW w:w="7229" w:type="dxa"/>
            <w:gridSpan w:val="3"/>
          </w:tcPr>
          <w:p w:rsidR="0099014B" w:rsidRDefault="0099014B" w:rsidP="0099014B"/>
        </w:tc>
      </w:tr>
    </w:tbl>
    <w:p w:rsidR="00895F84" w:rsidRDefault="00895F84"/>
    <w:tbl>
      <w:tblPr>
        <w:tblStyle w:val="TableGrid"/>
        <w:tblW w:w="9180" w:type="dxa"/>
        <w:tblLook w:val="04A0" w:firstRow="1" w:lastRow="0" w:firstColumn="1" w:lastColumn="0" w:noHBand="0" w:noVBand="1"/>
      </w:tblPr>
      <w:tblGrid>
        <w:gridCol w:w="674"/>
        <w:gridCol w:w="6225"/>
        <w:gridCol w:w="891"/>
        <w:gridCol w:w="1390"/>
      </w:tblGrid>
      <w:tr w:rsidR="0075270D" w:rsidTr="007C7DDB">
        <w:trPr>
          <w:tblHeader/>
        </w:trPr>
        <w:tc>
          <w:tcPr>
            <w:tcW w:w="674" w:type="dxa"/>
            <w:shd w:val="clear" w:color="auto" w:fill="BFBFBF" w:themeFill="background1" w:themeFillShade="BF"/>
          </w:tcPr>
          <w:p w:rsidR="0075270D" w:rsidRPr="00E72109" w:rsidRDefault="0075270D">
            <w:pPr>
              <w:rPr>
                <w:b/>
              </w:rPr>
            </w:pPr>
            <w:r w:rsidRPr="00E72109">
              <w:rPr>
                <w:b/>
              </w:rPr>
              <w:t>Item</w:t>
            </w:r>
          </w:p>
        </w:tc>
        <w:tc>
          <w:tcPr>
            <w:tcW w:w="6225" w:type="dxa"/>
            <w:shd w:val="clear" w:color="auto" w:fill="BFBFBF" w:themeFill="background1" w:themeFillShade="BF"/>
          </w:tcPr>
          <w:p w:rsidR="0075270D" w:rsidRPr="00E72109" w:rsidRDefault="0075270D">
            <w:pPr>
              <w:rPr>
                <w:b/>
              </w:rPr>
            </w:pPr>
            <w:r w:rsidRPr="00E72109">
              <w:rPr>
                <w:b/>
              </w:rPr>
              <w:t>Agenda Item</w:t>
            </w:r>
          </w:p>
        </w:tc>
        <w:tc>
          <w:tcPr>
            <w:tcW w:w="891" w:type="dxa"/>
            <w:shd w:val="clear" w:color="auto" w:fill="BFBFBF" w:themeFill="background1" w:themeFillShade="BF"/>
          </w:tcPr>
          <w:p w:rsidR="0075270D" w:rsidRPr="00E72109" w:rsidRDefault="0075270D" w:rsidP="0075270D">
            <w:pPr>
              <w:rPr>
                <w:b/>
              </w:rPr>
            </w:pPr>
            <w:r>
              <w:rPr>
                <w:b/>
              </w:rPr>
              <w:t>Action By</w:t>
            </w:r>
          </w:p>
        </w:tc>
        <w:tc>
          <w:tcPr>
            <w:tcW w:w="1390" w:type="dxa"/>
            <w:shd w:val="clear" w:color="auto" w:fill="BFBFBF" w:themeFill="background1" w:themeFillShade="BF"/>
          </w:tcPr>
          <w:p w:rsidR="0075270D" w:rsidRPr="00E72109" w:rsidRDefault="0075270D">
            <w:pPr>
              <w:rPr>
                <w:b/>
              </w:rPr>
            </w:pPr>
            <w:r>
              <w:rPr>
                <w:b/>
              </w:rPr>
              <w:t>Action Date</w:t>
            </w:r>
          </w:p>
        </w:tc>
      </w:tr>
      <w:tr w:rsidR="0075270D" w:rsidTr="000238B0">
        <w:tc>
          <w:tcPr>
            <w:tcW w:w="674" w:type="dxa"/>
          </w:tcPr>
          <w:p w:rsidR="0075270D" w:rsidRDefault="00120C65" w:rsidP="00120C65">
            <w:r>
              <w:t>1</w:t>
            </w:r>
          </w:p>
        </w:tc>
        <w:tc>
          <w:tcPr>
            <w:tcW w:w="6225" w:type="dxa"/>
          </w:tcPr>
          <w:p w:rsidR="0075270D" w:rsidRDefault="000B5F7F" w:rsidP="00895F84">
            <w:pPr>
              <w:rPr>
                <w:b/>
              </w:rPr>
            </w:pPr>
            <w:r>
              <w:rPr>
                <w:b/>
              </w:rPr>
              <w:t>Review of Previous Minutes</w:t>
            </w:r>
          </w:p>
          <w:p w:rsidR="004833FB" w:rsidRDefault="004833FB" w:rsidP="00895F84">
            <w:pPr>
              <w:rPr>
                <w:b/>
              </w:rPr>
            </w:pPr>
          </w:p>
          <w:p w:rsidR="00154A2D" w:rsidRDefault="00483550" w:rsidP="00483550">
            <w:r>
              <w:t xml:space="preserve">All actions were completed </w:t>
            </w:r>
            <w:r w:rsidR="00AE0709">
              <w:t>with the exception of the following:</w:t>
            </w:r>
          </w:p>
          <w:p w:rsidR="00AE0709" w:rsidRDefault="00AE0709" w:rsidP="00483550"/>
          <w:p w:rsidR="0028103A" w:rsidRPr="0028103A" w:rsidRDefault="004858C8" w:rsidP="00214D42">
            <w:pPr>
              <w:rPr>
                <w:b/>
                <w:color w:val="FF0000"/>
              </w:rPr>
            </w:pPr>
            <w:r>
              <w:t xml:space="preserve">BD suggested that for a wider audience we consider emailing the newsletter. </w:t>
            </w:r>
            <w:r w:rsidRPr="00483550">
              <w:rPr>
                <w:b/>
              </w:rPr>
              <w:t>Action</w:t>
            </w:r>
            <w:r>
              <w:t>: HW will investigate the process for compiling an email group for receipt of the newsletter</w:t>
            </w:r>
            <w:r w:rsidR="00AE0709">
              <w:t xml:space="preserve">. </w:t>
            </w:r>
            <w:r w:rsidR="00AE0709" w:rsidRPr="0028103A">
              <w:rPr>
                <w:color w:val="000000" w:themeColor="text1"/>
              </w:rPr>
              <w:t xml:space="preserve">13/6/19 KA asked if there was a possibility of altering the practices clinical system to indicate if a patient was interested in receiving a newsletter. </w:t>
            </w:r>
            <w:r w:rsidR="00AE0709" w:rsidRPr="00AE0709">
              <w:rPr>
                <w:b/>
              </w:rPr>
              <w:t>Action</w:t>
            </w:r>
            <w:r w:rsidR="00AE0709">
              <w:t>: HW to enquire with the system developers.</w:t>
            </w:r>
            <w:r w:rsidR="0028103A">
              <w:t xml:space="preserve"> </w:t>
            </w:r>
            <w:r w:rsidR="0028103A" w:rsidRPr="0028103A">
              <w:rPr>
                <w:b/>
                <w:color w:val="FF0000"/>
              </w:rPr>
              <w:t xml:space="preserve">12/9/19 HW advised that new patients and </w:t>
            </w:r>
            <w:r w:rsidR="0028103A">
              <w:rPr>
                <w:b/>
                <w:color w:val="FF0000"/>
              </w:rPr>
              <w:t>for</w:t>
            </w:r>
            <w:r w:rsidR="0028103A" w:rsidRPr="0028103A">
              <w:rPr>
                <w:b/>
                <w:color w:val="FF0000"/>
              </w:rPr>
              <w:t xml:space="preserve"> patients </w:t>
            </w:r>
            <w:r w:rsidR="0028103A">
              <w:rPr>
                <w:b/>
                <w:color w:val="FF0000"/>
              </w:rPr>
              <w:t xml:space="preserve">asked </w:t>
            </w:r>
            <w:r w:rsidR="0028103A" w:rsidRPr="0028103A">
              <w:rPr>
                <w:b/>
                <w:color w:val="FF0000"/>
              </w:rPr>
              <w:t>to review their contact details</w:t>
            </w:r>
            <w:r w:rsidR="0028103A">
              <w:rPr>
                <w:b/>
                <w:color w:val="FF0000"/>
              </w:rPr>
              <w:t>, we</w:t>
            </w:r>
            <w:r w:rsidR="0028103A" w:rsidRPr="0028103A">
              <w:rPr>
                <w:b/>
                <w:color w:val="FF0000"/>
              </w:rPr>
              <w:t xml:space="preserve"> are now ask</w:t>
            </w:r>
            <w:r w:rsidR="0028103A">
              <w:rPr>
                <w:b/>
                <w:color w:val="FF0000"/>
              </w:rPr>
              <w:t>ing</w:t>
            </w:r>
            <w:r w:rsidR="0028103A" w:rsidRPr="0028103A">
              <w:rPr>
                <w:b/>
                <w:color w:val="FF0000"/>
              </w:rPr>
              <w:t xml:space="preserve"> if they would like to receive a newsletter and the clinical system will code them so that we can email or post a newsletter each quarter.</w:t>
            </w:r>
          </w:p>
          <w:p w:rsidR="0028103A" w:rsidRDefault="0028103A" w:rsidP="00214D42"/>
          <w:p w:rsidR="00120C65" w:rsidRDefault="00120C65" w:rsidP="00120C65">
            <w:pPr>
              <w:rPr>
                <w:b/>
              </w:rPr>
            </w:pPr>
            <w:r>
              <w:rPr>
                <w:b/>
              </w:rPr>
              <w:t>PPG Funding Bid</w:t>
            </w:r>
          </w:p>
          <w:p w:rsidR="00120C65" w:rsidRPr="00822D59" w:rsidRDefault="00120C65" w:rsidP="00120C65">
            <w:r>
              <w:t>HW advised that £200 of PPG funding has been awarded to spend on a notice board to promote the PPG and the progress that has been made based on patient participation.</w:t>
            </w:r>
          </w:p>
          <w:p w:rsidR="00120C65" w:rsidRDefault="00120C65" w:rsidP="00120C65">
            <w:pPr>
              <w:rPr>
                <w:b/>
                <w:color w:val="FF0000"/>
              </w:rPr>
            </w:pPr>
            <w:r w:rsidRPr="004858C8">
              <w:rPr>
                <w:b/>
              </w:rPr>
              <w:t>Action</w:t>
            </w:r>
            <w:r w:rsidRPr="004858C8">
              <w:t>: HW to purchase noticeboard and start to cr</w:t>
            </w:r>
            <w:r>
              <w:t>e</w:t>
            </w:r>
            <w:r w:rsidRPr="004858C8">
              <w:t>ate a You Said …We Did section.</w:t>
            </w:r>
            <w:r>
              <w:t xml:space="preserve"> </w:t>
            </w:r>
            <w:r w:rsidRPr="00120C65">
              <w:rPr>
                <w:b/>
                <w:color w:val="FF0000"/>
              </w:rPr>
              <w:t>13/6/19 Just waiting for the wall lights in the waiting areas to be removed to provide wall space for the new notice boards.</w:t>
            </w:r>
            <w:r w:rsidR="0028103A">
              <w:rPr>
                <w:b/>
                <w:color w:val="FF0000"/>
              </w:rPr>
              <w:t xml:space="preserve"> 12/9/19 no change – awaiting redecoration of waiting area before noticeboard purchased.</w:t>
            </w:r>
          </w:p>
          <w:p w:rsidR="0040289B" w:rsidRDefault="0040289B" w:rsidP="00120C65">
            <w:pPr>
              <w:rPr>
                <w:b/>
                <w:color w:val="FF0000"/>
              </w:rPr>
            </w:pPr>
          </w:p>
          <w:p w:rsidR="0028103A" w:rsidRPr="00C050D2" w:rsidRDefault="0028103A" w:rsidP="0028103A">
            <w:pPr>
              <w:rPr>
                <w:b/>
              </w:rPr>
            </w:pPr>
            <w:r w:rsidRPr="00C050D2">
              <w:rPr>
                <w:b/>
              </w:rPr>
              <w:t>Suggestion 1</w:t>
            </w:r>
          </w:p>
          <w:p w:rsidR="0028103A" w:rsidRDefault="0028103A" w:rsidP="0028103A">
            <w:r>
              <w:t>When a patient has swabs taken can the GP telephone the patient back with the results instead of asking the patient to come down the surgery for them.</w:t>
            </w:r>
          </w:p>
          <w:p w:rsidR="0028103A" w:rsidRPr="0028103A" w:rsidRDefault="0028103A" w:rsidP="0028103A">
            <w:pPr>
              <w:rPr>
                <w:b/>
                <w:color w:val="FF0000"/>
              </w:rPr>
            </w:pPr>
            <w:r w:rsidRPr="00C050D2">
              <w:rPr>
                <w:b/>
              </w:rPr>
              <w:t>Action</w:t>
            </w:r>
            <w:r>
              <w:t xml:space="preserve">: HW to review suggestion relating to swab results with partners. </w:t>
            </w:r>
            <w:r w:rsidRPr="0028103A">
              <w:rPr>
                <w:b/>
                <w:color w:val="FF0000"/>
              </w:rPr>
              <w:t>12/9/19 carry forward.</w:t>
            </w:r>
          </w:p>
          <w:p w:rsidR="0040289B" w:rsidRPr="004833FB" w:rsidRDefault="0040289B" w:rsidP="0028103A"/>
        </w:tc>
        <w:tc>
          <w:tcPr>
            <w:tcW w:w="891" w:type="dxa"/>
          </w:tcPr>
          <w:p w:rsidR="0075270D" w:rsidRDefault="0075270D" w:rsidP="0075270D"/>
          <w:p w:rsidR="00154A2D" w:rsidRDefault="00154A2D" w:rsidP="0075270D"/>
          <w:p w:rsidR="00154A2D" w:rsidRDefault="00154A2D" w:rsidP="0075270D"/>
          <w:p w:rsidR="00214D42" w:rsidRDefault="00214D42" w:rsidP="00154A2D">
            <w:pPr>
              <w:jc w:val="center"/>
            </w:pPr>
          </w:p>
          <w:p w:rsidR="00214D42" w:rsidRDefault="00214D42" w:rsidP="00154A2D">
            <w:pPr>
              <w:jc w:val="center"/>
            </w:pPr>
          </w:p>
          <w:p w:rsidR="00214D42" w:rsidRDefault="00214D42" w:rsidP="00214D42">
            <w:pPr>
              <w:jc w:val="center"/>
            </w:pPr>
            <w:r>
              <w:t>HW</w:t>
            </w:r>
          </w:p>
          <w:p w:rsidR="00AE0709" w:rsidRDefault="00AE0709" w:rsidP="00214D42">
            <w:pPr>
              <w:jc w:val="center"/>
            </w:pPr>
          </w:p>
          <w:p w:rsidR="00AE0709" w:rsidRDefault="00AE0709" w:rsidP="00214D42">
            <w:pPr>
              <w:jc w:val="center"/>
            </w:pPr>
          </w:p>
          <w:p w:rsidR="00AE0709" w:rsidRDefault="00AE0709" w:rsidP="00214D42">
            <w:pPr>
              <w:jc w:val="center"/>
            </w:pPr>
          </w:p>
          <w:p w:rsidR="00120C65" w:rsidRDefault="00120C65" w:rsidP="00214D42">
            <w:pPr>
              <w:jc w:val="center"/>
            </w:pPr>
          </w:p>
          <w:p w:rsidR="0028103A" w:rsidRDefault="0028103A"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r>
              <w:t>HW</w:t>
            </w:r>
          </w:p>
          <w:p w:rsidR="0028103A" w:rsidRDefault="0028103A" w:rsidP="00214D42">
            <w:pPr>
              <w:jc w:val="center"/>
            </w:pPr>
          </w:p>
          <w:p w:rsidR="0028103A" w:rsidRDefault="0028103A" w:rsidP="00214D42">
            <w:pPr>
              <w:jc w:val="center"/>
            </w:pPr>
          </w:p>
          <w:p w:rsidR="0028103A" w:rsidRDefault="0028103A" w:rsidP="00214D42">
            <w:pPr>
              <w:jc w:val="center"/>
            </w:pPr>
          </w:p>
          <w:p w:rsidR="0028103A" w:rsidRDefault="0028103A" w:rsidP="00214D42">
            <w:pPr>
              <w:jc w:val="center"/>
            </w:pPr>
          </w:p>
          <w:p w:rsidR="0028103A" w:rsidRDefault="0028103A" w:rsidP="00214D42">
            <w:pPr>
              <w:jc w:val="center"/>
            </w:pPr>
          </w:p>
          <w:p w:rsidR="0028103A" w:rsidRDefault="0028103A" w:rsidP="00214D42">
            <w:pPr>
              <w:jc w:val="center"/>
            </w:pPr>
          </w:p>
          <w:p w:rsidR="0028103A" w:rsidRDefault="0028103A" w:rsidP="00214D42">
            <w:pPr>
              <w:jc w:val="center"/>
            </w:pPr>
          </w:p>
          <w:p w:rsidR="0028103A" w:rsidRDefault="0028103A" w:rsidP="00214D42">
            <w:pPr>
              <w:jc w:val="center"/>
            </w:pPr>
          </w:p>
          <w:p w:rsidR="0028103A" w:rsidRDefault="0028103A" w:rsidP="00214D42">
            <w:pPr>
              <w:jc w:val="center"/>
            </w:pPr>
          </w:p>
          <w:p w:rsidR="0028103A" w:rsidRDefault="0028103A" w:rsidP="00214D42">
            <w:pPr>
              <w:jc w:val="center"/>
            </w:pPr>
            <w:r>
              <w:t>HW</w:t>
            </w:r>
          </w:p>
          <w:p w:rsidR="00214D42" w:rsidRDefault="00214D42" w:rsidP="00154A2D">
            <w:pPr>
              <w:jc w:val="center"/>
            </w:pPr>
          </w:p>
        </w:tc>
        <w:tc>
          <w:tcPr>
            <w:tcW w:w="1390" w:type="dxa"/>
          </w:tcPr>
          <w:p w:rsidR="0075270D" w:rsidRDefault="0075270D" w:rsidP="006B3546">
            <w:pPr>
              <w:jc w:val="center"/>
            </w:pPr>
          </w:p>
          <w:p w:rsidR="00154A2D" w:rsidRDefault="00154A2D" w:rsidP="006B3546">
            <w:pPr>
              <w:jc w:val="center"/>
            </w:pPr>
          </w:p>
          <w:p w:rsidR="00154A2D" w:rsidRDefault="00154A2D" w:rsidP="006B3546">
            <w:pPr>
              <w:jc w:val="center"/>
            </w:pPr>
          </w:p>
          <w:p w:rsidR="00154A2D" w:rsidRDefault="00154A2D" w:rsidP="006B3546">
            <w:pPr>
              <w:jc w:val="center"/>
            </w:pPr>
          </w:p>
          <w:p w:rsidR="00214D42" w:rsidRDefault="00214D42" w:rsidP="006B3546">
            <w:pPr>
              <w:jc w:val="center"/>
            </w:pPr>
          </w:p>
          <w:p w:rsidR="00214D42" w:rsidRDefault="0028103A" w:rsidP="00214D42">
            <w:pPr>
              <w:jc w:val="center"/>
            </w:pPr>
            <w:r>
              <w:t>COMPLETED</w:t>
            </w:r>
          </w:p>
          <w:p w:rsidR="00AE0709" w:rsidRDefault="00AE0709" w:rsidP="00214D42">
            <w:pPr>
              <w:jc w:val="center"/>
            </w:pPr>
          </w:p>
          <w:p w:rsidR="00AE0709" w:rsidRDefault="00AE0709" w:rsidP="00214D42">
            <w:pPr>
              <w:jc w:val="center"/>
            </w:pPr>
          </w:p>
          <w:p w:rsidR="00120C65" w:rsidRDefault="00120C65" w:rsidP="00214D42">
            <w:pPr>
              <w:jc w:val="center"/>
            </w:pPr>
          </w:p>
          <w:p w:rsidR="0028103A" w:rsidRDefault="0028103A"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214D42">
            <w:pPr>
              <w:jc w:val="center"/>
            </w:pPr>
          </w:p>
          <w:p w:rsidR="00120C65" w:rsidRDefault="00120C65" w:rsidP="00120C65">
            <w:pPr>
              <w:jc w:val="center"/>
            </w:pPr>
            <w:r>
              <w:t>By summer 2019</w:t>
            </w:r>
            <w:r w:rsidR="0028103A">
              <w:t>, now Winter 2019</w:t>
            </w:r>
          </w:p>
          <w:p w:rsidR="00120C65" w:rsidRDefault="00120C65" w:rsidP="00120C65">
            <w:pPr>
              <w:jc w:val="center"/>
            </w:pPr>
          </w:p>
          <w:p w:rsidR="00214D42" w:rsidRDefault="00214D42"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r>
              <w:t>By Sep 19 now By Dec 19</w:t>
            </w:r>
          </w:p>
        </w:tc>
      </w:tr>
      <w:tr w:rsidR="003F6645" w:rsidTr="000238B0">
        <w:tc>
          <w:tcPr>
            <w:tcW w:w="674" w:type="dxa"/>
          </w:tcPr>
          <w:p w:rsidR="003F6645" w:rsidRDefault="004A3E1B">
            <w:r>
              <w:t>3</w:t>
            </w:r>
          </w:p>
        </w:tc>
        <w:tc>
          <w:tcPr>
            <w:tcW w:w="6225" w:type="dxa"/>
          </w:tcPr>
          <w:p w:rsidR="003F6645" w:rsidRDefault="003F6645" w:rsidP="000B5F7F">
            <w:pPr>
              <w:rPr>
                <w:b/>
              </w:rPr>
            </w:pPr>
            <w:r>
              <w:rPr>
                <w:b/>
              </w:rPr>
              <w:t>Suggestion Box</w:t>
            </w:r>
          </w:p>
          <w:p w:rsidR="00483550" w:rsidRDefault="00483550" w:rsidP="000B5F7F"/>
          <w:p w:rsidR="0028103A" w:rsidRPr="0028103A" w:rsidRDefault="0028103A" w:rsidP="000B5F7F">
            <w:pPr>
              <w:rPr>
                <w:b/>
              </w:rPr>
            </w:pPr>
            <w:r w:rsidRPr="0028103A">
              <w:rPr>
                <w:b/>
              </w:rPr>
              <w:t>Suggestion 1</w:t>
            </w:r>
          </w:p>
          <w:p w:rsidR="0028103A" w:rsidRDefault="0028103A" w:rsidP="000B5F7F">
            <w:r>
              <w:lastRenderedPageBreak/>
              <w:t>Could a nurse could be available to take blood test after appointment with GP. This would save time for yourselves and the patient not having to come back.</w:t>
            </w:r>
          </w:p>
          <w:p w:rsidR="0028103A" w:rsidRDefault="0028103A" w:rsidP="000B5F7F">
            <w:r w:rsidRPr="0028103A">
              <w:rPr>
                <w:b/>
              </w:rPr>
              <w:t>Response</w:t>
            </w:r>
            <w:r>
              <w:t>: HW explained that wherever possible and when staffing levels allow, we do this. SH said he had experienced this a couple of times and was able to have his bloods taken after the GP appointment. So in conclusion, we would always try to do this if staff are available to do so.</w:t>
            </w:r>
          </w:p>
          <w:p w:rsidR="0028103A" w:rsidRDefault="0028103A" w:rsidP="000B5F7F"/>
          <w:p w:rsidR="0028103A" w:rsidRPr="0028103A" w:rsidRDefault="0028103A" w:rsidP="000B5F7F">
            <w:pPr>
              <w:rPr>
                <w:b/>
              </w:rPr>
            </w:pPr>
            <w:r w:rsidRPr="0028103A">
              <w:rPr>
                <w:b/>
              </w:rPr>
              <w:t>Suggestion 2</w:t>
            </w:r>
          </w:p>
          <w:p w:rsidR="0028103A" w:rsidRDefault="0028103A" w:rsidP="000B5F7F">
            <w:r>
              <w:t>Fire exit doors should not have restriction key security to prevent access (First floor exit)</w:t>
            </w:r>
          </w:p>
          <w:p w:rsidR="0028103A" w:rsidRDefault="0028103A" w:rsidP="000B5F7F">
            <w:r w:rsidRPr="0028103A">
              <w:rPr>
                <w:b/>
              </w:rPr>
              <w:t>Response</w:t>
            </w:r>
            <w:r>
              <w:t>: HW mentioned that when the fire alarm sounds, all key security systems unlock to allow quick exit.</w:t>
            </w:r>
          </w:p>
          <w:p w:rsidR="0028103A" w:rsidRDefault="0028103A" w:rsidP="000B5F7F"/>
          <w:p w:rsidR="0028103A" w:rsidRDefault="0028103A" w:rsidP="0028103A">
            <w:r w:rsidRPr="0040289B">
              <w:rPr>
                <w:b/>
              </w:rPr>
              <w:t>Medication Review Protocol</w:t>
            </w:r>
            <w:r>
              <w:t xml:space="preserve"> – forward to next meeting. </w:t>
            </w:r>
            <w:r w:rsidRPr="0028103A">
              <w:rPr>
                <w:b/>
              </w:rPr>
              <w:t>Action</w:t>
            </w:r>
            <w:r>
              <w:t>: HW to prepare protocol for PPG to review during December PPG</w:t>
            </w:r>
          </w:p>
          <w:p w:rsidR="0028103A" w:rsidRDefault="0028103A" w:rsidP="000B5F7F"/>
          <w:p w:rsidR="00214D42" w:rsidRPr="003F6645" w:rsidRDefault="00214D42" w:rsidP="0028103A"/>
        </w:tc>
        <w:tc>
          <w:tcPr>
            <w:tcW w:w="891" w:type="dxa"/>
          </w:tcPr>
          <w:p w:rsidR="003F6645" w:rsidRDefault="003F6645" w:rsidP="006B3546">
            <w:pPr>
              <w:jc w:val="center"/>
            </w:pPr>
          </w:p>
          <w:p w:rsidR="00483550" w:rsidRDefault="00483550" w:rsidP="006B3546">
            <w:pPr>
              <w:jc w:val="center"/>
            </w:pPr>
          </w:p>
          <w:p w:rsidR="00483550" w:rsidRDefault="00483550" w:rsidP="006B3546">
            <w:pPr>
              <w:jc w:val="center"/>
            </w:pPr>
          </w:p>
          <w:p w:rsidR="00C050D2" w:rsidRDefault="00C050D2" w:rsidP="006B3546">
            <w:pPr>
              <w:jc w:val="center"/>
            </w:pPr>
          </w:p>
          <w:p w:rsidR="00C050D2" w:rsidRDefault="00C050D2"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6B3546">
            <w:pPr>
              <w:jc w:val="center"/>
            </w:pPr>
          </w:p>
          <w:p w:rsidR="0028103A" w:rsidRDefault="0028103A" w:rsidP="0028103A">
            <w:pPr>
              <w:jc w:val="center"/>
            </w:pPr>
            <w:r>
              <w:t>HW</w:t>
            </w:r>
          </w:p>
        </w:tc>
        <w:tc>
          <w:tcPr>
            <w:tcW w:w="1390" w:type="dxa"/>
          </w:tcPr>
          <w:p w:rsidR="003F6645" w:rsidRDefault="003F6645" w:rsidP="006B3546">
            <w:pPr>
              <w:jc w:val="center"/>
            </w:pPr>
          </w:p>
          <w:p w:rsidR="00C050D2" w:rsidRDefault="00C050D2"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 w:rsidR="0028103A" w:rsidRDefault="0028103A" w:rsidP="0028103A">
            <w:pPr>
              <w:jc w:val="center"/>
            </w:pPr>
            <w:r>
              <w:t>Dec 19</w:t>
            </w:r>
          </w:p>
        </w:tc>
      </w:tr>
      <w:tr w:rsidR="0075270D" w:rsidTr="000238B0">
        <w:tc>
          <w:tcPr>
            <w:tcW w:w="674" w:type="dxa"/>
          </w:tcPr>
          <w:p w:rsidR="0075270D" w:rsidRDefault="004A3E1B">
            <w:r>
              <w:lastRenderedPageBreak/>
              <w:t>4</w:t>
            </w:r>
          </w:p>
        </w:tc>
        <w:tc>
          <w:tcPr>
            <w:tcW w:w="6225" w:type="dxa"/>
          </w:tcPr>
          <w:p w:rsidR="00DD70AB" w:rsidRDefault="00483550" w:rsidP="00DD70AB">
            <w:pPr>
              <w:rPr>
                <w:b/>
              </w:rPr>
            </w:pPr>
            <w:r>
              <w:rPr>
                <w:b/>
              </w:rPr>
              <w:t>PPG Member changes</w:t>
            </w:r>
          </w:p>
          <w:p w:rsidR="00483550" w:rsidRPr="00483550" w:rsidRDefault="00483550" w:rsidP="00DD70AB">
            <w:r w:rsidRPr="00483550">
              <w:t>There have been no member</w:t>
            </w:r>
            <w:r w:rsidR="00AE0709">
              <w:t xml:space="preserve"> changes</w:t>
            </w:r>
            <w:r w:rsidRPr="00483550">
              <w:t xml:space="preserve"> this quarter. </w:t>
            </w:r>
          </w:p>
          <w:p w:rsidR="00000300" w:rsidRPr="006B69F6" w:rsidRDefault="00000300" w:rsidP="00483550"/>
        </w:tc>
        <w:tc>
          <w:tcPr>
            <w:tcW w:w="891" w:type="dxa"/>
          </w:tcPr>
          <w:p w:rsidR="0075270D" w:rsidRDefault="0075270D" w:rsidP="006B3546">
            <w:pPr>
              <w:jc w:val="center"/>
            </w:pPr>
          </w:p>
          <w:p w:rsidR="007C7DDB" w:rsidRDefault="007C7DDB" w:rsidP="007C7DDB">
            <w:pPr>
              <w:jc w:val="center"/>
            </w:pPr>
          </w:p>
        </w:tc>
        <w:tc>
          <w:tcPr>
            <w:tcW w:w="1390" w:type="dxa"/>
          </w:tcPr>
          <w:p w:rsidR="0075270D" w:rsidRDefault="0075270D" w:rsidP="006B3546">
            <w:pPr>
              <w:jc w:val="center"/>
            </w:pPr>
          </w:p>
          <w:p w:rsidR="007C7DDB" w:rsidRDefault="007C7DDB" w:rsidP="003858F5"/>
        </w:tc>
      </w:tr>
      <w:tr w:rsidR="00483550" w:rsidTr="000238B0">
        <w:tc>
          <w:tcPr>
            <w:tcW w:w="674" w:type="dxa"/>
          </w:tcPr>
          <w:p w:rsidR="00483550" w:rsidRDefault="004A3E1B">
            <w:r>
              <w:t>5</w:t>
            </w:r>
          </w:p>
        </w:tc>
        <w:tc>
          <w:tcPr>
            <w:tcW w:w="6225" w:type="dxa"/>
          </w:tcPr>
          <w:p w:rsidR="00483550" w:rsidRDefault="00483550" w:rsidP="00DD70AB">
            <w:pPr>
              <w:rPr>
                <w:b/>
              </w:rPr>
            </w:pPr>
            <w:r>
              <w:rPr>
                <w:b/>
              </w:rPr>
              <w:t>Newsletter</w:t>
            </w:r>
          </w:p>
          <w:p w:rsidR="00483550" w:rsidRDefault="00C050D2" w:rsidP="0028103A">
            <w:r>
              <w:t xml:space="preserve">The </w:t>
            </w:r>
            <w:r w:rsidR="0028103A">
              <w:t>Autumn</w:t>
            </w:r>
            <w:r>
              <w:t xml:space="preserve"> newsletter had been written and circulated. Feedback from the PPG for articles in the </w:t>
            </w:r>
            <w:r w:rsidR="0028103A">
              <w:t>Winter</w:t>
            </w:r>
            <w:r>
              <w:t xml:space="preserve"> edition </w:t>
            </w:r>
            <w:r w:rsidR="0028103A">
              <w:t>included a potential article to highlight services at the community centre during Winter. Also an open question to patients asking what they want to see in the newsletter and to post in the Suggestion Box.</w:t>
            </w:r>
          </w:p>
          <w:p w:rsidR="0028103A" w:rsidRPr="00483550" w:rsidRDefault="0028103A" w:rsidP="0028103A"/>
        </w:tc>
        <w:tc>
          <w:tcPr>
            <w:tcW w:w="891" w:type="dxa"/>
          </w:tcPr>
          <w:p w:rsidR="00483550" w:rsidRDefault="00483550" w:rsidP="006B3546">
            <w:pPr>
              <w:jc w:val="center"/>
            </w:pPr>
          </w:p>
          <w:p w:rsidR="00483550" w:rsidRDefault="00483550" w:rsidP="006B3546">
            <w:pPr>
              <w:jc w:val="center"/>
            </w:pPr>
          </w:p>
          <w:p w:rsidR="00483550" w:rsidRDefault="00483550" w:rsidP="006B3546">
            <w:pPr>
              <w:jc w:val="center"/>
            </w:pPr>
          </w:p>
        </w:tc>
        <w:tc>
          <w:tcPr>
            <w:tcW w:w="1390" w:type="dxa"/>
          </w:tcPr>
          <w:p w:rsidR="00483550" w:rsidRDefault="00483550" w:rsidP="006B3546">
            <w:pPr>
              <w:jc w:val="center"/>
            </w:pPr>
          </w:p>
          <w:p w:rsidR="00483550" w:rsidRDefault="00483550" w:rsidP="006B3546">
            <w:pPr>
              <w:jc w:val="center"/>
            </w:pPr>
          </w:p>
          <w:p w:rsidR="00992534" w:rsidRDefault="00992534" w:rsidP="006B3546">
            <w:pPr>
              <w:jc w:val="center"/>
            </w:pPr>
          </w:p>
        </w:tc>
      </w:tr>
      <w:tr w:rsidR="003858F5" w:rsidTr="000238B0">
        <w:tc>
          <w:tcPr>
            <w:tcW w:w="674" w:type="dxa"/>
          </w:tcPr>
          <w:p w:rsidR="003858F5" w:rsidRDefault="00140DA8">
            <w:r>
              <w:t>7</w:t>
            </w:r>
          </w:p>
        </w:tc>
        <w:tc>
          <w:tcPr>
            <w:tcW w:w="6225" w:type="dxa"/>
          </w:tcPr>
          <w:p w:rsidR="008B0861" w:rsidRDefault="003F3A96" w:rsidP="00DB35DC">
            <w:pPr>
              <w:rPr>
                <w:b/>
              </w:rPr>
            </w:pPr>
            <w:r>
              <w:rPr>
                <w:b/>
              </w:rPr>
              <w:t>AOB</w:t>
            </w:r>
          </w:p>
          <w:p w:rsidR="004B69BE" w:rsidRDefault="004B69BE" w:rsidP="00DB35DC">
            <w:pPr>
              <w:rPr>
                <w:b/>
              </w:rPr>
            </w:pPr>
          </w:p>
          <w:p w:rsidR="0040289B" w:rsidRDefault="0028103A" w:rsidP="00AE0709">
            <w:pPr>
              <w:rPr>
                <w:b/>
              </w:rPr>
            </w:pPr>
            <w:r>
              <w:rPr>
                <w:b/>
              </w:rPr>
              <w:t>PPG in Leeds Event – 9/10/19</w:t>
            </w:r>
          </w:p>
          <w:p w:rsidR="0028103A" w:rsidRDefault="0028103A" w:rsidP="00AE0709">
            <w:r>
              <w:t>HW had circulated information about the City-wide PPG event designed for PPG members. If anyone would like to attend, could they please let HW know so she can get your feedback and ideas for how we can continually improve our PPG meetings and the service we provide patients.</w:t>
            </w:r>
          </w:p>
          <w:p w:rsidR="0028103A" w:rsidRDefault="0028103A" w:rsidP="00AE0709"/>
          <w:p w:rsidR="0028103A" w:rsidRPr="0028103A" w:rsidRDefault="0028103A" w:rsidP="00AE0709">
            <w:pPr>
              <w:rPr>
                <w:b/>
              </w:rPr>
            </w:pPr>
            <w:r w:rsidRPr="0028103A">
              <w:rPr>
                <w:b/>
              </w:rPr>
              <w:t>Winter Roadshow – 24/9/19</w:t>
            </w:r>
          </w:p>
          <w:p w:rsidR="0028103A" w:rsidRDefault="0028103A" w:rsidP="00AE0709">
            <w:r>
              <w:t xml:space="preserve">HW mentioned that Thornton, Armley and Priory together with Armley Helping Hands and a host of local support services and charities are holding a Winter Roadshow at Armley Medical Centre. There will be a PPG stand to try to promote more PPG members. HS and BD volunteered to help man the stand and </w:t>
            </w:r>
            <w:r>
              <w:lastRenderedPageBreak/>
              <w:t>toencourage more membership, as follows:</w:t>
            </w:r>
          </w:p>
          <w:p w:rsidR="0028103A" w:rsidRDefault="0028103A" w:rsidP="0028103A">
            <w:pPr>
              <w:pStyle w:val="ListParagraph"/>
              <w:numPr>
                <w:ilvl w:val="0"/>
                <w:numId w:val="18"/>
              </w:numPr>
            </w:pPr>
            <w:r>
              <w:t>HS – 11am – 1pm</w:t>
            </w:r>
          </w:p>
          <w:p w:rsidR="0028103A" w:rsidRDefault="0028103A" w:rsidP="0028103A">
            <w:pPr>
              <w:pStyle w:val="ListParagraph"/>
              <w:numPr>
                <w:ilvl w:val="0"/>
                <w:numId w:val="18"/>
              </w:numPr>
            </w:pPr>
            <w:r>
              <w:t>BD - 1pm – 2pm</w:t>
            </w:r>
          </w:p>
          <w:p w:rsidR="0028103A" w:rsidRDefault="0028103A" w:rsidP="00AE0709">
            <w:r>
              <w:t>BIG thank you for your help and we hope to welcome some new members after this event.</w:t>
            </w:r>
          </w:p>
          <w:p w:rsidR="0028103A" w:rsidRDefault="0028103A" w:rsidP="00AE0709">
            <w:r w:rsidRPr="0028103A">
              <w:rPr>
                <w:b/>
              </w:rPr>
              <w:t>Action</w:t>
            </w:r>
            <w:r>
              <w:t>: HW will be available from 10am on 24/9/19 at Armley MC and will have some flyers and information for HS and BD to hand out.</w:t>
            </w:r>
          </w:p>
          <w:p w:rsidR="0028103A" w:rsidRDefault="0028103A" w:rsidP="00AE0709"/>
          <w:p w:rsidR="0028103A" w:rsidRPr="0028103A" w:rsidRDefault="0028103A" w:rsidP="00AE0709">
            <w:pPr>
              <w:rPr>
                <w:b/>
              </w:rPr>
            </w:pPr>
            <w:r w:rsidRPr="0028103A">
              <w:rPr>
                <w:b/>
              </w:rPr>
              <w:t>Flu Season</w:t>
            </w:r>
          </w:p>
          <w:p w:rsidR="0028103A" w:rsidRDefault="0028103A" w:rsidP="00AE0709">
            <w:r>
              <w:t>HW explained that the first flu clinic will be on 24/9/19 at Armley MC and held by our own Nurse wth patients having pre-booked appointments. Thereafter, our vaccinations arrive on 27/9/19 and we are starting to book clinics throughout October and November which will provide good cover for the peak of the flu season in December.</w:t>
            </w:r>
          </w:p>
          <w:p w:rsidR="0028103A" w:rsidRDefault="0028103A" w:rsidP="00AE0709"/>
          <w:p w:rsidR="0028103A" w:rsidRPr="0028103A" w:rsidRDefault="0028103A" w:rsidP="00AE0709">
            <w:pPr>
              <w:rPr>
                <w:b/>
              </w:rPr>
            </w:pPr>
            <w:r w:rsidRPr="0028103A">
              <w:rPr>
                <w:b/>
              </w:rPr>
              <w:t>Telephone System</w:t>
            </w:r>
          </w:p>
          <w:p w:rsidR="0028103A" w:rsidRDefault="0028103A" w:rsidP="00AE0709">
            <w:r>
              <w:t>HW explained that we are likely to have our new telephone system by Dec 19 or Jan 20. HW wanted feedback on what patients would like to experience with the new facilities available. In summary:</w:t>
            </w:r>
          </w:p>
          <w:p w:rsidR="0028103A" w:rsidRDefault="0028103A" w:rsidP="0028103A">
            <w:pPr>
              <w:pStyle w:val="ListParagraph"/>
              <w:numPr>
                <w:ilvl w:val="0"/>
                <w:numId w:val="19"/>
              </w:numPr>
            </w:pPr>
            <w:r>
              <w:t>Three options for Repeat Prescribing, Booking an appointment and Test Results</w:t>
            </w:r>
          </w:p>
          <w:p w:rsidR="0028103A" w:rsidRDefault="0028103A" w:rsidP="0028103A">
            <w:pPr>
              <w:pStyle w:val="ListParagraph"/>
              <w:numPr>
                <w:ilvl w:val="0"/>
                <w:numId w:val="19"/>
              </w:numPr>
            </w:pPr>
            <w:r>
              <w:t>Brief patient information when on hold</w:t>
            </w:r>
          </w:p>
          <w:p w:rsidR="0028103A" w:rsidRDefault="0028103A" w:rsidP="0028103A">
            <w:pPr>
              <w:pStyle w:val="ListParagraph"/>
              <w:numPr>
                <w:ilvl w:val="0"/>
                <w:numId w:val="19"/>
              </w:numPr>
            </w:pPr>
            <w:r>
              <w:t>Ideally a time indication on how long you are to wait if there is a queue</w:t>
            </w:r>
          </w:p>
          <w:p w:rsidR="0028103A" w:rsidRDefault="0028103A" w:rsidP="0028103A">
            <w:pPr>
              <w:pStyle w:val="ListParagraph"/>
              <w:numPr>
                <w:ilvl w:val="0"/>
                <w:numId w:val="19"/>
              </w:numPr>
            </w:pPr>
            <w:r>
              <w:t>Ideally a further set of options for Repeat prescribing offering Repeat All or Speak to an Operator to allow quick repeats of all medications (HW will investigate if this is possible)</w:t>
            </w:r>
          </w:p>
          <w:p w:rsidR="0028103A" w:rsidRDefault="0028103A" w:rsidP="0028103A">
            <w:pPr>
              <w:pStyle w:val="ListParagraph"/>
              <w:numPr>
                <w:ilvl w:val="0"/>
                <w:numId w:val="19"/>
              </w:numPr>
            </w:pPr>
            <w:r>
              <w:t>The number will no longer be “withheld” solving the problem of some patients who do not accept calls from withheld numbers.</w:t>
            </w:r>
          </w:p>
          <w:p w:rsidR="0028103A" w:rsidRDefault="0028103A" w:rsidP="0028103A"/>
          <w:p w:rsidR="0028103A" w:rsidRPr="0028103A" w:rsidRDefault="0028103A" w:rsidP="0028103A">
            <w:pPr>
              <w:rPr>
                <w:b/>
              </w:rPr>
            </w:pPr>
            <w:r w:rsidRPr="0028103A">
              <w:rPr>
                <w:b/>
              </w:rPr>
              <w:t>Primary Care Network (PCN) Projects</w:t>
            </w:r>
          </w:p>
          <w:p w:rsidR="0028103A" w:rsidRDefault="0028103A" w:rsidP="0028103A">
            <w:r>
              <w:t>HW explained further about the PCN and how this is currently set up in Armley. HW explained two of the projects the PCN are starting to consider:</w:t>
            </w:r>
          </w:p>
          <w:p w:rsidR="0028103A" w:rsidRDefault="0028103A" w:rsidP="0028103A">
            <w:pPr>
              <w:pStyle w:val="ListParagraph"/>
              <w:numPr>
                <w:ilvl w:val="0"/>
                <w:numId w:val="20"/>
              </w:numPr>
              <w:ind w:left="744" w:hanging="384"/>
            </w:pPr>
            <w:r>
              <w:t>A “Macmillan” style nurse to support patient and families who have recently been diagnosed with Dementia</w:t>
            </w:r>
          </w:p>
          <w:p w:rsidR="0028103A" w:rsidRDefault="0028103A" w:rsidP="0028103A">
            <w:pPr>
              <w:pStyle w:val="ListParagraph"/>
              <w:numPr>
                <w:ilvl w:val="0"/>
                <w:numId w:val="20"/>
              </w:numPr>
              <w:ind w:left="744" w:hanging="384"/>
            </w:pPr>
            <w:r>
              <w:t>Mindfulness to help patients with pain relief and to encourage them to reduce use of opioids.</w:t>
            </w:r>
          </w:p>
          <w:p w:rsidR="0028103A" w:rsidRDefault="0028103A" w:rsidP="00AE0709">
            <w:r>
              <w:t xml:space="preserve">Further information as the projects are designed will be communicated to PPG for feedback and via the website and </w:t>
            </w:r>
            <w:r>
              <w:lastRenderedPageBreak/>
              <w:t xml:space="preserve">newsletter. BD was interested if we could provide services to help with the drug addiction in the area. </w:t>
            </w:r>
            <w:r w:rsidRPr="0028103A">
              <w:rPr>
                <w:b/>
              </w:rPr>
              <w:t>Action</w:t>
            </w:r>
            <w:r>
              <w:t>: HW will take suggestion to the Clinical Director of the PCN.</w:t>
            </w:r>
          </w:p>
          <w:p w:rsidR="0028103A" w:rsidRDefault="0028103A" w:rsidP="00AE0709"/>
          <w:p w:rsidR="0028103A" w:rsidRPr="0028103A" w:rsidRDefault="0028103A" w:rsidP="00AE0709">
            <w:pPr>
              <w:rPr>
                <w:b/>
              </w:rPr>
            </w:pPr>
            <w:r w:rsidRPr="0028103A">
              <w:rPr>
                <w:b/>
              </w:rPr>
              <w:t>Health &amp; Wellbeing Power of Attorney</w:t>
            </w:r>
          </w:p>
          <w:p w:rsidR="0028103A" w:rsidRDefault="0028103A" w:rsidP="0028103A">
            <w:r w:rsidRPr="0028103A">
              <w:t>KA provided an example of his wife, as a carer on behalf of someone who was deaf and blind</w:t>
            </w:r>
            <w:r>
              <w:t>,</w:t>
            </w:r>
            <w:r w:rsidRPr="0028103A">
              <w:t xml:space="preserve"> not being able to request medication on their behalf – this was not at Priory View</w:t>
            </w:r>
            <w:r>
              <w:t>. KA wa</w:t>
            </w:r>
            <w:r w:rsidRPr="0028103A">
              <w:t>s interested</w:t>
            </w:r>
            <w:r>
              <w:t xml:space="preserve"> </w:t>
            </w:r>
            <w:r w:rsidRPr="0028103A">
              <w:t xml:space="preserve">in how Priory View would support Carers. HW explained that we code carers on the system and put notes to indicate where consent has been provided for carers to request information on behalf of the patient so this should not happen </w:t>
            </w:r>
            <w:r>
              <w:t>at</w:t>
            </w:r>
            <w:r w:rsidRPr="0028103A">
              <w:t xml:space="preserve"> Priory View. HW also explain</w:t>
            </w:r>
            <w:r>
              <w:t>ed</w:t>
            </w:r>
            <w:r w:rsidRPr="0028103A">
              <w:t xml:space="preserve"> a series of improvements the practice was making to support carers in the community and fu</w:t>
            </w:r>
            <w:r>
              <w:t>rther inform</w:t>
            </w:r>
            <w:r w:rsidRPr="0028103A">
              <w:t>ation will be shared in due course.</w:t>
            </w:r>
          </w:p>
          <w:p w:rsidR="0028103A" w:rsidRPr="0028103A" w:rsidRDefault="0028103A" w:rsidP="0028103A"/>
        </w:tc>
        <w:tc>
          <w:tcPr>
            <w:tcW w:w="891" w:type="dxa"/>
          </w:tcPr>
          <w:p w:rsidR="004B69BE" w:rsidRDefault="004B69BE"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28103A" w:rsidRDefault="0028103A" w:rsidP="004B69BE">
            <w:pPr>
              <w:jc w:val="center"/>
            </w:pPr>
          </w:p>
          <w:p w:rsidR="0028103A" w:rsidRDefault="0028103A" w:rsidP="004B69BE">
            <w:pPr>
              <w:jc w:val="center"/>
            </w:pPr>
          </w:p>
          <w:p w:rsidR="0028103A" w:rsidRDefault="0028103A" w:rsidP="004B69BE">
            <w:pPr>
              <w:jc w:val="center"/>
            </w:pPr>
            <w:r>
              <w:t>HW</w:t>
            </w: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AE0709" w:rsidRDefault="00AE0709"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r>
              <w:lastRenderedPageBreak/>
              <w:t>HW</w:t>
            </w: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p w:rsidR="0028103A" w:rsidRDefault="0028103A" w:rsidP="0028103A">
            <w:pPr>
              <w:jc w:val="center"/>
            </w:pPr>
          </w:p>
        </w:tc>
        <w:tc>
          <w:tcPr>
            <w:tcW w:w="1390" w:type="dxa"/>
          </w:tcPr>
          <w:p w:rsidR="003858F5" w:rsidRDefault="003858F5" w:rsidP="006B3546">
            <w:pPr>
              <w:jc w:val="center"/>
            </w:pPr>
          </w:p>
          <w:p w:rsidR="007C7DDB" w:rsidRDefault="007C7DDB" w:rsidP="006B3546">
            <w:pPr>
              <w:jc w:val="center"/>
            </w:pPr>
          </w:p>
          <w:p w:rsidR="007C7DDB" w:rsidRDefault="007C7DDB"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28103A" w:rsidRDefault="0028103A" w:rsidP="004858C8">
            <w:pPr>
              <w:jc w:val="center"/>
            </w:pPr>
            <w:r>
              <w:t>24/9/19</w:t>
            </w: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4858C8">
            <w:pPr>
              <w:jc w:val="center"/>
            </w:pPr>
          </w:p>
          <w:p w:rsidR="004B69BE" w:rsidRDefault="004B69BE" w:rsidP="00AE0709"/>
          <w:p w:rsidR="0040289B" w:rsidRDefault="0040289B" w:rsidP="004B69BE">
            <w:pPr>
              <w:jc w:val="center"/>
            </w:pPr>
          </w:p>
          <w:p w:rsidR="0040289B" w:rsidRDefault="0040289B" w:rsidP="004B69BE">
            <w:pPr>
              <w:jc w:val="center"/>
            </w:pPr>
          </w:p>
          <w:p w:rsidR="0040289B" w:rsidRDefault="0040289B" w:rsidP="004B69BE">
            <w:pPr>
              <w:jc w:val="center"/>
            </w:pPr>
          </w:p>
          <w:p w:rsidR="0040289B" w:rsidRDefault="0040289B" w:rsidP="004B69BE">
            <w:pPr>
              <w:jc w:val="center"/>
            </w:pPr>
          </w:p>
          <w:p w:rsidR="00AE0709" w:rsidRDefault="00AE0709" w:rsidP="004B69BE">
            <w:pPr>
              <w:jc w:val="center"/>
            </w:pPr>
          </w:p>
          <w:p w:rsidR="00AE0709" w:rsidRDefault="00AE0709" w:rsidP="004B69BE">
            <w:pPr>
              <w:jc w:val="center"/>
            </w:pPr>
          </w:p>
          <w:p w:rsidR="00AE0709" w:rsidRDefault="00AE0709" w:rsidP="004B69BE">
            <w:pPr>
              <w:jc w:val="center"/>
            </w:pPr>
          </w:p>
          <w:p w:rsidR="00AE0709" w:rsidRDefault="00AE0709"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AE0709"/>
          <w:p w:rsidR="0028103A" w:rsidRDefault="0028103A" w:rsidP="0028103A">
            <w:pPr>
              <w:jc w:val="center"/>
            </w:pPr>
            <w:r>
              <w:lastRenderedPageBreak/>
              <w:t>Dec 19</w:t>
            </w:r>
          </w:p>
        </w:tc>
      </w:tr>
      <w:tr w:rsidR="0075270D" w:rsidTr="000238B0">
        <w:tc>
          <w:tcPr>
            <w:tcW w:w="674" w:type="dxa"/>
          </w:tcPr>
          <w:p w:rsidR="0075270D" w:rsidRDefault="00140DA8">
            <w:r>
              <w:lastRenderedPageBreak/>
              <w:t>8</w:t>
            </w:r>
          </w:p>
        </w:tc>
        <w:tc>
          <w:tcPr>
            <w:tcW w:w="6225" w:type="dxa"/>
          </w:tcPr>
          <w:p w:rsidR="0075270D" w:rsidRDefault="0075270D" w:rsidP="00895F84">
            <w:pPr>
              <w:rPr>
                <w:b/>
              </w:rPr>
            </w:pPr>
            <w:r w:rsidRPr="00903FE2">
              <w:rPr>
                <w:b/>
              </w:rPr>
              <w:t>Next Meeting agreed</w:t>
            </w:r>
            <w:r w:rsidR="000238B0">
              <w:rPr>
                <w:b/>
              </w:rPr>
              <w:t>:</w:t>
            </w:r>
          </w:p>
          <w:p w:rsidR="007C7DDB" w:rsidRDefault="007C7DDB" w:rsidP="00192F40"/>
          <w:p w:rsidR="004B5948" w:rsidRDefault="008C15AE" w:rsidP="00192F40">
            <w:r>
              <w:t>D</w:t>
            </w:r>
            <w:r w:rsidR="008B0861">
              <w:t xml:space="preserve">ate for </w:t>
            </w:r>
            <w:r w:rsidR="003F3A96">
              <w:t>your diaries</w:t>
            </w:r>
            <w:r w:rsidR="008B0861">
              <w:t>:</w:t>
            </w:r>
          </w:p>
          <w:p w:rsidR="004B5948" w:rsidRPr="004746E0" w:rsidRDefault="003F3A96" w:rsidP="008B0861">
            <w:pPr>
              <w:rPr>
                <w:b/>
              </w:rPr>
            </w:pPr>
            <w:r>
              <w:rPr>
                <w:b/>
              </w:rPr>
              <w:t xml:space="preserve">Thursday </w:t>
            </w:r>
            <w:r w:rsidR="004746E0" w:rsidRPr="004746E0">
              <w:rPr>
                <w:b/>
              </w:rPr>
              <w:t xml:space="preserve"> </w:t>
            </w:r>
            <w:r w:rsidR="0040289B">
              <w:rPr>
                <w:b/>
              </w:rPr>
              <w:t>12</w:t>
            </w:r>
            <w:r w:rsidR="00140DA8" w:rsidRPr="00140DA8">
              <w:rPr>
                <w:b/>
                <w:vertAlign w:val="superscript"/>
              </w:rPr>
              <w:t>th</w:t>
            </w:r>
            <w:r w:rsidR="00140DA8">
              <w:rPr>
                <w:b/>
              </w:rPr>
              <w:t xml:space="preserve"> </w:t>
            </w:r>
            <w:r w:rsidR="0028103A">
              <w:rPr>
                <w:b/>
              </w:rPr>
              <w:t>Dec</w:t>
            </w:r>
            <w:r w:rsidR="0040289B">
              <w:rPr>
                <w:b/>
              </w:rPr>
              <w:t>ember</w:t>
            </w:r>
            <w:r w:rsidR="008B0861" w:rsidRPr="004746E0">
              <w:rPr>
                <w:b/>
              </w:rPr>
              <w:t xml:space="preserve"> 201</w:t>
            </w:r>
            <w:r w:rsidR="008C15AE">
              <w:rPr>
                <w:b/>
              </w:rPr>
              <w:t>9</w:t>
            </w:r>
            <w:r w:rsidR="004B5948" w:rsidRPr="004746E0">
              <w:rPr>
                <w:b/>
              </w:rPr>
              <w:t xml:space="preserve"> at 5pm</w:t>
            </w:r>
          </w:p>
          <w:p w:rsidR="0021413D" w:rsidRDefault="0021413D" w:rsidP="008B0861"/>
        </w:tc>
        <w:tc>
          <w:tcPr>
            <w:tcW w:w="891" w:type="dxa"/>
          </w:tcPr>
          <w:p w:rsidR="0075270D" w:rsidRDefault="0075270D" w:rsidP="006B3546">
            <w:pPr>
              <w:jc w:val="center"/>
            </w:pPr>
          </w:p>
        </w:tc>
        <w:tc>
          <w:tcPr>
            <w:tcW w:w="1390" w:type="dxa"/>
          </w:tcPr>
          <w:p w:rsidR="0075270D" w:rsidRDefault="0075270D" w:rsidP="006B3546">
            <w:pPr>
              <w:jc w:val="center"/>
            </w:pPr>
          </w:p>
        </w:tc>
      </w:tr>
    </w:tbl>
    <w:p w:rsidR="00E72109" w:rsidRDefault="00E72109" w:rsidP="00E72109"/>
    <w:p w:rsidR="00895F84" w:rsidRPr="00E72109" w:rsidRDefault="00895F84" w:rsidP="00E72109">
      <w:pPr>
        <w:jc w:val="center"/>
      </w:pPr>
    </w:p>
    <w:sectPr w:rsidR="00895F84" w:rsidRPr="00E72109" w:rsidSect="007C7DDB">
      <w:headerReference w:type="default" r:id="rId8"/>
      <w:pgSz w:w="11906" w:h="16838"/>
      <w:pgMar w:top="115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44" w:rsidRDefault="00F00244" w:rsidP="00895F84">
      <w:pPr>
        <w:spacing w:after="0" w:line="240" w:lineRule="auto"/>
      </w:pPr>
      <w:r>
        <w:separator/>
      </w:r>
    </w:p>
  </w:endnote>
  <w:endnote w:type="continuationSeparator" w:id="0">
    <w:p w:rsidR="00F00244" w:rsidRDefault="00F00244" w:rsidP="0089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44" w:rsidRDefault="00F00244" w:rsidP="00895F84">
      <w:pPr>
        <w:spacing w:after="0" w:line="240" w:lineRule="auto"/>
      </w:pPr>
      <w:r>
        <w:separator/>
      </w:r>
    </w:p>
  </w:footnote>
  <w:footnote w:type="continuationSeparator" w:id="0">
    <w:p w:rsidR="00F00244" w:rsidRDefault="00F00244" w:rsidP="0089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61" w:rsidRDefault="003E6961" w:rsidP="003E6961">
    <w:pPr>
      <w:pStyle w:val="Header"/>
    </w:pPr>
    <w:r>
      <w:rPr>
        <w:noProof/>
        <w:lang w:eastAsia="en-GB"/>
      </w:rPr>
      <w:drawing>
        <wp:inline distT="0" distB="0" distL="0" distR="0" wp14:anchorId="648268DB" wp14:editId="79FD8048">
          <wp:extent cx="957316" cy="9689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6967" cy="968638"/>
                  </a:xfrm>
                  <a:prstGeom prst="rect">
                    <a:avLst/>
                  </a:prstGeom>
                </pic:spPr>
              </pic:pic>
            </a:graphicData>
          </a:graphic>
        </wp:inline>
      </w:drawing>
    </w:r>
    <w:r>
      <w:rPr>
        <w:noProof/>
        <w:lang w:eastAsia="en-GB"/>
      </w:rPr>
      <w:drawing>
        <wp:inline distT="0" distB="0" distL="0" distR="0" wp14:anchorId="0D2F4B7C" wp14:editId="6A6F9B4D">
          <wp:extent cx="495346" cy="2565900"/>
          <wp:effectExtent l="0" t="63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rot="5400000">
                    <a:off x="0" y="0"/>
                    <a:ext cx="500661" cy="2593430"/>
                  </a:xfrm>
                  <a:prstGeom prst="rect">
                    <a:avLst/>
                  </a:prstGeom>
                </pic:spPr>
              </pic:pic>
            </a:graphicData>
          </a:graphic>
        </wp:inline>
      </w:drawing>
    </w:r>
  </w:p>
  <w:p w:rsidR="003E6961" w:rsidRDefault="003E6961" w:rsidP="00895F84">
    <w:pPr>
      <w:pStyle w:val="Header"/>
      <w:jc w:val="center"/>
      <w:rPr>
        <w:b/>
        <w:sz w:val="24"/>
        <w:szCs w:val="24"/>
      </w:rPr>
    </w:pPr>
    <w:r>
      <w:rPr>
        <w:noProof/>
        <w:lang w:eastAsia="en-GB"/>
      </w:rPr>
      <mc:AlternateContent>
        <mc:Choice Requires="wps">
          <w:drawing>
            <wp:anchor distT="0" distB="0" distL="114300" distR="114300" simplePos="0" relativeHeight="251659264" behindDoc="0" locked="0" layoutInCell="1" allowOverlap="1" wp14:anchorId="56A5CF35" wp14:editId="320B1639">
              <wp:simplePos x="0" y="0"/>
              <wp:positionH relativeFrom="column">
                <wp:posOffset>-76200</wp:posOffset>
              </wp:positionH>
              <wp:positionV relativeFrom="paragraph">
                <wp:posOffset>-1905</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" strokecolor="#4579b8 [3044]" strokeweight="3pt"/>
          </w:pict>
        </mc:Fallback>
      </mc:AlternateContent>
    </w:r>
  </w:p>
  <w:p w:rsidR="00895F84" w:rsidRDefault="0089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B25"/>
    <w:multiLevelType w:val="hybridMultilevel"/>
    <w:tmpl w:val="6268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14686"/>
    <w:multiLevelType w:val="hybridMultilevel"/>
    <w:tmpl w:val="BFAA759C"/>
    <w:lvl w:ilvl="0" w:tplc="D102AFC6">
      <w:start w:val="1"/>
      <w:numFmt w:val="decimal"/>
      <w:lvlText w:val="%1)"/>
      <w:lvlJc w:val="left"/>
      <w:pPr>
        <w:ind w:left="2790" w:hanging="2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760E8"/>
    <w:multiLevelType w:val="hybridMultilevel"/>
    <w:tmpl w:val="BE2AC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C20615"/>
    <w:multiLevelType w:val="hybridMultilevel"/>
    <w:tmpl w:val="76447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524BD"/>
    <w:multiLevelType w:val="hybridMultilevel"/>
    <w:tmpl w:val="1ED2B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1A33AD"/>
    <w:multiLevelType w:val="hybridMultilevel"/>
    <w:tmpl w:val="8368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2E0085"/>
    <w:multiLevelType w:val="hybridMultilevel"/>
    <w:tmpl w:val="3BAC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847DE"/>
    <w:multiLevelType w:val="hybridMultilevel"/>
    <w:tmpl w:val="C71A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6C0F0D"/>
    <w:multiLevelType w:val="hybridMultilevel"/>
    <w:tmpl w:val="1DAA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334E52"/>
    <w:multiLevelType w:val="hybridMultilevel"/>
    <w:tmpl w:val="A6D6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CC4F94"/>
    <w:multiLevelType w:val="hybridMultilevel"/>
    <w:tmpl w:val="4732D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27C42BD"/>
    <w:multiLevelType w:val="hybridMultilevel"/>
    <w:tmpl w:val="2FF4F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6F4849"/>
    <w:multiLevelType w:val="hybridMultilevel"/>
    <w:tmpl w:val="95682E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6DD612B"/>
    <w:multiLevelType w:val="hybridMultilevel"/>
    <w:tmpl w:val="DF6E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3B52BB"/>
    <w:multiLevelType w:val="hybridMultilevel"/>
    <w:tmpl w:val="1256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F3290"/>
    <w:multiLevelType w:val="hybridMultilevel"/>
    <w:tmpl w:val="3C84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3758D7"/>
    <w:multiLevelType w:val="hybridMultilevel"/>
    <w:tmpl w:val="0FDE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FF09B9"/>
    <w:multiLevelType w:val="hybridMultilevel"/>
    <w:tmpl w:val="4F48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F56EEE"/>
    <w:multiLevelType w:val="hybridMultilevel"/>
    <w:tmpl w:val="F000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BE548A"/>
    <w:multiLevelType w:val="hybridMultilevel"/>
    <w:tmpl w:val="D04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2"/>
  </w:num>
  <w:num w:numId="5">
    <w:abstractNumId w:val="15"/>
  </w:num>
  <w:num w:numId="6">
    <w:abstractNumId w:val="14"/>
  </w:num>
  <w:num w:numId="7">
    <w:abstractNumId w:val="6"/>
  </w:num>
  <w:num w:numId="8">
    <w:abstractNumId w:val="8"/>
  </w:num>
  <w:num w:numId="9">
    <w:abstractNumId w:val="16"/>
  </w:num>
  <w:num w:numId="10">
    <w:abstractNumId w:val="13"/>
  </w:num>
  <w:num w:numId="11">
    <w:abstractNumId w:val="2"/>
  </w:num>
  <w:num w:numId="12">
    <w:abstractNumId w:val="11"/>
  </w:num>
  <w:num w:numId="13">
    <w:abstractNumId w:val="10"/>
  </w:num>
  <w:num w:numId="14">
    <w:abstractNumId w:val="0"/>
  </w:num>
  <w:num w:numId="15">
    <w:abstractNumId w:val="17"/>
  </w:num>
  <w:num w:numId="16">
    <w:abstractNumId w:val="18"/>
  </w:num>
  <w:num w:numId="17">
    <w:abstractNumId w:val="3"/>
  </w:num>
  <w:num w:numId="18">
    <w:abstractNumId w:val="19"/>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84"/>
    <w:rsid w:val="00000300"/>
    <w:rsid w:val="00001679"/>
    <w:rsid w:val="00006446"/>
    <w:rsid w:val="00010DDF"/>
    <w:rsid w:val="000164BE"/>
    <w:rsid w:val="000238B0"/>
    <w:rsid w:val="000A33C2"/>
    <w:rsid w:val="000B5F7F"/>
    <w:rsid w:val="00120C65"/>
    <w:rsid w:val="00140DA8"/>
    <w:rsid w:val="00154A2D"/>
    <w:rsid w:val="00165586"/>
    <w:rsid w:val="00192F40"/>
    <w:rsid w:val="001A5760"/>
    <w:rsid w:val="001B78AB"/>
    <w:rsid w:val="001C24C3"/>
    <w:rsid w:val="001E0D1C"/>
    <w:rsid w:val="002127CD"/>
    <w:rsid w:val="0021413D"/>
    <w:rsid w:val="00214D42"/>
    <w:rsid w:val="0028103A"/>
    <w:rsid w:val="002A66E5"/>
    <w:rsid w:val="002F00A4"/>
    <w:rsid w:val="003858F5"/>
    <w:rsid w:val="003B3072"/>
    <w:rsid w:val="003E6961"/>
    <w:rsid w:val="003F3A96"/>
    <w:rsid w:val="003F6645"/>
    <w:rsid w:val="0040289B"/>
    <w:rsid w:val="00406082"/>
    <w:rsid w:val="00456AA3"/>
    <w:rsid w:val="004746E0"/>
    <w:rsid w:val="004833FB"/>
    <w:rsid w:val="00483550"/>
    <w:rsid w:val="004858C8"/>
    <w:rsid w:val="00494ADA"/>
    <w:rsid w:val="004A3E1B"/>
    <w:rsid w:val="004B5948"/>
    <w:rsid w:val="004B69BE"/>
    <w:rsid w:val="004C26B8"/>
    <w:rsid w:val="004D2BED"/>
    <w:rsid w:val="004E2F26"/>
    <w:rsid w:val="00551B4E"/>
    <w:rsid w:val="00566CDF"/>
    <w:rsid w:val="005C0FD7"/>
    <w:rsid w:val="005E15B2"/>
    <w:rsid w:val="00614397"/>
    <w:rsid w:val="006B3546"/>
    <w:rsid w:val="006B69F6"/>
    <w:rsid w:val="006B78F1"/>
    <w:rsid w:val="006F1BD9"/>
    <w:rsid w:val="00732300"/>
    <w:rsid w:val="007475B8"/>
    <w:rsid w:val="0075270D"/>
    <w:rsid w:val="007B2C84"/>
    <w:rsid w:val="007B5DB6"/>
    <w:rsid w:val="007C7DDB"/>
    <w:rsid w:val="007F0D1B"/>
    <w:rsid w:val="00820F6C"/>
    <w:rsid w:val="00822D59"/>
    <w:rsid w:val="008322BD"/>
    <w:rsid w:val="00895F84"/>
    <w:rsid w:val="008B0861"/>
    <w:rsid w:val="008B51F4"/>
    <w:rsid w:val="008C15AE"/>
    <w:rsid w:val="008E5BA3"/>
    <w:rsid w:val="00903FE2"/>
    <w:rsid w:val="00956EC1"/>
    <w:rsid w:val="0099014B"/>
    <w:rsid w:val="00992534"/>
    <w:rsid w:val="009B06D7"/>
    <w:rsid w:val="009E17B5"/>
    <w:rsid w:val="00A02959"/>
    <w:rsid w:val="00A30655"/>
    <w:rsid w:val="00A825AB"/>
    <w:rsid w:val="00A91B1F"/>
    <w:rsid w:val="00AA143C"/>
    <w:rsid w:val="00AB20E5"/>
    <w:rsid w:val="00AE0709"/>
    <w:rsid w:val="00AE0D48"/>
    <w:rsid w:val="00AF1C46"/>
    <w:rsid w:val="00B02811"/>
    <w:rsid w:val="00B9236F"/>
    <w:rsid w:val="00BD495D"/>
    <w:rsid w:val="00C050D2"/>
    <w:rsid w:val="00C6172C"/>
    <w:rsid w:val="00C87DBE"/>
    <w:rsid w:val="00C95084"/>
    <w:rsid w:val="00CE007C"/>
    <w:rsid w:val="00CF0B15"/>
    <w:rsid w:val="00CF5B17"/>
    <w:rsid w:val="00D0070D"/>
    <w:rsid w:val="00D22F2B"/>
    <w:rsid w:val="00D64C2F"/>
    <w:rsid w:val="00D75F5E"/>
    <w:rsid w:val="00D91C77"/>
    <w:rsid w:val="00DB35DC"/>
    <w:rsid w:val="00DD70AB"/>
    <w:rsid w:val="00E01DBE"/>
    <w:rsid w:val="00E125C5"/>
    <w:rsid w:val="00E34839"/>
    <w:rsid w:val="00E35BE8"/>
    <w:rsid w:val="00E72109"/>
    <w:rsid w:val="00E87E23"/>
    <w:rsid w:val="00EE7751"/>
    <w:rsid w:val="00F00244"/>
    <w:rsid w:val="00F17914"/>
    <w:rsid w:val="00F237D2"/>
    <w:rsid w:val="00F52A05"/>
    <w:rsid w:val="00FB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84"/>
  </w:style>
  <w:style w:type="paragraph" w:styleId="Footer">
    <w:name w:val="footer"/>
    <w:basedOn w:val="Normal"/>
    <w:link w:val="FooterChar"/>
    <w:uiPriority w:val="99"/>
    <w:unhideWhenUsed/>
    <w:rsid w:val="0089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84"/>
  </w:style>
  <w:style w:type="paragraph" w:styleId="BalloonText">
    <w:name w:val="Balloon Text"/>
    <w:basedOn w:val="Normal"/>
    <w:link w:val="BalloonTextChar"/>
    <w:uiPriority w:val="99"/>
    <w:semiHidden/>
    <w:unhideWhenUsed/>
    <w:rsid w:val="0089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4"/>
    <w:rPr>
      <w:rFonts w:ascii="Tahoma" w:hAnsi="Tahoma" w:cs="Tahoma"/>
      <w:sz w:val="16"/>
      <w:szCs w:val="16"/>
    </w:rPr>
  </w:style>
  <w:style w:type="table" w:styleId="TableGrid">
    <w:name w:val="Table Grid"/>
    <w:basedOn w:val="TableNormal"/>
    <w:uiPriority w:val="59"/>
    <w:rsid w:val="008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84"/>
  </w:style>
  <w:style w:type="paragraph" w:styleId="Footer">
    <w:name w:val="footer"/>
    <w:basedOn w:val="Normal"/>
    <w:link w:val="FooterChar"/>
    <w:uiPriority w:val="99"/>
    <w:unhideWhenUsed/>
    <w:rsid w:val="0089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84"/>
  </w:style>
  <w:style w:type="paragraph" w:styleId="BalloonText">
    <w:name w:val="Balloon Text"/>
    <w:basedOn w:val="Normal"/>
    <w:link w:val="BalloonTextChar"/>
    <w:uiPriority w:val="99"/>
    <w:semiHidden/>
    <w:unhideWhenUsed/>
    <w:rsid w:val="0089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4"/>
    <w:rPr>
      <w:rFonts w:ascii="Tahoma" w:hAnsi="Tahoma" w:cs="Tahoma"/>
      <w:sz w:val="16"/>
      <w:szCs w:val="16"/>
    </w:rPr>
  </w:style>
  <w:style w:type="table" w:styleId="TableGrid">
    <w:name w:val="Table Grid"/>
    <w:basedOn w:val="TableNormal"/>
    <w:uiPriority w:val="59"/>
    <w:rsid w:val="008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Judith King</cp:lastModifiedBy>
  <cp:revision>2</cp:revision>
  <cp:lastPrinted>2019-09-13T08:28:00Z</cp:lastPrinted>
  <dcterms:created xsi:type="dcterms:W3CDTF">2019-09-16T12:59:00Z</dcterms:created>
  <dcterms:modified xsi:type="dcterms:W3CDTF">2019-09-16T12:59:00Z</dcterms:modified>
</cp:coreProperties>
</file>