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ibre Caslon Display" w:hAnsi="Libre Caslon Display" w:eastAsiaTheme="majorEastAsia" w:cstheme="majorBidi"/>
          <w:color w:val="1F4B18"/>
          <w:sz w:val="50"/>
          <w:szCs w:val="50"/>
        </w:rPr>
        <w:id w:val="2114783370"/>
        <w:docPartObj>
          <w:docPartGallery w:val="Cover Pages"/>
          <w:docPartUnique/>
        </w:docPartObj>
      </w:sdtPr>
      <w:sdtEndPr>
        <w:rPr>
          <w:rFonts w:ascii="Roboto Lt" w:hAnsi="Roboto Lt" w:eastAsiaTheme="minorHAnsi" w:cstheme="minorBidi"/>
          <w:noProof/>
          <w:color w:val="auto"/>
          <w:sz w:val="22"/>
          <w:szCs w:val="24"/>
        </w:rPr>
      </w:sdtEndPr>
      <w:sdtContent>
        <w:sdt>
          <w:sdtPr>
            <w:rPr>
              <w:rFonts w:ascii="Libre Caslon Display" w:hAnsi="Libre Caslon Display" w:eastAsiaTheme="majorEastAsia" w:cstheme="majorBidi"/>
              <w:color w:val="1F4B18"/>
              <w:sz w:val="50"/>
              <w:szCs w:val="50"/>
            </w:rPr>
            <w:alias w:val="Customer Name"/>
            <w:tag w:val="Customer Name"/>
            <w:id w:val="-2104867031"/>
            <w:placeholder>
              <w:docPart w:val="DefaultPlaceholder_-1854013440"/>
            </w:placeholder>
            <w:showingPlcHdr/>
            <w:text/>
          </w:sdtPr>
          <w:sdtEndPr/>
          <w:sdtContent>
            <w:p w:rsidR="00445CAC" w:rsidP="00ED74A3" w:rsidRDefault="00445CAC" w14:paraId="60D4A330" w14:textId="212D393A">
              <w:pPr>
                <w:rPr>
                  <w:rFonts w:ascii="Libre Caslon Display" w:hAnsi="Libre Caslon Display" w:eastAsiaTheme="majorEastAsia" w:cstheme="majorBidi"/>
                  <w:color w:val="1F4B18"/>
                  <w:sz w:val="50"/>
                  <w:szCs w:val="50"/>
                </w:rPr>
              </w:pPr>
              <w:r w:rsidRPr="00445CAC">
                <w:rPr>
                  <w:rFonts w:ascii="Libre Caslon Display" w:hAnsi="Libre Caslon Display" w:eastAsiaTheme="majorEastAsia" w:cstheme="majorBidi"/>
                  <w:color w:val="1F4B18"/>
                  <w:sz w:val="36"/>
                  <w:szCs w:val="36"/>
                </w:rPr>
                <w:t>Upwell Health Centre and Welle Ltd (Pharmacy)</w:t>
              </w:r>
            </w:p>
          </w:sdtContent>
        </w:sdt>
        <w:p w:rsidRPr="00A708FD" w:rsidR="00ED74A3" w:rsidP="00ED74A3" w:rsidRDefault="00D44D5E" w14:paraId="31130D4B" w14:textId="42CE8BA3">
          <w:pPr>
            <w:rPr>
              <w:rFonts w:ascii="Libre Caslon Display" w:hAnsi="Libre Caslon Display" w:eastAsiaTheme="majorEastAsia" w:cstheme="majorBidi"/>
              <w:color w:val="1F4B18"/>
              <w:sz w:val="50"/>
              <w:szCs w:val="50"/>
            </w:rPr>
          </w:pPr>
          <w:r>
            <w:rPr>
              <w:rFonts w:ascii="Libre Caslon Display" w:hAnsi="Libre Caslon Display" w:eastAsiaTheme="majorEastAsia" w:cstheme="majorBidi"/>
              <w:color w:val="1F4B18"/>
              <w:sz w:val="50"/>
              <w:szCs w:val="50"/>
            </w:rPr>
            <w:t>Information Governance Policy</w:t>
          </w:r>
        </w:p>
        <w:p w:rsidR="00546579" w:rsidP="00ED74A3" w:rsidRDefault="00546579" w14:paraId="24EB551E" w14:textId="77777777">
          <w:pPr>
            <w:rPr>
              <w:rFonts w:ascii="Libre Caslon Display" w:hAnsi="Libre Caslon Display" w:eastAsiaTheme="majorEastAsia" w:cstheme="majorBidi"/>
              <w:color w:val="1F4B18"/>
              <w:sz w:val="40"/>
              <w:szCs w:val="40"/>
            </w:rPr>
          </w:pPr>
        </w:p>
        <w:p w:rsidR="00546579" w:rsidP="00ED74A3" w:rsidRDefault="00546579" w14:paraId="64645E84" w14:textId="77777777">
          <w:pPr>
            <w:rPr>
              <w:noProof/>
              <w:sz w:val="4"/>
              <w:szCs w:val="4"/>
            </w:rPr>
          </w:pPr>
        </w:p>
        <w:p w:rsidR="00546579" w:rsidP="00ED74A3" w:rsidRDefault="00546579" w14:paraId="5F3604DA" w14:textId="77777777">
          <w:pPr>
            <w:rPr>
              <w:noProof/>
              <w:sz w:val="4"/>
              <w:szCs w:val="4"/>
            </w:rPr>
          </w:pPr>
        </w:p>
        <w:p w:rsidR="00546579" w:rsidP="00ED74A3" w:rsidRDefault="00546579" w14:paraId="5D47C232" w14:textId="77777777">
          <w:pPr>
            <w:rPr>
              <w:noProof/>
              <w:sz w:val="4"/>
              <w:szCs w:val="4"/>
            </w:rPr>
          </w:pPr>
        </w:p>
        <w:p w:rsidR="00546579" w:rsidP="00ED74A3" w:rsidRDefault="00546579" w14:paraId="6DB02F69" w14:textId="77777777">
          <w:pPr>
            <w:rPr>
              <w:noProof/>
              <w:sz w:val="4"/>
              <w:szCs w:val="4"/>
            </w:rPr>
          </w:pPr>
        </w:p>
        <w:p w:rsidR="00546579" w:rsidP="00ED74A3" w:rsidRDefault="00546579" w14:paraId="78B73AE4" w14:textId="77777777">
          <w:pPr>
            <w:rPr>
              <w:noProof/>
              <w:sz w:val="4"/>
              <w:szCs w:val="4"/>
            </w:rPr>
          </w:pPr>
        </w:p>
        <w:tbl>
          <w:tblPr>
            <w:tblStyle w:val="TableGrid"/>
            <w:tblW w:w="0" w:type="auto"/>
            <w:tblLook w:val="04A0" w:firstRow="1" w:lastRow="0" w:firstColumn="1" w:lastColumn="0" w:noHBand="0" w:noVBand="1"/>
          </w:tblPr>
          <w:tblGrid>
            <w:gridCol w:w="1555"/>
            <w:gridCol w:w="1984"/>
            <w:gridCol w:w="1559"/>
            <w:gridCol w:w="3918"/>
          </w:tblGrid>
          <w:tr w:rsidR="00546579" w:rsidTr="003D3B97" w14:paraId="3A9EA582" w14:textId="77777777">
            <w:tc>
              <w:tcPr>
                <w:tcW w:w="1555" w:type="dxa"/>
                <w:shd w:val="clear" w:color="auto" w:fill="000000" w:themeFill="text1"/>
              </w:tcPr>
              <w:p w:rsidR="00546579" w:rsidP="00ED74A3" w:rsidRDefault="00546579" w14:paraId="2A919376" w14:textId="7C6F092D">
                <w:pPr>
                  <w:rPr>
                    <w:noProof/>
                    <w:sz w:val="24"/>
                  </w:rPr>
                </w:pPr>
                <w:r>
                  <w:rPr>
                    <w:noProof/>
                    <w:sz w:val="24"/>
                  </w:rPr>
                  <w:t>Version</w:t>
                </w:r>
              </w:p>
            </w:tc>
            <w:tc>
              <w:tcPr>
                <w:tcW w:w="1984" w:type="dxa"/>
                <w:shd w:val="clear" w:color="auto" w:fill="000000" w:themeFill="text1"/>
              </w:tcPr>
              <w:p w:rsidR="00546579" w:rsidP="00ED74A3" w:rsidRDefault="00546579" w14:paraId="2DD2D94E" w14:textId="6E0AA224">
                <w:pPr>
                  <w:rPr>
                    <w:noProof/>
                    <w:sz w:val="24"/>
                  </w:rPr>
                </w:pPr>
                <w:r>
                  <w:rPr>
                    <w:noProof/>
                    <w:sz w:val="24"/>
                  </w:rPr>
                  <w:t>Author</w:t>
                </w:r>
              </w:p>
            </w:tc>
            <w:tc>
              <w:tcPr>
                <w:tcW w:w="1559" w:type="dxa"/>
                <w:shd w:val="clear" w:color="auto" w:fill="000000" w:themeFill="text1"/>
              </w:tcPr>
              <w:p w:rsidR="00546579" w:rsidP="00ED74A3" w:rsidRDefault="00F749F7" w14:paraId="0CE74B19" w14:textId="09DE1707">
                <w:pPr>
                  <w:rPr>
                    <w:noProof/>
                    <w:sz w:val="24"/>
                  </w:rPr>
                </w:pPr>
                <w:r>
                  <w:rPr>
                    <w:noProof/>
                    <w:sz w:val="24"/>
                  </w:rPr>
                  <w:t>Next Review Date</w:t>
                </w:r>
              </w:p>
            </w:tc>
            <w:tc>
              <w:tcPr>
                <w:tcW w:w="3918" w:type="dxa"/>
                <w:shd w:val="clear" w:color="auto" w:fill="000000" w:themeFill="text1"/>
              </w:tcPr>
              <w:p w:rsidR="00546579" w:rsidP="00ED74A3" w:rsidRDefault="00546579" w14:paraId="2038B5AE" w14:textId="7CD49FE5">
                <w:pPr>
                  <w:rPr>
                    <w:noProof/>
                    <w:sz w:val="24"/>
                  </w:rPr>
                </w:pPr>
                <w:r>
                  <w:rPr>
                    <w:noProof/>
                    <w:sz w:val="24"/>
                  </w:rPr>
                  <w:t>Notes</w:t>
                </w:r>
              </w:p>
            </w:tc>
          </w:tr>
          <w:tr w:rsidR="00546579" w:rsidTr="003D3B97" w14:paraId="74A74198" w14:textId="77777777">
            <w:tc>
              <w:tcPr>
                <w:tcW w:w="1555" w:type="dxa"/>
              </w:tcPr>
              <w:p w:rsidRPr="003D3B97" w:rsidR="00546579" w:rsidP="00ED74A3" w:rsidRDefault="003D3B97" w14:paraId="73404923" w14:textId="23CE0896">
                <w:pPr>
                  <w:rPr>
                    <w:noProof/>
                    <w:sz w:val="20"/>
                    <w:szCs w:val="20"/>
                  </w:rPr>
                </w:pPr>
                <w:r w:rsidRPr="003D3B97">
                  <w:rPr>
                    <w:noProof/>
                    <w:sz w:val="20"/>
                    <w:szCs w:val="20"/>
                  </w:rPr>
                  <w:t>V1</w:t>
                </w:r>
                <w:r>
                  <w:rPr>
                    <w:noProof/>
                    <w:sz w:val="20"/>
                    <w:szCs w:val="20"/>
                  </w:rPr>
                  <w:t xml:space="preserve"> (March 22)</w:t>
                </w:r>
              </w:p>
            </w:tc>
            <w:tc>
              <w:tcPr>
                <w:tcW w:w="1984" w:type="dxa"/>
              </w:tcPr>
              <w:p w:rsidRPr="003D3B97" w:rsidR="00546579" w:rsidP="00ED74A3" w:rsidRDefault="003D3B97" w14:paraId="0442A68D" w14:textId="266923E5">
                <w:pPr>
                  <w:rPr>
                    <w:noProof/>
                    <w:sz w:val="20"/>
                    <w:szCs w:val="20"/>
                  </w:rPr>
                </w:pPr>
                <w:r w:rsidRPr="003D3B97">
                  <w:rPr>
                    <w:noProof/>
                    <w:sz w:val="20"/>
                    <w:szCs w:val="20"/>
                  </w:rPr>
                  <w:t>Emma Kitcher, DPO</w:t>
                </w:r>
              </w:p>
            </w:tc>
            <w:tc>
              <w:tcPr>
                <w:tcW w:w="1559" w:type="dxa"/>
              </w:tcPr>
              <w:p w:rsidRPr="003D3B97" w:rsidR="00546579" w:rsidP="00ED74A3" w:rsidRDefault="00F749F7" w14:paraId="0BFC12D1" w14:textId="3620590C">
                <w:pPr>
                  <w:rPr>
                    <w:noProof/>
                    <w:sz w:val="20"/>
                    <w:szCs w:val="20"/>
                  </w:rPr>
                </w:pPr>
                <w:r>
                  <w:rPr>
                    <w:noProof/>
                    <w:sz w:val="20"/>
                    <w:szCs w:val="20"/>
                  </w:rPr>
                  <w:t>March 23</w:t>
                </w:r>
              </w:p>
            </w:tc>
            <w:tc>
              <w:tcPr>
                <w:tcW w:w="3918" w:type="dxa"/>
              </w:tcPr>
              <w:p w:rsidR="00546579" w:rsidP="00ED74A3" w:rsidRDefault="00951C22" w14:paraId="52685743" w14:textId="5B843C47">
                <w:pPr>
                  <w:rPr>
                    <w:noProof/>
                    <w:sz w:val="20"/>
                    <w:szCs w:val="20"/>
                  </w:rPr>
                </w:pPr>
                <w:r>
                  <w:rPr>
                    <w:noProof/>
                    <w:sz w:val="20"/>
                    <w:szCs w:val="20"/>
                  </w:rPr>
                  <w:t xml:space="preserve">Should be read as new policy that replaces IG01. </w:t>
                </w:r>
              </w:p>
              <w:p w:rsidRPr="00951C22" w:rsidR="00951C22" w:rsidP="00951C22" w:rsidRDefault="00951C22" w14:paraId="03622490" w14:textId="4F977B3E">
                <w:pPr>
                  <w:rPr>
                    <w:noProof/>
                    <w:sz w:val="20"/>
                    <w:szCs w:val="20"/>
                  </w:rPr>
                </w:pPr>
                <w:r w:rsidRPr="00951C22">
                  <w:rPr>
                    <w:noProof/>
                    <w:sz w:val="20"/>
                    <w:szCs w:val="20"/>
                  </w:rPr>
                  <w:t>However, largely the same but now includes Section 2 Quick Ref points</w:t>
                </w:r>
              </w:p>
              <w:p w:rsidRPr="00951C22" w:rsidR="00951C22" w:rsidP="00951C22" w:rsidRDefault="00951C22" w14:paraId="6721593D" w14:textId="32E202B2">
                <w:pPr>
                  <w:rPr>
                    <w:noProof/>
                    <w:sz w:val="20"/>
                    <w:szCs w:val="20"/>
                  </w:rPr>
                </w:pPr>
                <w:r w:rsidRPr="00951C22">
                  <w:rPr>
                    <w:noProof/>
                    <w:sz w:val="20"/>
                    <w:szCs w:val="20"/>
                  </w:rPr>
                  <w:t>Also now includes responsibilities of System Admin to oversee asset under section 6</w:t>
                </w:r>
              </w:p>
              <w:p w:rsidRPr="003D3B97" w:rsidR="003674BE" w:rsidP="00ED74A3" w:rsidRDefault="003674BE" w14:paraId="606A9A1D" w14:textId="74F0BBFA">
                <w:pPr>
                  <w:rPr>
                    <w:noProof/>
                    <w:sz w:val="20"/>
                    <w:szCs w:val="20"/>
                  </w:rPr>
                </w:pPr>
              </w:p>
            </w:tc>
          </w:tr>
          <w:tr w:rsidR="00F92E1D" w:rsidTr="003D3B97" w14:paraId="7DA9EEA1" w14:textId="77777777">
            <w:tc>
              <w:tcPr>
                <w:tcW w:w="1555" w:type="dxa"/>
              </w:tcPr>
              <w:p w:rsidRPr="003D3B97" w:rsidR="00F92E1D" w:rsidP="00ED74A3" w:rsidRDefault="00F92E1D" w14:paraId="31B619B5" w14:textId="22B1DB1D">
                <w:pPr>
                  <w:rPr>
                    <w:noProof/>
                    <w:sz w:val="20"/>
                    <w:szCs w:val="20"/>
                  </w:rPr>
                </w:pPr>
                <w:r>
                  <w:rPr>
                    <w:noProof/>
                    <w:sz w:val="20"/>
                    <w:szCs w:val="20"/>
                  </w:rPr>
                  <w:t xml:space="preserve">V2 (March 23) </w:t>
                </w:r>
              </w:p>
            </w:tc>
            <w:tc>
              <w:tcPr>
                <w:tcW w:w="1984" w:type="dxa"/>
              </w:tcPr>
              <w:p w:rsidRPr="003D3B97" w:rsidR="00F92E1D" w:rsidP="00ED74A3" w:rsidRDefault="0059375A" w14:paraId="3204FAAA" w14:textId="1CDF39CB">
                <w:pPr>
                  <w:rPr>
                    <w:noProof/>
                    <w:sz w:val="20"/>
                    <w:szCs w:val="20"/>
                  </w:rPr>
                </w:pPr>
                <w:r>
                  <w:rPr>
                    <w:noProof/>
                    <w:sz w:val="20"/>
                    <w:szCs w:val="20"/>
                  </w:rPr>
                  <w:t>Emma Kitcher, DPO</w:t>
                </w:r>
              </w:p>
            </w:tc>
            <w:tc>
              <w:tcPr>
                <w:tcW w:w="1559" w:type="dxa"/>
              </w:tcPr>
              <w:p w:rsidR="00F92E1D" w:rsidP="00ED74A3" w:rsidRDefault="00F92E1D" w14:paraId="0411114C" w14:textId="31BEF9B3">
                <w:pPr>
                  <w:rPr>
                    <w:noProof/>
                    <w:sz w:val="20"/>
                    <w:szCs w:val="20"/>
                  </w:rPr>
                </w:pPr>
                <w:r>
                  <w:rPr>
                    <w:noProof/>
                    <w:sz w:val="20"/>
                    <w:szCs w:val="20"/>
                  </w:rPr>
                  <w:t>March 24</w:t>
                </w:r>
              </w:p>
            </w:tc>
            <w:tc>
              <w:tcPr>
                <w:tcW w:w="3918" w:type="dxa"/>
              </w:tcPr>
              <w:p w:rsidR="00F92E1D" w:rsidP="00C9211D" w:rsidRDefault="00C9211D" w14:paraId="1DD1334E" w14:textId="77BDD205">
                <w:pPr>
                  <w:rPr>
                    <w:noProof/>
                    <w:sz w:val="20"/>
                    <w:szCs w:val="20"/>
                  </w:rPr>
                </w:pPr>
                <w:r>
                  <w:rPr>
                    <w:noProof/>
                    <w:sz w:val="20"/>
                    <w:szCs w:val="20"/>
                  </w:rPr>
                  <w:t>Added the requirement for the practice to establish a group that</w:t>
                </w:r>
                <w:r w:rsidRPr="00C9211D">
                  <w:rPr>
                    <w:noProof/>
                    <w:sz w:val="20"/>
                    <w:szCs w:val="20"/>
                  </w:rPr>
                  <w:t xml:space="preserve"> provides direction and guidance across the practice for data protection and information governance activities and that group should report to the partners.</w:t>
                </w:r>
                <w:r w:rsidR="001907A4">
                  <w:rPr>
                    <w:noProof/>
                    <w:sz w:val="20"/>
                    <w:szCs w:val="20"/>
                  </w:rPr>
                  <w:t xml:space="preserve"> </w:t>
                </w:r>
              </w:p>
            </w:tc>
          </w:tr>
        </w:tbl>
        <w:p w:rsidR="00546579" w:rsidP="00ED74A3" w:rsidRDefault="00546579" w14:paraId="4CEE2859" w14:textId="77777777">
          <w:pPr>
            <w:rPr>
              <w:noProof/>
              <w:sz w:val="24"/>
            </w:rPr>
          </w:pPr>
        </w:p>
        <w:sdt>
          <w:sdtPr>
            <w:rPr>
              <w:rFonts w:ascii="Roboto Lt" w:hAnsi="Roboto Lt" w:eastAsiaTheme="minorHAnsi" w:cstheme="minorBidi"/>
              <w:color w:val="auto"/>
              <w:sz w:val="22"/>
              <w:szCs w:val="24"/>
              <w:lang w:val="en-GB"/>
            </w:rPr>
            <w:id w:val="-611062109"/>
            <w:docPartObj>
              <w:docPartGallery w:val="Table of Contents"/>
              <w:docPartUnique/>
            </w:docPartObj>
          </w:sdtPr>
          <w:sdtEndPr>
            <w:rPr>
              <w:b/>
              <w:bCs/>
              <w:noProof/>
            </w:rPr>
          </w:sdtEndPr>
          <w:sdtContent>
            <w:p w:rsidRPr="005E68D9" w:rsidR="005E68D9" w:rsidRDefault="005E68D9" w14:paraId="123D2B53" w14:textId="47C50E7F">
              <w:pPr>
                <w:pStyle w:val="TOCHeading"/>
                <w:rPr>
                  <w:b/>
                  <w:bCs/>
                  <w:color w:val="auto"/>
                  <w:u w:val="single"/>
                </w:rPr>
              </w:pPr>
              <w:r w:rsidRPr="005E68D9">
                <w:rPr>
                  <w:b/>
                  <w:bCs/>
                  <w:color w:val="auto"/>
                  <w:u w:val="single"/>
                </w:rPr>
                <w:t>Contents</w:t>
              </w:r>
            </w:p>
            <w:p w:rsidR="00417EEA" w:rsidRDefault="005E68D9" w14:paraId="03C4E9A1" w14:textId="446E436D">
              <w:pPr>
                <w:pStyle w:val="TOC1"/>
                <w:tabs>
                  <w:tab w:val="left" w:pos="440"/>
                  <w:tab w:val="right" w:leader="dot" w:pos="9016"/>
                </w:tabs>
                <w:rPr>
                  <w:rFonts w:asciiTheme="minorHAnsi" w:hAnsiTheme="minorHAnsi" w:eastAsiaTheme="minorEastAsia"/>
                  <w:noProof/>
                  <w:szCs w:val="22"/>
                  <w:lang w:eastAsia="en-GB"/>
                </w:rPr>
              </w:pPr>
              <w:r>
                <w:fldChar w:fldCharType="begin"/>
              </w:r>
              <w:r>
                <w:instrText xml:space="preserve"> TOC \o "1-3" \h \z \u </w:instrText>
              </w:r>
              <w:r>
                <w:fldChar w:fldCharType="separate"/>
              </w:r>
              <w:hyperlink w:history="1" w:anchor="_Toc97532303">
                <w:r w:rsidRPr="00BE1668" w:rsidR="00417EEA">
                  <w:rPr>
                    <w:rStyle w:val="Hyperlink"/>
                    <w:noProof/>
                  </w:rPr>
                  <w:t>1.</w:t>
                </w:r>
                <w:r w:rsidR="00417EEA">
                  <w:rPr>
                    <w:rFonts w:asciiTheme="minorHAnsi" w:hAnsiTheme="minorHAnsi" w:eastAsiaTheme="minorEastAsia"/>
                    <w:noProof/>
                    <w:szCs w:val="22"/>
                    <w:lang w:eastAsia="en-GB"/>
                  </w:rPr>
                  <w:tab/>
                </w:r>
                <w:r w:rsidRPr="00BE1668" w:rsidR="00417EEA">
                  <w:rPr>
                    <w:rStyle w:val="Hyperlink"/>
                    <w:noProof/>
                  </w:rPr>
                  <w:t>INTRODUCTION</w:t>
                </w:r>
                <w:r w:rsidR="00417EEA">
                  <w:rPr>
                    <w:noProof/>
                    <w:webHidden/>
                  </w:rPr>
                  <w:tab/>
                </w:r>
                <w:r w:rsidR="00417EEA">
                  <w:rPr>
                    <w:noProof/>
                    <w:webHidden/>
                  </w:rPr>
                  <w:fldChar w:fldCharType="begin"/>
                </w:r>
                <w:r w:rsidR="00417EEA">
                  <w:rPr>
                    <w:noProof/>
                    <w:webHidden/>
                  </w:rPr>
                  <w:instrText xml:space="preserve"> PAGEREF _Toc97532303 \h </w:instrText>
                </w:r>
                <w:r w:rsidR="00417EEA">
                  <w:rPr>
                    <w:noProof/>
                    <w:webHidden/>
                  </w:rPr>
                </w:r>
                <w:r w:rsidR="00417EEA">
                  <w:rPr>
                    <w:noProof/>
                    <w:webHidden/>
                  </w:rPr>
                  <w:fldChar w:fldCharType="separate"/>
                </w:r>
                <w:r w:rsidR="00417EEA">
                  <w:rPr>
                    <w:noProof/>
                    <w:webHidden/>
                  </w:rPr>
                  <w:t>2</w:t>
                </w:r>
                <w:r w:rsidR="00417EEA">
                  <w:rPr>
                    <w:noProof/>
                    <w:webHidden/>
                  </w:rPr>
                  <w:fldChar w:fldCharType="end"/>
                </w:r>
              </w:hyperlink>
            </w:p>
            <w:p w:rsidR="00417EEA" w:rsidRDefault="00DE555B" w14:paraId="34438A33" w14:textId="6DB1FF3C">
              <w:pPr>
                <w:pStyle w:val="TOC1"/>
                <w:tabs>
                  <w:tab w:val="left" w:pos="440"/>
                  <w:tab w:val="right" w:leader="dot" w:pos="9016"/>
                </w:tabs>
                <w:rPr>
                  <w:rFonts w:asciiTheme="minorHAnsi" w:hAnsiTheme="minorHAnsi" w:eastAsiaTheme="minorEastAsia"/>
                  <w:noProof/>
                  <w:szCs w:val="22"/>
                  <w:lang w:eastAsia="en-GB"/>
                </w:rPr>
              </w:pPr>
              <w:hyperlink w:history="1" w:anchor="_Toc97532304">
                <w:r w:rsidRPr="00BE1668" w:rsidR="00417EEA">
                  <w:rPr>
                    <w:rStyle w:val="Hyperlink"/>
                    <w:noProof/>
                  </w:rPr>
                  <w:t>2.</w:t>
                </w:r>
                <w:r w:rsidR="00417EEA">
                  <w:rPr>
                    <w:rFonts w:asciiTheme="minorHAnsi" w:hAnsiTheme="minorHAnsi" w:eastAsiaTheme="minorEastAsia"/>
                    <w:noProof/>
                    <w:szCs w:val="22"/>
                    <w:lang w:eastAsia="en-GB"/>
                  </w:rPr>
                  <w:tab/>
                </w:r>
                <w:r w:rsidRPr="00BE1668" w:rsidR="00417EEA">
                  <w:rPr>
                    <w:rStyle w:val="Hyperlink"/>
                    <w:noProof/>
                  </w:rPr>
                  <w:t>QUICK REFERENCE POINTS</w:t>
                </w:r>
                <w:r w:rsidR="00417EEA">
                  <w:rPr>
                    <w:noProof/>
                    <w:webHidden/>
                  </w:rPr>
                  <w:tab/>
                </w:r>
                <w:r w:rsidR="00417EEA">
                  <w:rPr>
                    <w:noProof/>
                    <w:webHidden/>
                  </w:rPr>
                  <w:fldChar w:fldCharType="begin"/>
                </w:r>
                <w:r w:rsidR="00417EEA">
                  <w:rPr>
                    <w:noProof/>
                    <w:webHidden/>
                  </w:rPr>
                  <w:instrText xml:space="preserve"> PAGEREF _Toc97532304 \h </w:instrText>
                </w:r>
                <w:r w:rsidR="00417EEA">
                  <w:rPr>
                    <w:noProof/>
                    <w:webHidden/>
                  </w:rPr>
                </w:r>
                <w:r w:rsidR="00417EEA">
                  <w:rPr>
                    <w:noProof/>
                    <w:webHidden/>
                  </w:rPr>
                  <w:fldChar w:fldCharType="separate"/>
                </w:r>
                <w:r w:rsidR="00417EEA">
                  <w:rPr>
                    <w:noProof/>
                    <w:webHidden/>
                  </w:rPr>
                  <w:t>2</w:t>
                </w:r>
                <w:r w:rsidR="00417EEA">
                  <w:rPr>
                    <w:noProof/>
                    <w:webHidden/>
                  </w:rPr>
                  <w:fldChar w:fldCharType="end"/>
                </w:r>
              </w:hyperlink>
            </w:p>
            <w:p w:rsidR="00417EEA" w:rsidRDefault="00DE555B" w14:paraId="1E198FA9" w14:textId="54EDF9F8">
              <w:pPr>
                <w:pStyle w:val="TOC1"/>
                <w:tabs>
                  <w:tab w:val="left" w:pos="440"/>
                  <w:tab w:val="right" w:leader="dot" w:pos="9016"/>
                </w:tabs>
                <w:rPr>
                  <w:rFonts w:asciiTheme="minorHAnsi" w:hAnsiTheme="minorHAnsi" w:eastAsiaTheme="minorEastAsia"/>
                  <w:noProof/>
                  <w:szCs w:val="22"/>
                  <w:lang w:eastAsia="en-GB"/>
                </w:rPr>
              </w:pPr>
              <w:hyperlink w:history="1" w:anchor="_Toc97532305">
                <w:r w:rsidRPr="00BE1668" w:rsidR="00417EEA">
                  <w:rPr>
                    <w:rStyle w:val="Hyperlink"/>
                    <w:noProof/>
                  </w:rPr>
                  <w:t>3.</w:t>
                </w:r>
                <w:r w:rsidR="00417EEA">
                  <w:rPr>
                    <w:rFonts w:asciiTheme="minorHAnsi" w:hAnsiTheme="minorHAnsi" w:eastAsiaTheme="minorEastAsia"/>
                    <w:noProof/>
                    <w:szCs w:val="22"/>
                    <w:lang w:eastAsia="en-GB"/>
                  </w:rPr>
                  <w:tab/>
                </w:r>
                <w:r w:rsidRPr="00BE1668" w:rsidR="00417EEA">
                  <w:rPr>
                    <w:rStyle w:val="Hyperlink"/>
                    <w:noProof/>
                  </w:rPr>
                  <w:t>KEY DEFINITIONS</w:t>
                </w:r>
                <w:r w:rsidR="00417EEA">
                  <w:rPr>
                    <w:noProof/>
                    <w:webHidden/>
                  </w:rPr>
                  <w:tab/>
                </w:r>
                <w:r w:rsidR="00417EEA">
                  <w:rPr>
                    <w:noProof/>
                    <w:webHidden/>
                  </w:rPr>
                  <w:fldChar w:fldCharType="begin"/>
                </w:r>
                <w:r w:rsidR="00417EEA">
                  <w:rPr>
                    <w:noProof/>
                    <w:webHidden/>
                  </w:rPr>
                  <w:instrText xml:space="preserve"> PAGEREF _Toc97532305 \h </w:instrText>
                </w:r>
                <w:r w:rsidR="00417EEA">
                  <w:rPr>
                    <w:noProof/>
                    <w:webHidden/>
                  </w:rPr>
                </w:r>
                <w:r w:rsidR="00417EEA">
                  <w:rPr>
                    <w:noProof/>
                    <w:webHidden/>
                  </w:rPr>
                  <w:fldChar w:fldCharType="separate"/>
                </w:r>
                <w:r w:rsidR="00417EEA">
                  <w:rPr>
                    <w:noProof/>
                    <w:webHidden/>
                  </w:rPr>
                  <w:t>3</w:t>
                </w:r>
                <w:r w:rsidR="00417EEA">
                  <w:rPr>
                    <w:noProof/>
                    <w:webHidden/>
                  </w:rPr>
                  <w:fldChar w:fldCharType="end"/>
                </w:r>
              </w:hyperlink>
            </w:p>
            <w:p w:rsidR="00417EEA" w:rsidRDefault="00DE555B" w14:paraId="55A904A9" w14:textId="3DB44345">
              <w:pPr>
                <w:pStyle w:val="TOC1"/>
                <w:tabs>
                  <w:tab w:val="left" w:pos="440"/>
                  <w:tab w:val="right" w:leader="dot" w:pos="9016"/>
                </w:tabs>
                <w:rPr>
                  <w:rFonts w:asciiTheme="minorHAnsi" w:hAnsiTheme="minorHAnsi" w:eastAsiaTheme="minorEastAsia"/>
                  <w:noProof/>
                  <w:szCs w:val="22"/>
                  <w:lang w:eastAsia="en-GB"/>
                </w:rPr>
              </w:pPr>
              <w:hyperlink w:history="1" w:anchor="_Toc97532306">
                <w:r w:rsidRPr="00BE1668" w:rsidR="00417EEA">
                  <w:rPr>
                    <w:rStyle w:val="Hyperlink"/>
                    <w:noProof/>
                  </w:rPr>
                  <w:t>4.</w:t>
                </w:r>
                <w:r w:rsidR="00417EEA">
                  <w:rPr>
                    <w:rFonts w:asciiTheme="minorHAnsi" w:hAnsiTheme="minorHAnsi" w:eastAsiaTheme="minorEastAsia"/>
                    <w:noProof/>
                    <w:szCs w:val="22"/>
                    <w:lang w:eastAsia="en-GB"/>
                  </w:rPr>
                  <w:tab/>
                </w:r>
                <w:r w:rsidRPr="00BE1668" w:rsidR="00417EEA">
                  <w:rPr>
                    <w:rStyle w:val="Hyperlink"/>
                    <w:noProof/>
                  </w:rPr>
                  <w:t>SCOPE</w:t>
                </w:r>
                <w:r w:rsidR="00417EEA">
                  <w:rPr>
                    <w:noProof/>
                    <w:webHidden/>
                  </w:rPr>
                  <w:tab/>
                </w:r>
                <w:r w:rsidR="00417EEA">
                  <w:rPr>
                    <w:noProof/>
                    <w:webHidden/>
                  </w:rPr>
                  <w:fldChar w:fldCharType="begin"/>
                </w:r>
                <w:r w:rsidR="00417EEA">
                  <w:rPr>
                    <w:noProof/>
                    <w:webHidden/>
                  </w:rPr>
                  <w:instrText xml:space="preserve"> PAGEREF _Toc97532306 \h </w:instrText>
                </w:r>
                <w:r w:rsidR="00417EEA">
                  <w:rPr>
                    <w:noProof/>
                    <w:webHidden/>
                  </w:rPr>
                </w:r>
                <w:r w:rsidR="00417EEA">
                  <w:rPr>
                    <w:noProof/>
                    <w:webHidden/>
                  </w:rPr>
                  <w:fldChar w:fldCharType="separate"/>
                </w:r>
                <w:r w:rsidR="00417EEA">
                  <w:rPr>
                    <w:noProof/>
                    <w:webHidden/>
                  </w:rPr>
                  <w:t>3</w:t>
                </w:r>
                <w:r w:rsidR="00417EEA">
                  <w:rPr>
                    <w:noProof/>
                    <w:webHidden/>
                  </w:rPr>
                  <w:fldChar w:fldCharType="end"/>
                </w:r>
              </w:hyperlink>
            </w:p>
            <w:p w:rsidR="00417EEA" w:rsidRDefault="00DE555B" w14:paraId="50249F0F" w14:textId="0F493926">
              <w:pPr>
                <w:pStyle w:val="TOC1"/>
                <w:tabs>
                  <w:tab w:val="left" w:pos="440"/>
                  <w:tab w:val="right" w:leader="dot" w:pos="9016"/>
                </w:tabs>
                <w:rPr>
                  <w:rFonts w:asciiTheme="minorHAnsi" w:hAnsiTheme="minorHAnsi" w:eastAsiaTheme="minorEastAsia"/>
                  <w:noProof/>
                  <w:szCs w:val="22"/>
                  <w:lang w:eastAsia="en-GB"/>
                </w:rPr>
              </w:pPr>
              <w:hyperlink w:history="1" w:anchor="_Toc97532307">
                <w:r w:rsidRPr="00BE1668" w:rsidR="00417EEA">
                  <w:rPr>
                    <w:rStyle w:val="Hyperlink"/>
                    <w:noProof/>
                  </w:rPr>
                  <w:t>5.</w:t>
                </w:r>
                <w:r w:rsidR="00417EEA">
                  <w:rPr>
                    <w:rFonts w:asciiTheme="minorHAnsi" w:hAnsiTheme="minorHAnsi" w:eastAsiaTheme="minorEastAsia"/>
                    <w:noProof/>
                    <w:szCs w:val="22"/>
                    <w:lang w:eastAsia="en-GB"/>
                  </w:rPr>
                  <w:tab/>
                </w:r>
                <w:r w:rsidRPr="00BE1668" w:rsidR="00417EEA">
                  <w:rPr>
                    <w:rStyle w:val="Hyperlink"/>
                    <w:noProof/>
                  </w:rPr>
                  <w:t>KEY LEGISLATION / FRAMEWORK</w:t>
                </w:r>
                <w:r w:rsidR="00417EEA">
                  <w:rPr>
                    <w:noProof/>
                    <w:webHidden/>
                  </w:rPr>
                  <w:tab/>
                </w:r>
                <w:r w:rsidR="00417EEA">
                  <w:rPr>
                    <w:noProof/>
                    <w:webHidden/>
                  </w:rPr>
                  <w:fldChar w:fldCharType="begin"/>
                </w:r>
                <w:r w:rsidR="00417EEA">
                  <w:rPr>
                    <w:noProof/>
                    <w:webHidden/>
                  </w:rPr>
                  <w:instrText xml:space="preserve"> PAGEREF _Toc97532307 \h </w:instrText>
                </w:r>
                <w:r w:rsidR="00417EEA">
                  <w:rPr>
                    <w:noProof/>
                    <w:webHidden/>
                  </w:rPr>
                </w:r>
                <w:r w:rsidR="00417EEA">
                  <w:rPr>
                    <w:noProof/>
                    <w:webHidden/>
                  </w:rPr>
                  <w:fldChar w:fldCharType="separate"/>
                </w:r>
                <w:r w:rsidR="00417EEA">
                  <w:rPr>
                    <w:noProof/>
                    <w:webHidden/>
                  </w:rPr>
                  <w:t>4</w:t>
                </w:r>
                <w:r w:rsidR="00417EEA">
                  <w:rPr>
                    <w:noProof/>
                    <w:webHidden/>
                  </w:rPr>
                  <w:fldChar w:fldCharType="end"/>
                </w:r>
              </w:hyperlink>
            </w:p>
            <w:p w:rsidR="00417EEA" w:rsidRDefault="00DE555B" w14:paraId="27F6F039" w14:textId="43ADC830">
              <w:pPr>
                <w:pStyle w:val="TOC1"/>
                <w:tabs>
                  <w:tab w:val="left" w:pos="440"/>
                  <w:tab w:val="right" w:leader="dot" w:pos="9016"/>
                </w:tabs>
                <w:rPr>
                  <w:rFonts w:asciiTheme="minorHAnsi" w:hAnsiTheme="minorHAnsi" w:eastAsiaTheme="minorEastAsia"/>
                  <w:noProof/>
                  <w:szCs w:val="22"/>
                  <w:lang w:eastAsia="en-GB"/>
                </w:rPr>
              </w:pPr>
              <w:hyperlink w:history="1" w:anchor="_Toc97532308">
                <w:r w:rsidRPr="00BE1668" w:rsidR="00417EEA">
                  <w:rPr>
                    <w:rStyle w:val="Hyperlink"/>
                    <w:noProof/>
                  </w:rPr>
                  <w:t>6.</w:t>
                </w:r>
                <w:r w:rsidR="00417EEA">
                  <w:rPr>
                    <w:rFonts w:asciiTheme="minorHAnsi" w:hAnsiTheme="minorHAnsi" w:eastAsiaTheme="minorEastAsia"/>
                    <w:noProof/>
                    <w:szCs w:val="22"/>
                    <w:lang w:eastAsia="en-GB"/>
                  </w:rPr>
                  <w:tab/>
                </w:r>
                <w:r w:rsidRPr="00BE1668" w:rsidR="00417EEA">
                  <w:rPr>
                    <w:rStyle w:val="Hyperlink"/>
                    <w:noProof/>
                  </w:rPr>
                  <w:t>ACCOUNTABLE PARTIES</w:t>
                </w:r>
                <w:r w:rsidR="00417EEA">
                  <w:rPr>
                    <w:noProof/>
                    <w:webHidden/>
                  </w:rPr>
                  <w:tab/>
                </w:r>
                <w:r w:rsidR="00417EEA">
                  <w:rPr>
                    <w:noProof/>
                    <w:webHidden/>
                  </w:rPr>
                  <w:fldChar w:fldCharType="begin"/>
                </w:r>
                <w:r w:rsidR="00417EEA">
                  <w:rPr>
                    <w:noProof/>
                    <w:webHidden/>
                  </w:rPr>
                  <w:instrText xml:space="preserve"> PAGEREF _Toc97532308 \h </w:instrText>
                </w:r>
                <w:r w:rsidR="00417EEA">
                  <w:rPr>
                    <w:noProof/>
                    <w:webHidden/>
                  </w:rPr>
                </w:r>
                <w:r w:rsidR="00417EEA">
                  <w:rPr>
                    <w:noProof/>
                    <w:webHidden/>
                  </w:rPr>
                  <w:fldChar w:fldCharType="separate"/>
                </w:r>
                <w:r w:rsidR="00417EEA">
                  <w:rPr>
                    <w:noProof/>
                    <w:webHidden/>
                  </w:rPr>
                  <w:t>4</w:t>
                </w:r>
                <w:r w:rsidR="00417EEA">
                  <w:rPr>
                    <w:noProof/>
                    <w:webHidden/>
                  </w:rPr>
                  <w:fldChar w:fldCharType="end"/>
                </w:r>
              </w:hyperlink>
            </w:p>
            <w:p w:rsidR="00417EEA" w:rsidRDefault="00DE555B" w14:paraId="476A7227" w14:textId="3413C27A">
              <w:pPr>
                <w:pStyle w:val="TOC2"/>
                <w:tabs>
                  <w:tab w:val="right" w:leader="dot" w:pos="9016"/>
                </w:tabs>
                <w:rPr>
                  <w:noProof/>
                </w:rPr>
              </w:pPr>
              <w:hyperlink w:history="1" w:anchor="_Toc97532309">
                <w:r w:rsidRPr="00BE1668" w:rsidR="00417EEA">
                  <w:rPr>
                    <w:rStyle w:val="Hyperlink"/>
                    <w:rFonts w:ascii="Arial Nova Light" w:hAnsi="Arial Nova Light" w:eastAsia="Verdana" w:cs="Verdana"/>
                    <w:b/>
                    <w:noProof/>
                    <w:lang w:val="en-US"/>
                  </w:rPr>
                  <w:t>The Board / Senior Partners</w:t>
                </w:r>
                <w:r w:rsidR="00417EEA">
                  <w:rPr>
                    <w:noProof/>
                    <w:webHidden/>
                  </w:rPr>
                  <w:tab/>
                </w:r>
                <w:r w:rsidR="00417EEA">
                  <w:rPr>
                    <w:noProof/>
                    <w:webHidden/>
                  </w:rPr>
                  <w:fldChar w:fldCharType="begin"/>
                </w:r>
                <w:r w:rsidR="00417EEA">
                  <w:rPr>
                    <w:noProof/>
                    <w:webHidden/>
                  </w:rPr>
                  <w:instrText xml:space="preserve"> PAGEREF _Toc97532309 \h </w:instrText>
                </w:r>
                <w:r w:rsidR="00417EEA">
                  <w:rPr>
                    <w:noProof/>
                    <w:webHidden/>
                  </w:rPr>
                </w:r>
                <w:r w:rsidR="00417EEA">
                  <w:rPr>
                    <w:noProof/>
                    <w:webHidden/>
                  </w:rPr>
                  <w:fldChar w:fldCharType="separate"/>
                </w:r>
                <w:r w:rsidR="00417EEA">
                  <w:rPr>
                    <w:noProof/>
                    <w:webHidden/>
                  </w:rPr>
                  <w:t>4</w:t>
                </w:r>
                <w:r w:rsidR="00417EEA">
                  <w:rPr>
                    <w:noProof/>
                    <w:webHidden/>
                  </w:rPr>
                  <w:fldChar w:fldCharType="end"/>
                </w:r>
              </w:hyperlink>
            </w:p>
            <w:p w:rsidR="00417EEA" w:rsidRDefault="00DE555B" w14:paraId="59AA2BE4" w14:textId="1D2AE1EE">
              <w:pPr>
                <w:pStyle w:val="TOC2"/>
                <w:tabs>
                  <w:tab w:val="right" w:leader="dot" w:pos="9016"/>
                </w:tabs>
                <w:rPr>
                  <w:noProof/>
                </w:rPr>
              </w:pPr>
              <w:hyperlink w:history="1" w:anchor="_Toc97532310">
                <w:r w:rsidRPr="00BE1668" w:rsidR="00417EEA">
                  <w:rPr>
                    <w:rStyle w:val="Hyperlink"/>
                    <w:rFonts w:ascii="Arial Nova Light" w:hAnsi="Arial Nova Light" w:eastAsia="Verdana" w:cs="Verdana"/>
                    <w:b/>
                    <w:noProof/>
                    <w:lang w:val="en-US"/>
                  </w:rPr>
                  <w:t>Senior Information Risk Officer (SIRO)</w:t>
                </w:r>
                <w:r w:rsidR="00417EEA">
                  <w:rPr>
                    <w:noProof/>
                    <w:webHidden/>
                  </w:rPr>
                  <w:tab/>
                </w:r>
                <w:r w:rsidR="00417EEA">
                  <w:rPr>
                    <w:noProof/>
                    <w:webHidden/>
                  </w:rPr>
                  <w:fldChar w:fldCharType="begin"/>
                </w:r>
                <w:r w:rsidR="00417EEA">
                  <w:rPr>
                    <w:noProof/>
                    <w:webHidden/>
                  </w:rPr>
                  <w:instrText xml:space="preserve"> PAGEREF _Toc97532310 \h </w:instrText>
                </w:r>
                <w:r w:rsidR="00417EEA">
                  <w:rPr>
                    <w:noProof/>
                    <w:webHidden/>
                  </w:rPr>
                </w:r>
                <w:r w:rsidR="00417EEA">
                  <w:rPr>
                    <w:noProof/>
                    <w:webHidden/>
                  </w:rPr>
                  <w:fldChar w:fldCharType="separate"/>
                </w:r>
                <w:r w:rsidR="00417EEA">
                  <w:rPr>
                    <w:noProof/>
                    <w:webHidden/>
                  </w:rPr>
                  <w:t>5</w:t>
                </w:r>
                <w:r w:rsidR="00417EEA">
                  <w:rPr>
                    <w:noProof/>
                    <w:webHidden/>
                  </w:rPr>
                  <w:fldChar w:fldCharType="end"/>
                </w:r>
              </w:hyperlink>
            </w:p>
            <w:p w:rsidR="00417EEA" w:rsidRDefault="00DE555B" w14:paraId="7062AEFB" w14:textId="3E58F210">
              <w:pPr>
                <w:pStyle w:val="TOC2"/>
                <w:tabs>
                  <w:tab w:val="right" w:leader="dot" w:pos="9016"/>
                </w:tabs>
                <w:rPr>
                  <w:noProof/>
                </w:rPr>
              </w:pPr>
              <w:hyperlink w:history="1" w:anchor="_Toc97532311">
                <w:r w:rsidRPr="00BE1668" w:rsidR="00417EEA">
                  <w:rPr>
                    <w:rStyle w:val="Hyperlink"/>
                    <w:rFonts w:ascii="Arial Nova Light" w:hAnsi="Arial Nova Light" w:eastAsia="Verdana" w:cs="Verdana"/>
                    <w:b/>
                    <w:noProof/>
                    <w:lang w:val="en-US"/>
                  </w:rPr>
                  <w:t>System Administrators / Information Asset Owners (IAOs)</w:t>
                </w:r>
                <w:r w:rsidR="00417EEA">
                  <w:rPr>
                    <w:noProof/>
                    <w:webHidden/>
                  </w:rPr>
                  <w:tab/>
                </w:r>
                <w:r w:rsidR="00417EEA">
                  <w:rPr>
                    <w:noProof/>
                    <w:webHidden/>
                  </w:rPr>
                  <w:fldChar w:fldCharType="begin"/>
                </w:r>
                <w:r w:rsidR="00417EEA">
                  <w:rPr>
                    <w:noProof/>
                    <w:webHidden/>
                  </w:rPr>
                  <w:instrText xml:space="preserve"> PAGEREF _Toc97532311 \h </w:instrText>
                </w:r>
                <w:r w:rsidR="00417EEA">
                  <w:rPr>
                    <w:noProof/>
                    <w:webHidden/>
                  </w:rPr>
                </w:r>
                <w:r w:rsidR="00417EEA">
                  <w:rPr>
                    <w:noProof/>
                    <w:webHidden/>
                  </w:rPr>
                  <w:fldChar w:fldCharType="separate"/>
                </w:r>
                <w:r w:rsidR="00417EEA">
                  <w:rPr>
                    <w:noProof/>
                    <w:webHidden/>
                  </w:rPr>
                  <w:t>5</w:t>
                </w:r>
                <w:r w:rsidR="00417EEA">
                  <w:rPr>
                    <w:noProof/>
                    <w:webHidden/>
                  </w:rPr>
                  <w:fldChar w:fldCharType="end"/>
                </w:r>
              </w:hyperlink>
            </w:p>
            <w:p w:rsidR="00417EEA" w:rsidRDefault="00DE555B" w14:paraId="14DFB545" w14:textId="7FF70667">
              <w:pPr>
                <w:pStyle w:val="TOC2"/>
                <w:tabs>
                  <w:tab w:val="right" w:leader="dot" w:pos="9016"/>
                </w:tabs>
                <w:rPr>
                  <w:noProof/>
                </w:rPr>
              </w:pPr>
              <w:hyperlink w:history="1" w:anchor="_Toc97532312">
                <w:r w:rsidRPr="00BE1668" w:rsidR="00417EEA">
                  <w:rPr>
                    <w:rStyle w:val="Hyperlink"/>
                    <w:rFonts w:ascii="Arial Nova Light" w:hAnsi="Arial Nova Light" w:eastAsia="Verdana" w:cs="Verdana"/>
                    <w:b/>
                    <w:noProof/>
                    <w:lang w:val="en-US"/>
                  </w:rPr>
                  <w:t xml:space="preserve">Caldicott </w:t>
                </w:r>
                <w:r w:rsidRPr="00BE1668" w:rsidR="00417EEA">
                  <w:rPr>
                    <w:rStyle w:val="Hyperlink"/>
                    <w:b/>
                    <w:noProof/>
                  </w:rPr>
                  <w:t>Guardian</w:t>
                </w:r>
                <w:r w:rsidRPr="00BE1668" w:rsidR="00417EEA">
                  <w:rPr>
                    <w:rStyle w:val="Hyperlink"/>
                    <w:rFonts w:ascii="Arial Nova Light" w:hAnsi="Arial Nova Light" w:eastAsia="Verdana" w:cs="Verdana"/>
                    <w:b/>
                    <w:noProof/>
                    <w:lang w:val="en-US"/>
                  </w:rPr>
                  <w:t xml:space="preserve"> Function</w:t>
                </w:r>
                <w:r w:rsidR="00417EEA">
                  <w:rPr>
                    <w:noProof/>
                    <w:webHidden/>
                  </w:rPr>
                  <w:tab/>
                </w:r>
                <w:r w:rsidR="00417EEA">
                  <w:rPr>
                    <w:noProof/>
                    <w:webHidden/>
                  </w:rPr>
                  <w:fldChar w:fldCharType="begin"/>
                </w:r>
                <w:r w:rsidR="00417EEA">
                  <w:rPr>
                    <w:noProof/>
                    <w:webHidden/>
                  </w:rPr>
                  <w:instrText xml:space="preserve"> PAGEREF _Toc97532312 \h </w:instrText>
                </w:r>
                <w:r w:rsidR="00417EEA">
                  <w:rPr>
                    <w:noProof/>
                    <w:webHidden/>
                  </w:rPr>
                </w:r>
                <w:r w:rsidR="00417EEA">
                  <w:rPr>
                    <w:noProof/>
                    <w:webHidden/>
                  </w:rPr>
                  <w:fldChar w:fldCharType="separate"/>
                </w:r>
                <w:r w:rsidR="00417EEA">
                  <w:rPr>
                    <w:noProof/>
                    <w:webHidden/>
                  </w:rPr>
                  <w:t>5</w:t>
                </w:r>
                <w:r w:rsidR="00417EEA">
                  <w:rPr>
                    <w:noProof/>
                    <w:webHidden/>
                  </w:rPr>
                  <w:fldChar w:fldCharType="end"/>
                </w:r>
              </w:hyperlink>
            </w:p>
            <w:p w:rsidR="00417EEA" w:rsidRDefault="00DE555B" w14:paraId="6539C2B3" w14:textId="3D4D0289">
              <w:pPr>
                <w:pStyle w:val="TOC2"/>
                <w:tabs>
                  <w:tab w:val="right" w:leader="dot" w:pos="9016"/>
                </w:tabs>
                <w:rPr>
                  <w:noProof/>
                </w:rPr>
              </w:pPr>
              <w:hyperlink w:history="1" w:anchor="_Toc97532313">
                <w:r w:rsidRPr="00BE1668" w:rsidR="00417EEA">
                  <w:rPr>
                    <w:rStyle w:val="Hyperlink"/>
                    <w:rFonts w:ascii="Arial Nova Light" w:hAnsi="Arial Nova Light" w:eastAsia="Verdana" w:cs="Verdana"/>
                    <w:b/>
                    <w:noProof/>
                    <w:lang w:val="en-US"/>
                  </w:rPr>
                  <w:t>Data Protection Officer (DPO)</w:t>
                </w:r>
                <w:r w:rsidR="00417EEA">
                  <w:rPr>
                    <w:noProof/>
                    <w:webHidden/>
                  </w:rPr>
                  <w:tab/>
                </w:r>
                <w:r w:rsidR="00417EEA">
                  <w:rPr>
                    <w:noProof/>
                    <w:webHidden/>
                  </w:rPr>
                  <w:fldChar w:fldCharType="begin"/>
                </w:r>
                <w:r w:rsidR="00417EEA">
                  <w:rPr>
                    <w:noProof/>
                    <w:webHidden/>
                  </w:rPr>
                  <w:instrText xml:space="preserve"> PAGEREF _Toc97532313 \h </w:instrText>
                </w:r>
                <w:r w:rsidR="00417EEA">
                  <w:rPr>
                    <w:noProof/>
                    <w:webHidden/>
                  </w:rPr>
                </w:r>
                <w:r w:rsidR="00417EEA">
                  <w:rPr>
                    <w:noProof/>
                    <w:webHidden/>
                  </w:rPr>
                  <w:fldChar w:fldCharType="separate"/>
                </w:r>
                <w:r w:rsidR="00417EEA">
                  <w:rPr>
                    <w:noProof/>
                    <w:webHidden/>
                  </w:rPr>
                  <w:t>5</w:t>
                </w:r>
                <w:r w:rsidR="00417EEA">
                  <w:rPr>
                    <w:noProof/>
                    <w:webHidden/>
                  </w:rPr>
                  <w:fldChar w:fldCharType="end"/>
                </w:r>
              </w:hyperlink>
            </w:p>
            <w:p w:rsidR="00417EEA" w:rsidRDefault="00DE555B" w14:paraId="73EF346D" w14:textId="49C47FE6">
              <w:pPr>
                <w:pStyle w:val="TOC2"/>
                <w:tabs>
                  <w:tab w:val="right" w:leader="dot" w:pos="9016"/>
                </w:tabs>
                <w:rPr>
                  <w:noProof/>
                </w:rPr>
              </w:pPr>
              <w:hyperlink w:history="1" w:anchor="_Toc97532314">
                <w:r w:rsidRPr="00BE1668" w:rsidR="00417EEA">
                  <w:rPr>
                    <w:rStyle w:val="Hyperlink"/>
                    <w:rFonts w:ascii="Arial Nova Light" w:hAnsi="Arial Nova Light" w:eastAsia="Verdana" w:cs="Verdana"/>
                    <w:b/>
                    <w:noProof/>
                    <w:lang w:val="en-US"/>
                  </w:rPr>
                  <w:t>All Staff</w:t>
                </w:r>
                <w:r w:rsidR="00417EEA">
                  <w:rPr>
                    <w:noProof/>
                    <w:webHidden/>
                  </w:rPr>
                  <w:tab/>
                </w:r>
                <w:r w:rsidR="00417EEA">
                  <w:rPr>
                    <w:noProof/>
                    <w:webHidden/>
                  </w:rPr>
                  <w:fldChar w:fldCharType="begin"/>
                </w:r>
                <w:r w:rsidR="00417EEA">
                  <w:rPr>
                    <w:noProof/>
                    <w:webHidden/>
                  </w:rPr>
                  <w:instrText xml:space="preserve"> PAGEREF _Toc97532314 \h </w:instrText>
                </w:r>
                <w:r w:rsidR="00417EEA">
                  <w:rPr>
                    <w:noProof/>
                    <w:webHidden/>
                  </w:rPr>
                </w:r>
                <w:r w:rsidR="00417EEA">
                  <w:rPr>
                    <w:noProof/>
                    <w:webHidden/>
                  </w:rPr>
                  <w:fldChar w:fldCharType="separate"/>
                </w:r>
                <w:r w:rsidR="00417EEA">
                  <w:rPr>
                    <w:noProof/>
                    <w:webHidden/>
                  </w:rPr>
                  <w:t>6</w:t>
                </w:r>
                <w:r w:rsidR="00417EEA">
                  <w:rPr>
                    <w:noProof/>
                    <w:webHidden/>
                  </w:rPr>
                  <w:fldChar w:fldCharType="end"/>
                </w:r>
              </w:hyperlink>
            </w:p>
            <w:p w:rsidR="00417EEA" w:rsidRDefault="00DE555B" w14:paraId="3ABB2CEA" w14:textId="514C1152">
              <w:pPr>
                <w:pStyle w:val="TOC1"/>
                <w:tabs>
                  <w:tab w:val="left" w:pos="440"/>
                  <w:tab w:val="right" w:leader="dot" w:pos="9016"/>
                </w:tabs>
                <w:rPr>
                  <w:rFonts w:asciiTheme="minorHAnsi" w:hAnsiTheme="minorHAnsi" w:eastAsiaTheme="minorEastAsia"/>
                  <w:noProof/>
                  <w:szCs w:val="22"/>
                  <w:lang w:eastAsia="en-GB"/>
                </w:rPr>
              </w:pPr>
              <w:hyperlink w:history="1" w:anchor="_Toc97532315">
                <w:r w:rsidRPr="00BE1668" w:rsidR="00417EEA">
                  <w:rPr>
                    <w:rStyle w:val="Hyperlink"/>
                    <w:noProof/>
                  </w:rPr>
                  <w:t>7.</w:t>
                </w:r>
                <w:r w:rsidR="00417EEA">
                  <w:rPr>
                    <w:rFonts w:asciiTheme="minorHAnsi" w:hAnsiTheme="minorHAnsi" w:eastAsiaTheme="minorEastAsia"/>
                    <w:noProof/>
                    <w:szCs w:val="22"/>
                    <w:lang w:eastAsia="en-GB"/>
                  </w:rPr>
                  <w:tab/>
                </w:r>
                <w:r w:rsidRPr="00BE1668" w:rsidR="00417EEA">
                  <w:rPr>
                    <w:rStyle w:val="Hyperlink"/>
                    <w:noProof/>
                  </w:rPr>
                  <w:t>TRANSPARENCY</w:t>
                </w:r>
                <w:r w:rsidR="00417EEA">
                  <w:rPr>
                    <w:noProof/>
                    <w:webHidden/>
                  </w:rPr>
                  <w:tab/>
                </w:r>
                <w:r w:rsidR="00417EEA">
                  <w:rPr>
                    <w:noProof/>
                    <w:webHidden/>
                  </w:rPr>
                  <w:fldChar w:fldCharType="begin"/>
                </w:r>
                <w:r w:rsidR="00417EEA">
                  <w:rPr>
                    <w:noProof/>
                    <w:webHidden/>
                  </w:rPr>
                  <w:instrText xml:space="preserve"> PAGEREF _Toc97532315 \h </w:instrText>
                </w:r>
                <w:r w:rsidR="00417EEA">
                  <w:rPr>
                    <w:noProof/>
                    <w:webHidden/>
                  </w:rPr>
                </w:r>
                <w:r w:rsidR="00417EEA">
                  <w:rPr>
                    <w:noProof/>
                    <w:webHidden/>
                  </w:rPr>
                  <w:fldChar w:fldCharType="separate"/>
                </w:r>
                <w:r w:rsidR="00417EEA">
                  <w:rPr>
                    <w:noProof/>
                    <w:webHidden/>
                  </w:rPr>
                  <w:t>6</w:t>
                </w:r>
                <w:r w:rsidR="00417EEA">
                  <w:rPr>
                    <w:noProof/>
                    <w:webHidden/>
                  </w:rPr>
                  <w:fldChar w:fldCharType="end"/>
                </w:r>
              </w:hyperlink>
            </w:p>
            <w:p w:rsidR="00417EEA" w:rsidRDefault="00DE555B" w14:paraId="39B6D577" w14:textId="46E98155">
              <w:pPr>
                <w:pStyle w:val="TOC1"/>
                <w:tabs>
                  <w:tab w:val="left" w:pos="440"/>
                  <w:tab w:val="right" w:leader="dot" w:pos="9016"/>
                </w:tabs>
                <w:rPr>
                  <w:rFonts w:asciiTheme="minorHAnsi" w:hAnsiTheme="minorHAnsi" w:eastAsiaTheme="minorEastAsia"/>
                  <w:noProof/>
                  <w:szCs w:val="22"/>
                  <w:lang w:eastAsia="en-GB"/>
                </w:rPr>
              </w:pPr>
              <w:hyperlink w:history="1" w:anchor="_Toc97532316">
                <w:r w:rsidRPr="00BE1668" w:rsidR="00417EEA">
                  <w:rPr>
                    <w:rStyle w:val="Hyperlink"/>
                    <w:noProof/>
                  </w:rPr>
                  <w:t>8.</w:t>
                </w:r>
                <w:r w:rsidR="00417EEA">
                  <w:rPr>
                    <w:rFonts w:asciiTheme="minorHAnsi" w:hAnsiTheme="minorHAnsi" w:eastAsiaTheme="minorEastAsia"/>
                    <w:noProof/>
                    <w:szCs w:val="22"/>
                    <w:lang w:eastAsia="en-GB"/>
                  </w:rPr>
                  <w:tab/>
                </w:r>
                <w:r w:rsidRPr="00BE1668" w:rsidR="00417EEA">
                  <w:rPr>
                    <w:rStyle w:val="Hyperlink"/>
                    <w:noProof/>
                  </w:rPr>
                  <w:t>PRIVACY AND INFORMATION RIGHTS</w:t>
                </w:r>
                <w:r w:rsidR="00417EEA">
                  <w:rPr>
                    <w:noProof/>
                    <w:webHidden/>
                  </w:rPr>
                  <w:tab/>
                </w:r>
                <w:r w:rsidR="00417EEA">
                  <w:rPr>
                    <w:noProof/>
                    <w:webHidden/>
                  </w:rPr>
                  <w:fldChar w:fldCharType="begin"/>
                </w:r>
                <w:r w:rsidR="00417EEA">
                  <w:rPr>
                    <w:noProof/>
                    <w:webHidden/>
                  </w:rPr>
                  <w:instrText xml:space="preserve"> PAGEREF _Toc97532316 \h </w:instrText>
                </w:r>
                <w:r w:rsidR="00417EEA">
                  <w:rPr>
                    <w:noProof/>
                    <w:webHidden/>
                  </w:rPr>
                </w:r>
                <w:r w:rsidR="00417EEA">
                  <w:rPr>
                    <w:noProof/>
                    <w:webHidden/>
                  </w:rPr>
                  <w:fldChar w:fldCharType="separate"/>
                </w:r>
                <w:r w:rsidR="00417EEA">
                  <w:rPr>
                    <w:noProof/>
                    <w:webHidden/>
                  </w:rPr>
                  <w:t>6</w:t>
                </w:r>
                <w:r w:rsidR="00417EEA">
                  <w:rPr>
                    <w:noProof/>
                    <w:webHidden/>
                  </w:rPr>
                  <w:fldChar w:fldCharType="end"/>
                </w:r>
              </w:hyperlink>
            </w:p>
            <w:p w:rsidR="00417EEA" w:rsidRDefault="00DE555B" w14:paraId="36280282" w14:textId="6212899A">
              <w:pPr>
                <w:pStyle w:val="TOC1"/>
                <w:tabs>
                  <w:tab w:val="left" w:pos="440"/>
                  <w:tab w:val="right" w:leader="dot" w:pos="9016"/>
                </w:tabs>
                <w:rPr>
                  <w:rFonts w:asciiTheme="minorHAnsi" w:hAnsiTheme="minorHAnsi" w:eastAsiaTheme="minorEastAsia"/>
                  <w:noProof/>
                  <w:szCs w:val="22"/>
                  <w:lang w:eastAsia="en-GB"/>
                </w:rPr>
              </w:pPr>
              <w:hyperlink w:history="1" w:anchor="_Toc97532317">
                <w:r w:rsidRPr="00BE1668" w:rsidR="00417EEA">
                  <w:rPr>
                    <w:rStyle w:val="Hyperlink"/>
                    <w:noProof/>
                  </w:rPr>
                  <w:t>9.</w:t>
                </w:r>
                <w:r w:rsidR="00417EEA">
                  <w:rPr>
                    <w:rFonts w:asciiTheme="minorHAnsi" w:hAnsiTheme="minorHAnsi" w:eastAsiaTheme="minorEastAsia"/>
                    <w:noProof/>
                    <w:szCs w:val="22"/>
                    <w:lang w:eastAsia="en-GB"/>
                  </w:rPr>
                  <w:tab/>
                </w:r>
                <w:r w:rsidRPr="00BE1668" w:rsidR="00417EEA">
                  <w:rPr>
                    <w:rStyle w:val="Hyperlink"/>
                    <w:noProof/>
                  </w:rPr>
                  <w:t>INFORMATION SECURITY</w:t>
                </w:r>
                <w:r w:rsidR="00417EEA">
                  <w:rPr>
                    <w:noProof/>
                    <w:webHidden/>
                  </w:rPr>
                  <w:tab/>
                </w:r>
                <w:r w:rsidR="00417EEA">
                  <w:rPr>
                    <w:noProof/>
                    <w:webHidden/>
                  </w:rPr>
                  <w:fldChar w:fldCharType="begin"/>
                </w:r>
                <w:r w:rsidR="00417EEA">
                  <w:rPr>
                    <w:noProof/>
                    <w:webHidden/>
                  </w:rPr>
                  <w:instrText xml:space="preserve"> PAGEREF _Toc97532317 \h </w:instrText>
                </w:r>
                <w:r w:rsidR="00417EEA">
                  <w:rPr>
                    <w:noProof/>
                    <w:webHidden/>
                  </w:rPr>
                </w:r>
                <w:r w:rsidR="00417EEA">
                  <w:rPr>
                    <w:noProof/>
                    <w:webHidden/>
                  </w:rPr>
                  <w:fldChar w:fldCharType="separate"/>
                </w:r>
                <w:r w:rsidR="00417EEA">
                  <w:rPr>
                    <w:noProof/>
                    <w:webHidden/>
                  </w:rPr>
                  <w:t>7</w:t>
                </w:r>
                <w:r w:rsidR="00417EEA">
                  <w:rPr>
                    <w:noProof/>
                    <w:webHidden/>
                  </w:rPr>
                  <w:fldChar w:fldCharType="end"/>
                </w:r>
              </w:hyperlink>
            </w:p>
            <w:p w:rsidR="00417EEA" w:rsidRDefault="00DE555B" w14:paraId="37F50B9F" w14:textId="0E8D3434">
              <w:pPr>
                <w:pStyle w:val="TOC1"/>
                <w:tabs>
                  <w:tab w:val="left" w:pos="660"/>
                  <w:tab w:val="right" w:leader="dot" w:pos="9016"/>
                </w:tabs>
                <w:rPr>
                  <w:rFonts w:asciiTheme="minorHAnsi" w:hAnsiTheme="minorHAnsi" w:eastAsiaTheme="minorEastAsia"/>
                  <w:noProof/>
                  <w:szCs w:val="22"/>
                  <w:lang w:eastAsia="en-GB"/>
                </w:rPr>
              </w:pPr>
              <w:hyperlink w:history="1" w:anchor="_Toc97532318">
                <w:r w:rsidRPr="00BE1668" w:rsidR="00417EEA">
                  <w:rPr>
                    <w:rStyle w:val="Hyperlink"/>
                    <w:noProof/>
                  </w:rPr>
                  <w:t>10.</w:t>
                </w:r>
                <w:r w:rsidR="00417EEA">
                  <w:rPr>
                    <w:rFonts w:asciiTheme="minorHAnsi" w:hAnsiTheme="minorHAnsi" w:eastAsiaTheme="minorEastAsia"/>
                    <w:noProof/>
                    <w:szCs w:val="22"/>
                    <w:lang w:eastAsia="en-GB"/>
                  </w:rPr>
                  <w:tab/>
                </w:r>
                <w:r w:rsidRPr="00BE1668" w:rsidR="00417EEA">
                  <w:rPr>
                    <w:rStyle w:val="Hyperlink"/>
                    <w:noProof/>
                  </w:rPr>
                  <w:t>INFORMATION QUALITY AND RECORDS MANAGEMENT</w:t>
                </w:r>
                <w:r w:rsidR="00417EEA">
                  <w:rPr>
                    <w:noProof/>
                    <w:webHidden/>
                  </w:rPr>
                  <w:tab/>
                </w:r>
                <w:r w:rsidR="00417EEA">
                  <w:rPr>
                    <w:noProof/>
                    <w:webHidden/>
                  </w:rPr>
                  <w:fldChar w:fldCharType="begin"/>
                </w:r>
                <w:r w:rsidR="00417EEA">
                  <w:rPr>
                    <w:noProof/>
                    <w:webHidden/>
                  </w:rPr>
                  <w:instrText xml:space="preserve"> PAGEREF _Toc97532318 \h </w:instrText>
                </w:r>
                <w:r w:rsidR="00417EEA">
                  <w:rPr>
                    <w:noProof/>
                    <w:webHidden/>
                  </w:rPr>
                </w:r>
                <w:r w:rsidR="00417EEA">
                  <w:rPr>
                    <w:noProof/>
                    <w:webHidden/>
                  </w:rPr>
                  <w:fldChar w:fldCharType="separate"/>
                </w:r>
                <w:r w:rsidR="00417EEA">
                  <w:rPr>
                    <w:noProof/>
                    <w:webHidden/>
                  </w:rPr>
                  <w:t>7</w:t>
                </w:r>
                <w:r w:rsidR="00417EEA">
                  <w:rPr>
                    <w:noProof/>
                    <w:webHidden/>
                  </w:rPr>
                  <w:fldChar w:fldCharType="end"/>
                </w:r>
              </w:hyperlink>
            </w:p>
            <w:p w:rsidR="00417EEA" w:rsidRDefault="00DE555B" w14:paraId="4ECB96CC" w14:textId="4F37068D">
              <w:pPr>
                <w:pStyle w:val="TOC1"/>
                <w:tabs>
                  <w:tab w:val="right" w:leader="dot" w:pos="9016"/>
                </w:tabs>
                <w:rPr>
                  <w:rFonts w:asciiTheme="minorHAnsi" w:hAnsiTheme="minorHAnsi" w:eastAsiaTheme="minorEastAsia"/>
                  <w:noProof/>
                  <w:szCs w:val="22"/>
                  <w:lang w:eastAsia="en-GB"/>
                </w:rPr>
              </w:pPr>
              <w:hyperlink w:history="1" w:anchor="_Toc97532319">
                <w:r w:rsidRPr="00BE1668" w:rsidR="00417EEA">
                  <w:rPr>
                    <w:rStyle w:val="Hyperlink"/>
                    <w:noProof/>
                  </w:rPr>
                  <w:t>PROTOCOLS BENEATH THIS POLICY</w:t>
                </w:r>
                <w:r w:rsidR="00417EEA">
                  <w:rPr>
                    <w:noProof/>
                    <w:webHidden/>
                  </w:rPr>
                  <w:tab/>
                </w:r>
                <w:r w:rsidR="00417EEA">
                  <w:rPr>
                    <w:noProof/>
                    <w:webHidden/>
                  </w:rPr>
                  <w:fldChar w:fldCharType="begin"/>
                </w:r>
                <w:r w:rsidR="00417EEA">
                  <w:rPr>
                    <w:noProof/>
                    <w:webHidden/>
                  </w:rPr>
                  <w:instrText xml:space="preserve"> PAGEREF _Toc97532319 \h </w:instrText>
                </w:r>
                <w:r w:rsidR="00417EEA">
                  <w:rPr>
                    <w:noProof/>
                    <w:webHidden/>
                  </w:rPr>
                </w:r>
                <w:r w:rsidR="00417EEA">
                  <w:rPr>
                    <w:noProof/>
                    <w:webHidden/>
                  </w:rPr>
                  <w:fldChar w:fldCharType="separate"/>
                </w:r>
                <w:r w:rsidR="00417EEA">
                  <w:rPr>
                    <w:noProof/>
                    <w:webHidden/>
                  </w:rPr>
                  <w:t>8</w:t>
                </w:r>
                <w:r w:rsidR="00417EEA">
                  <w:rPr>
                    <w:noProof/>
                    <w:webHidden/>
                  </w:rPr>
                  <w:fldChar w:fldCharType="end"/>
                </w:r>
              </w:hyperlink>
            </w:p>
            <w:p w:rsidR="00417EEA" w:rsidRDefault="00DE555B" w14:paraId="7364E740" w14:textId="2EFD795C">
              <w:pPr>
                <w:pStyle w:val="TOC1"/>
                <w:tabs>
                  <w:tab w:val="left" w:pos="660"/>
                  <w:tab w:val="right" w:leader="dot" w:pos="9016"/>
                </w:tabs>
                <w:rPr>
                  <w:rFonts w:asciiTheme="minorHAnsi" w:hAnsiTheme="minorHAnsi" w:eastAsiaTheme="minorEastAsia"/>
                  <w:noProof/>
                  <w:szCs w:val="22"/>
                  <w:lang w:eastAsia="en-GB"/>
                </w:rPr>
              </w:pPr>
              <w:hyperlink w:history="1" w:anchor="_Toc97532320">
                <w:r w:rsidRPr="00BE1668" w:rsidR="00417EEA">
                  <w:rPr>
                    <w:rStyle w:val="Hyperlink"/>
                    <w:noProof/>
                  </w:rPr>
                  <w:t>11.</w:t>
                </w:r>
                <w:r w:rsidR="00417EEA">
                  <w:rPr>
                    <w:rFonts w:asciiTheme="minorHAnsi" w:hAnsiTheme="minorHAnsi" w:eastAsiaTheme="minorEastAsia"/>
                    <w:noProof/>
                    <w:szCs w:val="22"/>
                    <w:lang w:eastAsia="en-GB"/>
                  </w:rPr>
                  <w:tab/>
                </w:r>
                <w:r w:rsidRPr="00BE1668" w:rsidR="00417EEA">
                  <w:rPr>
                    <w:rStyle w:val="Hyperlink"/>
                    <w:noProof/>
                  </w:rPr>
                  <w:t>APPLICATION AND AUDIT</w:t>
                </w:r>
                <w:r w:rsidR="00417EEA">
                  <w:rPr>
                    <w:noProof/>
                    <w:webHidden/>
                  </w:rPr>
                  <w:tab/>
                </w:r>
                <w:r w:rsidR="00417EEA">
                  <w:rPr>
                    <w:noProof/>
                    <w:webHidden/>
                  </w:rPr>
                  <w:fldChar w:fldCharType="begin"/>
                </w:r>
                <w:r w:rsidR="00417EEA">
                  <w:rPr>
                    <w:noProof/>
                    <w:webHidden/>
                  </w:rPr>
                  <w:instrText xml:space="preserve"> PAGEREF _Toc97532320 \h </w:instrText>
                </w:r>
                <w:r w:rsidR="00417EEA">
                  <w:rPr>
                    <w:noProof/>
                    <w:webHidden/>
                  </w:rPr>
                </w:r>
                <w:r w:rsidR="00417EEA">
                  <w:rPr>
                    <w:noProof/>
                    <w:webHidden/>
                  </w:rPr>
                  <w:fldChar w:fldCharType="separate"/>
                </w:r>
                <w:r w:rsidR="00417EEA">
                  <w:rPr>
                    <w:noProof/>
                    <w:webHidden/>
                  </w:rPr>
                  <w:t>8</w:t>
                </w:r>
                <w:r w:rsidR="00417EEA">
                  <w:rPr>
                    <w:noProof/>
                    <w:webHidden/>
                  </w:rPr>
                  <w:fldChar w:fldCharType="end"/>
                </w:r>
              </w:hyperlink>
            </w:p>
            <w:p w:rsidR="005E68D9" w:rsidRDefault="005E68D9" w14:paraId="4FB3BA89" w14:textId="0108659C">
              <w:r>
                <w:rPr>
                  <w:b/>
                  <w:bCs/>
                  <w:noProof/>
                </w:rPr>
                <w:fldChar w:fldCharType="end"/>
              </w:r>
            </w:p>
          </w:sdtContent>
        </w:sdt>
        <w:p w:rsidRPr="00546579" w:rsidR="003D3B97" w:rsidP="00ED74A3" w:rsidRDefault="003D3B97" w14:paraId="028C8034" w14:textId="77777777">
          <w:pPr>
            <w:rPr>
              <w:noProof/>
              <w:sz w:val="24"/>
            </w:rPr>
          </w:pPr>
        </w:p>
        <w:p w:rsidR="00ED74A3" w:rsidP="005F5665" w:rsidRDefault="006919D1" w14:paraId="42F1BF9A" w14:textId="02AAF3B9">
          <w:pPr>
            <w:pStyle w:val="Style1"/>
            <w:ind w:left="360"/>
            <w:rPr>
              <w:noProof/>
            </w:rPr>
          </w:pPr>
          <w:bookmarkStart w:name="_Toc97532303" w:id="0"/>
          <w:r>
            <w:t>INTRODUCTION</w:t>
          </w:r>
          <w:bookmarkEnd w:id="0"/>
        </w:p>
        <w:p w:rsidR="008F0E90" w:rsidP="00ED74A3" w:rsidRDefault="008F0E90" w14:paraId="0B1F0ABF" w14:textId="77777777">
          <w:pPr>
            <w:rPr>
              <w:noProof/>
            </w:rPr>
          </w:pPr>
        </w:p>
        <w:p w:rsidR="00142FDD" w:rsidP="00142FDD" w:rsidRDefault="00142FDD" w14:paraId="07FB490F" w14:textId="77777777">
          <w:pPr>
            <w:rPr>
              <w:noProof/>
            </w:rPr>
          </w:pPr>
          <w:r>
            <w:rPr>
              <w:noProof/>
            </w:rPr>
            <w:t>Information Governance (IG) is a set of multi-disciplinary structures, policies, procedures, processes and controls implemented to manage information at an organisational level. Information Governance supports our immediate and future regulatory, legal, risk, environmental and operational requirements.</w:t>
          </w:r>
        </w:p>
        <w:p w:rsidR="00142FDD" w:rsidP="00142FDD" w:rsidRDefault="00142FDD" w14:paraId="4E2E80C4" w14:textId="77777777">
          <w:pPr>
            <w:rPr>
              <w:noProof/>
            </w:rPr>
          </w:pPr>
          <w:r>
            <w:rPr>
              <w:noProof/>
            </w:rPr>
            <w:t>Information is a vital asset, both in terms of the organisational development and the efficient management of services and resources. It plays a key part in governance, service planning and performance management.</w:t>
          </w:r>
        </w:p>
        <w:p w:rsidR="00142FDD" w:rsidP="00142FDD" w:rsidRDefault="00142FDD" w14:paraId="690EC182" w14:textId="77777777">
          <w:pPr>
            <w:rPr>
              <w:noProof/>
            </w:rPr>
          </w:pPr>
        </w:p>
        <w:p w:rsidR="00970556" w:rsidP="00142FDD" w:rsidRDefault="00142FDD" w14:paraId="430CB58C" w14:textId="77777777">
          <w:pPr>
            <w:rPr>
              <w:noProof/>
            </w:rPr>
          </w:pPr>
          <w:r>
            <w:rPr>
              <w:noProof/>
            </w:rPr>
            <w:t>It is therefore of critical importance to ensure that information is appropriately managed, and that policies, procedures and management accountability and structures provide a robust governance framework for information management.</w:t>
          </w:r>
        </w:p>
        <w:p w:rsidR="00970556" w:rsidP="00970556" w:rsidRDefault="00970556" w14:paraId="2C2C16B4" w14:textId="77777777">
          <w:pPr>
            <w:rPr>
              <w:rFonts w:cs="Verdana"/>
              <w:bCs/>
            </w:rPr>
          </w:pPr>
        </w:p>
        <w:p w:rsidR="00970556" w:rsidP="00970556" w:rsidRDefault="00DE555B" w14:paraId="599D9A0B" w14:textId="558D636C">
          <w:pPr>
            <w:rPr>
              <w:rFonts w:cs="Verdana"/>
            </w:rPr>
          </w:pPr>
          <w:sdt>
            <w:sdtPr>
              <w:rPr>
                <w:rFonts w:cs="Verdana"/>
                <w:bCs/>
              </w:rPr>
              <w:alias w:val="Organisation Name"/>
              <w:tag w:val="Organisation Name"/>
              <w:id w:val="1714768840"/>
              <w:placeholder>
                <w:docPart w:val="CEFA658C5E98479BB14EDFF27C9EC858"/>
              </w:placeholder>
              <w:showingPlcHdr/>
              <w:text/>
            </w:sdtPr>
            <w:sdtEndPr/>
            <w:sdtContent>
              <w:r w:rsidRPr="00D446B9" w:rsidR="00970556">
                <w:rPr>
                  <w:rFonts w:cs="Verdana"/>
                  <w:bCs/>
                </w:rPr>
                <w:t>Upwell Health Centre and Welle Ltd (Pharmacy)</w:t>
              </w:r>
            </w:sdtContent>
          </w:sdt>
          <w:r w:rsidRPr="002D5A95" w:rsidR="00970556">
            <w:rPr>
              <w:rFonts w:cs="Verdana"/>
              <w:bCs/>
            </w:rPr>
            <w:t xml:space="preserve"> recognises the need for an appropriate balance between openness and confidentiality in the management and use of information. </w:t>
          </w:r>
          <w:r w:rsidR="00970556">
            <w:rPr>
              <w:rFonts w:cs="Verdana"/>
              <w:bCs/>
            </w:rPr>
            <w:t>We</w:t>
          </w:r>
          <w:r w:rsidRPr="002D5A95" w:rsidR="00970556">
            <w:rPr>
              <w:rFonts w:cs="Verdana"/>
              <w:bCs/>
            </w:rPr>
            <w:t xml:space="preserve"> fully support the principles of clinical and corporate governance and recognise the power of public accountability</w:t>
          </w:r>
          <w:r w:rsidR="00970556">
            <w:rPr>
              <w:rFonts w:cs="Verdana"/>
              <w:bCs/>
            </w:rPr>
            <w:t>. E</w:t>
          </w:r>
          <w:r w:rsidRPr="002D5A95" w:rsidR="00970556">
            <w:rPr>
              <w:rFonts w:cs="Verdana"/>
              <w:bCs/>
            </w:rPr>
            <w:t>qually</w:t>
          </w:r>
          <w:r w:rsidR="00970556">
            <w:rPr>
              <w:rFonts w:cs="Verdana"/>
              <w:bCs/>
            </w:rPr>
            <w:t xml:space="preserve">, we </w:t>
          </w:r>
          <w:r w:rsidRPr="002D5A95" w:rsidR="00970556">
            <w:rPr>
              <w:rFonts w:cs="Verdana"/>
              <w:bCs/>
            </w:rPr>
            <w:t xml:space="preserve">place importance on the confidentiality of and the security </w:t>
          </w:r>
          <w:r w:rsidR="00970556">
            <w:rPr>
              <w:rFonts w:cs="Verdana"/>
              <w:bCs/>
            </w:rPr>
            <w:t xml:space="preserve">of </w:t>
          </w:r>
          <w:r w:rsidRPr="002D5A95" w:rsidR="00970556">
            <w:rPr>
              <w:rFonts w:cs="Verdana"/>
              <w:bCs/>
            </w:rPr>
            <w:t xml:space="preserve">information about patients, the public and staff </w:t>
          </w:r>
          <w:r w:rsidR="00970556">
            <w:rPr>
              <w:rFonts w:cs="Verdana"/>
              <w:bCs/>
            </w:rPr>
            <w:t>as well as</w:t>
          </w:r>
          <w:r w:rsidRPr="002D5A95" w:rsidR="00970556">
            <w:rPr>
              <w:rFonts w:cs="Verdana"/>
              <w:bCs/>
            </w:rPr>
            <w:t xml:space="preserve"> commercially sensitive information. </w:t>
          </w:r>
          <w:sdt>
            <w:sdtPr>
              <w:rPr>
                <w:rFonts w:cs="Verdana"/>
                <w:bCs/>
              </w:rPr>
              <w:alias w:val="Org Name"/>
              <w:tag w:val="Org Name"/>
              <w:id w:val="-106591287"/>
              <w:placeholder>
                <w:docPart w:val="CEFA658C5E98479BB14EDFF27C9EC858"/>
              </w:placeholder>
              <w:showingPlcHdr/>
              <w:text/>
            </w:sdtPr>
            <w:sdtEndPr/>
            <w:sdtContent>
              <w:r w:rsidRPr="00107F38" w:rsidR="00970556">
                <w:rPr>
                  <w:rFonts w:cs="Verdana"/>
                  <w:bCs/>
                </w:rPr>
                <w:t>Upwell Health Centre and Welle Ltd (Pharmacy)</w:t>
              </w:r>
            </w:sdtContent>
          </w:sdt>
          <w:r w:rsidRPr="002D5A95" w:rsidR="00970556">
            <w:rPr>
              <w:rFonts w:cs="Verdana"/>
              <w:bCs/>
            </w:rPr>
            <w:t xml:space="preserve"> also recognises the need to share information with commissioners, partners and other third parties</w:t>
          </w:r>
          <w:r w:rsidRPr="00425F1C" w:rsidR="00970556">
            <w:rPr>
              <w:rFonts w:cs="Verdana"/>
            </w:rPr>
            <w:t xml:space="preserve"> in a controlled manner</w:t>
          </w:r>
          <w:r w:rsidR="00970556">
            <w:rPr>
              <w:rFonts w:cs="Verdana"/>
            </w:rPr>
            <w:t>,</w:t>
          </w:r>
          <w:r w:rsidRPr="00425F1C" w:rsidR="00970556">
            <w:rPr>
              <w:rFonts w:cs="Verdana"/>
            </w:rPr>
            <w:t xml:space="preserve"> consistent with the </w:t>
          </w:r>
          <w:r w:rsidR="00970556">
            <w:rPr>
              <w:rFonts w:cs="Verdana"/>
            </w:rPr>
            <w:t xml:space="preserve">established </w:t>
          </w:r>
          <w:r w:rsidRPr="00425F1C" w:rsidR="00970556">
            <w:rPr>
              <w:rFonts w:cs="Verdana"/>
            </w:rPr>
            <w:t>lawful basis</w:t>
          </w:r>
          <w:r w:rsidR="00970556">
            <w:rPr>
              <w:rFonts w:cs="Verdana"/>
            </w:rPr>
            <w:t>.</w:t>
          </w:r>
          <w:r w:rsidRPr="00425F1C" w:rsidR="00970556">
            <w:rPr>
              <w:rFonts w:cs="Verdana"/>
            </w:rPr>
            <w:t xml:space="preserve"> </w:t>
          </w:r>
        </w:p>
        <w:p w:rsidRPr="002D5A95" w:rsidR="00970556" w:rsidP="00970556" w:rsidRDefault="00970556" w14:paraId="0E2B7E34" w14:textId="77777777">
          <w:pPr>
            <w:rPr>
              <w:rFonts w:cs="Verdana"/>
            </w:rPr>
          </w:pPr>
          <w:r w:rsidRPr="002D5A95">
            <w:rPr>
              <w:rFonts w:cs="Verdana"/>
            </w:rPr>
            <w:lastRenderedPageBreak/>
            <w:t xml:space="preserve">This overarching Information Governance Policy and the associated protocols sets out </w:t>
          </w:r>
          <w:r>
            <w:rPr>
              <w:rFonts w:cs="Verdana"/>
            </w:rPr>
            <w:t>our</w:t>
          </w:r>
          <w:r w:rsidRPr="002D5A95">
            <w:rPr>
              <w:rFonts w:cs="Verdana"/>
            </w:rPr>
            <w:t xml:space="preserve"> </w:t>
          </w:r>
          <w:r>
            <w:rPr>
              <w:rFonts w:cs="Verdana"/>
            </w:rPr>
            <w:t>approach</w:t>
          </w:r>
          <w:r w:rsidRPr="002D5A95">
            <w:rPr>
              <w:rFonts w:cs="Verdana"/>
            </w:rPr>
            <w:t xml:space="preserve"> with respect to the governance </w:t>
          </w:r>
          <w:proofErr w:type="gramStart"/>
          <w:r w:rsidRPr="002D5A95">
            <w:rPr>
              <w:rFonts w:cs="Verdana"/>
            </w:rPr>
            <w:t>of;</w:t>
          </w:r>
          <w:proofErr w:type="gramEnd"/>
        </w:p>
        <w:p w:rsidRPr="00AF1E4C" w:rsidR="00970556" w:rsidP="00970556" w:rsidRDefault="00970556" w14:paraId="35953B14" w14:textId="77777777">
          <w:pPr>
            <w:pStyle w:val="ListParagraph"/>
            <w:numPr>
              <w:ilvl w:val="0"/>
              <w:numId w:val="19"/>
            </w:numPr>
            <w:rPr>
              <w:rFonts w:cs="Verdana"/>
            </w:rPr>
          </w:pPr>
          <w:r>
            <w:rPr>
              <w:rFonts w:cs="Verdana"/>
            </w:rPr>
            <w:t>Data Protection and Privacy</w:t>
          </w:r>
        </w:p>
        <w:p w:rsidRPr="00AF1E4C" w:rsidR="00970556" w:rsidP="00970556" w:rsidRDefault="00970556" w14:paraId="39082BDC" w14:textId="77777777">
          <w:pPr>
            <w:pStyle w:val="ListParagraph"/>
            <w:numPr>
              <w:ilvl w:val="0"/>
              <w:numId w:val="19"/>
            </w:numPr>
            <w:rPr>
              <w:rFonts w:cs="Verdana"/>
            </w:rPr>
          </w:pPr>
          <w:r w:rsidRPr="00AF1E4C">
            <w:rPr>
              <w:rFonts w:cs="Verdana"/>
            </w:rPr>
            <w:t>Information and Cyber Security</w:t>
          </w:r>
        </w:p>
        <w:p w:rsidRPr="00AF1E4C" w:rsidR="00970556" w:rsidP="00970556" w:rsidRDefault="00970556" w14:paraId="0987563D" w14:textId="77777777">
          <w:pPr>
            <w:pStyle w:val="ListParagraph"/>
            <w:numPr>
              <w:ilvl w:val="0"/>
              <w:numId w:val="19"/>
            </w:numPr>
            <w:rPr>
              <w:rFonts w:cs="Verdana"/>
            </w:rPr>
          </w:pPr>
          <w:r w:rsidRPr="00AF1E4C">
            <w:rPr>
              <w:rFonts w:cs="Verdana"/>
            </w:rPr>
            <w:t>Data Quality and Records Management</w:t>
          </w:r>
        </w:p>
        <w:p w:rsidR="00ED74A3" w:rsidP="00142FDD" w:rsidRDefault="00DE555B" w14:paraId="05A623F8" w14:textId="61F9B11E">
          <w:pPr>
            <w:rPr>
              <w:noProof/>
            </w:rPr>
          </w:pPr>
        </w:p>
      </w:sdtContent>
    </w:sdt>
    <w:p w:rsidR="006F3D6C" w:rsidP="006F3D6C" w:rsidRDefault="006F3D6C" w14:paraId="3B3A14E4" w14:textId="67156178">
      <w:pPr>
        <w:pStyle w:val="Style1"/>
        <w:ind w:left="360"/>
        <w:rPr>
          <w:noProof/>
        </w:rPr>
      </w:pPr>
      <w:bookmarkStart w:name="_Toc97532304" w:id="1"/>
      <w:r>
        <w:t>QUICK REFERENCE POINTS</w:t>
      </w:r>
      <w:bookmarkEnd w:id="1"/>
    </w:p>
    <w:p w:rsidR="008F0E90" w:rsidP="00C90EF1" w:rsidRDefault="008F0E90" w14:paraId="38D5602C" w14:textId="77777777"/>
    <w:p w:rsidRPr="009A273E" w:rsidR="00B21C8A" w:rsidP="00B21C8A" w:rsidRDefault="00B21C8A" w14:paraId="256A737B" w14:textId="1A455F3E">
      <w:pPr>
        <w:pStyle w:val="ListParagraph"/>
        <w:numPr>
          <w:ilvl w:val="0"/>
          <w:numId w:val="21"/>
        </w:numPr>
      </w:pPr>
      <w:r w:rsidRPr="009A273E">
        <w:t xml:space="preserve">Information Governance (IG) is our organisational approach to managing </w:t>
      </w:r>
      <w:r w:rsidRPr="009A273E" w:rsidR="00186B1E">
        <w:t>information.</w:t>
      </w:r>
    </w:p>
    <w:p w:rsidRPr="0032771B" w:rsidR="00B21C8A" w:rsidP="00B21C8A" w:rsidRDefault="00B21C8A" w14:paraId="7FDCEC3A" w14:textId="77777777">
      <w:pPr>
        <w:pStyle w:val="ListParagraph"/>
        <w:numPr>
          <w:ilvl w:val="0"/>
          <w:numId w:val="21"/>
        </w:numPr>
      </w:pPr>
      <w:r w:rsidRPr="0032771B">
        <w:t>Information is very important to the practice.</w:t>
      </w:r>
    </w:p>
    <w:p w:rsidRPr="0073207D" w:rsidR="00B21C8A" w:rsidP="00B21C8A" w:rsidRDefault="00B21C8A" w14:paraId="595F7643" w14:textId="77777777">
      <w:pPr>
        <w:pStyle w:val="ListParagraph"/>
        <w:numPr>
          <w:ilvl w:val="0"/>
          <w:numId w:val="21"/>
        </w:numPr>
      </w:pPr>
      <w:r w:rsidRPr="0032771B">
        <w:t>This doesn’t just mean patient data, but also information about how we run the practice.</w:t>
      </w:r>
    </w:p>
    <w:p w:rsidRPr="00457C4A" w:rsidR="00B21C8A" w:rsidP="00B21C8A" w:rsidRDefault="00B21C8A" w14:paraId="3E48D8A8" w14:textId="07967F36">
      <w:pPr>
        <w:pStyle w:val="ListParagraph"/>
        <w:numPr>
          <w:ilvl w:val="0"/>
          <w:numId w:val="21"/>
        </w:numPr>
      </w:pPr>
      <w:r w:rsidRPr="00457C4A">
        <w:t xml:space="preserve">We </w:t>
      </w:r>
      <w:proofErr w:type="gramStart"/>
      <w:r w:rsidRPr="00457C4A">
        <w:t>have to</w:t>
      </w:r>
      <w:proofErr w:type="gramEnd"/>
      <w:r w:rsidRPr="00457C4A">
        <w:t xml:space="preserve"> strike a good balance between being open and transparent – because this is part of delivering a public </w:t>
      </w:r>
      <w:r w:rsidRPr="00457C4A" w:rsidR="004C6663">
        <w:t>service.</w:t>
      </w:r>
    </w:p>
    <w:p w:rsidR="00B21C8A" w:rsidP="00B21C8A" w:rsidRDefault="00B21C8A" w14:paraId="0BAC8997" w14:textId="10E585F6">
      <w:pPr>
        <w:pStyle w:val="ListParagraph"/>
        <w:numPr>
          <w:ilvl w:val="0"/>
          <w:numId w:val="21"/>
        </w:numPr>
      </w:pPr>
      <w:r w:rsidRPr="00457C4A">
        <w:t xml:space="preserve">But also maintaining confidentiality so that we are trusted by those who use our services or who work with </w:t>
      </w:r>
      <w:r w:rsidRPr="00457C4A" w:rsidR="004C6663">
        <w:t>us.</w:t>
      </w:r>
    </w:p>
    <w:p w:rsidR="00B21C8A" w:rsidP="00B21C8A" w:rsidRDefault="00B21C8A" w14:paraId="75271030" w14:textId="77777777">
      <w:pPr>
        <w:pStyle w:val="ListParagraph"/>
        <w:numPr>
          <w:ilvl w:val="0"/>
          <w:numId w:val="21"/>
        </w:numPr>
      </w:pPr>
      <w:r w:rsidRPr="00FB78DE">
        <w:t>The</w:t>
      </w:r>
      <w:r>
        <w:t xml:space="preserve"> policy and the protocols beneath it help staff with </w:t>
      </w:r>
      <w:r w:rsidRPr="00FB78DE">
        <w:t>Data Protection and Privacy</w:t>
      </w:r>
      <w:r>
        <w:t xml:space="preserve">, </w:t>
      </w:r>
      <w:r w:rsidRPr="00FB78DE">
        <w:t>Information and Cyber Security</w:t>
      </w:r>
      <w:r>
        <w:t xml:space="preserve">, </w:t>
      </w:r>
      <w:r w:rsidRPr="00FB78DE">
        <w:t>Data Quality and Records Management</w:t>
      </w:r>
    </w:p>
    <w:p w:rsidR="00B21C8A" w:rsidP="00B21C8A" w:rsidRDefault="00B21C8A" w14:paraId="76A4F353" w14:textId="77777777">
      <w:pPr>
        <w:pStyle w:val="ListParagraph"/>
        <w:numPr>
          <w:ilvl w:val="0"/>
          <w:numId w:val="21"/>
        </w:numPr>
      </w:pPr>
      <w:r>
        <w:t>There are key roles that support this work – the SIRO, the Caldicott Guardian and the Data Protection Officer</w:t>
      </w:r>
    </w:p>
    <w:p w:rsidR="00B21C8A" w:rsidP="00C90EF1" w:rsidRDefault="00B21C8A" w14:paraId="6D232A80" w14:textId="77777777"/>
    <w:p w:rsidR="00B21C8A" w:rsidP="00C90EF1" w:rsidRDefault="00B21C8A" w14:paraId="681AB31A" w14:textId="77777777"/>
    <w:p w:rsidR="00535F69" w:rsidP="00535F69" w:rsidRDefault="00535F69" w14:paraId="0321AC1A" w14:textId="308D191F">
      <w:pPr>
        <w:pStyle w:val="Style1"/>
        <w:ind w:left="360"/>
        <w:rPr>
          <w:noProof/>
        </w:rPr>
      </w:pPr>
      <w:bookmarkStart w:name="_Toc97532305" w:id="2"/>
      <w:r>
        <w:t>KEY DEFINITIONS</w:t>
      </w:r>
      <w:bookmarkEnd w:id="2"/>
    </w:p>
    <w:p w:rsidR="008F0E90" w:rsidP="00C90EF1" w:rsidRDefault="008F0E90" w14:paraId="18D89AF1" w14:textId="77777777"/>
    <w:p w:rsidR="00535F69" w:rsidP="00C90EF1" w:rsidRDefault="00535F69" w14:paraId="79DFA27C" w14:textId="77777777"/>
    <w:p w:rsidRPr="005E6604" w:rsidR="00687325" w:rsidP="00687325" w:rsidRDefault="00687325" w14:paraId="5E30E753" w14:textId="77777777">
      <w:pPr>
        <w:ind w:left="4320" w:hanging="4320"/>
      </w:pPr>
      <w:r w:rsidRPr="00687325">
        <w:rPr>
          <w:b/>
          <w:bCs/>
        </w:rPr>
        <w:t>Personal Confidential Information</w:t>
      </w:r>
      <w:r>
        <w:t xml:space="preserve"> </w:t>
      </w:r>
      <w:r>
        <w:tab/>
        <w:t xml:space="preserve">This term is intended to cover information captured by the Data Protection Act 2018 / GDPR (identifiable information about the living), information covered by the Common Law Duty </w:t>
      </w:r>
      <w:r>
        <w:lastRenderedPageBreak/>
        <w:t>of Confidence / Tort of Misuse of Private Information and finally, information covered by Article 8 European Convention for Human Rights.</w:t>
      </w:r>
    </w:p>
    <w:p w:rsidR="00535F69" w:rsidP="00C90EF1" w:rsidRDefault="00535F69" w14:paraId="4F81948D" w14:textId="77777777"/>
    <w:p w:rsidR="00BA1866" w:rsidP="00BA1866" w:rsidRDefault="006919D1" w14:paraId="648B500A" w14:textId="53570FE9">
      <w:pPr>
        <w:pStyle w:val="Style1"/>
        <w:ind w:left="360"/>
        <w:rPr>
          <w:noProof/>
        </w:rPr>
      </w:pPr>
      <w:bookmarkStart w:name="_Toc97532306" w:id="3"/>
      <w:r>
        <w:t>SCOPE</w:t>
      </w:r>
      <w:bookmarkEnd w:id="3"/>
    </w:p>
    <w:p w:rsidR="00451847" w:rsidP="00C90EF1" w:rsidRDefault="00451847" w14:paraId="5EE1C09F" w14:textId="36DA8305"/>
    <w:p w:rsidR="00CD73BF" w:rsidP="006759B1" w:rsidRDefault="00CD73BF" w14:paraId="6F3F715F" w14:textId="63728DFC">
      <w:pPr>
        <w:ind w:firstLine="360"/>
      </w:pPr>
      <w:r>
        <w:t>This policy applies to all practice staff whether temporary or permanent.</w:t>
      </w:r>
    </w:p>
    <w:p w:rsidRPr="002D5A95" w:rsidR="006759B1" w:rsidP="006759B1" w:rsidRDefault="006759B1" w14:paraId="46FE67B5" w14:textId="77777777">
      <w:pPr>
        <w:ind w:left="360"/>
        <w:rPr>
          <w:rFonts w:cs="Verdana"/>
        </w:rPr>
      </w:pPr>
      <w:r w:rsidRPr="002D5A95">
        <w:rPr>
          <w:rFonts w:cs="Verdana"/>
        </w:rPr>
        <w:t xml:space="preserve">This overarching Information Governance Policy and the associated protocols sets out </w:t>
      </w:r>
      <w:r>
        <w:rPr>
          <w:rFonts w:cs="Verdana"/>
        </w:rPr>
        <w:t>our</w:t>
      </w:r>
      <w:r w:rsidRPr="002D5A95">
        <w:rPr>
          <w:rFonts w:cs="Verdana"/>
        </w:rPr>
        <w:t xml:space="preserve"> </w:t>
      </w:r>
      <w:r>
        <w:rPr>
          <w:rFonts w:cs="Verdana"/>
        </w:rPr>
        <w:t>approach</w:t>
      </w:r>
      <w:r w:rsidRPr="002D5A95">
        <w:rPr>
          <w:rFonts w:cs="Verdana"/>
        </w:rPr>
        <w:t xml:space="preserve"> with respect to the governance </w:t>
      </w:r>
      <w:proofErr w:type="gramStart"/>
      <w:r w:rsidRPr="002D5A95">
        <w:rPr>
          <w:rFonts w:cs="Verdana"/>
        </w:rPr>
        <w:t>of;</w:t>
      </w:r>
      <w:proofErr w:type="gramEnd"/>
    </w:p>
    <w:p w:rsidRPr="00AF1E4C" w:rsidR="006759B1" w:rsidP="006759B1" w:rsidRDefault="006759B1" w14:paraId="28DD626C" w14:textId="77777777">
      <w:pPr>
        <w:pStyle w:val="ListParagraph"/>
        <w:numPr>
          <w:ilvl w:val="0"/>
          <w:numId w:val="19"/>
        </w:numPr>
        <w:rPr>
          <w:rFonts w:cs="Verdana"/>
        </w:rPr>
      </w:pPr>
      <w:r>
        <w:rPr>
          <w:rFonts w:cs="Verdana"/>
        </w:rPr>
        <w:t>Data Protection and Privacy</w:t>
      </w:r>
    </w:p>
    <w:p w:rsidRPr="00AF1E4C" w:rsidR="006759B1" w:rsidP="006759B1" w:rsidRDefault="006759B1" w14:paraId="501590A4" w14:textId="77777777">
      <w:pPr>
        <w:pStyle w:val="ListParagraph"/>
        <w:numPr>
          <w:ilvl w:val="0"/>
          <w:numId w:val="19"/>
        </w:numPr>
        <w:rPr>
          <w:rFonts w:cs="Verdana"/>
        </w:rPr>
      </w:pPr>
      <w:r w:rsidRPr="00AF1E4C">
        <w:rPr>
          <w:rFonts w:cs="Verdana"/>
        </w:rPr>
        <w:t>Information and Cyber Security</w:t>
      </w:r>
    </w:p>
    <w:p w:rsidRPr="00AF1E4C" w:rsidR="006759B1" w:rsidP="006759B1" w:rsidRDefault="006759B1" w14:paraId="665AC163" w14:textId="77777777">
      <w:pPr>
        <w:pStyle w:val="ListParagraph"/>
        <w:numPr>
          <w:ilvl w:val="0"/>
          <w:numId w:val="19"/>
        </w:numPr>
        <w:rPr>
          <w:rFonts w:cs="Verdana"/>
        </w:rPr>
      </w:pPr>
      <w:r w:rsidRPr="00AF1E4C">
        <w:rPr>
          <w:rFonts w:cs="Verdana"/>
        </w:rPr>
        <w:t>Data Quality and Records Management</w:t>
      </w:r>
    </w:p>
    <w:p w:rsidR="006919D1" w:rsidP="006919D1" w:rsidRDefault="00935C9D" w14:paraId="23722E74" w14:textId="0B7ABEC2">
      <w:pPr>
        <w:pStyle w:val="Style1"/>
        <w:ind w:left="360"/>
        <w:rPr>
          <w:noProof/>
        </w:rPr>
      </w:pPr>
      <w:bookmarkStart w:name="_Toc97532307" w:id="4"/>
      <w:r>
        <w:t xml:space="preserve">KEY </w:t>
      </w:r>
      <w:r w:rsidR="006919D1">
        <w:t xml:space="preserve">LEGISLATION </w:t>
      </w:r>
      <w:r w:rsidR="006F3D6C">
        <w:t xml:space="preserve">/ </w:t>
      </w:r>
      <w:r w:rsidR="006919D1">
        <w:t>FRAMEWORK</w:t>
      </w:r>
      <w:bookmarkEnd w:id="4"/>
    </w:p>
    <w:p w:rsidR="006919D1" w:rsidP="00C90EF1" w:rsidRDefault="006919D1" w14:paraId="074955EE" w14:textId="77777777"/>
    <w:p w:rsidR="00AF1F74" w:rsidP="00AF1F74" w:rsidRDefault="00AF1F74" w14:paraId="644344C4" w14:textId="77777777">
      <w:r w:rsidRPr="002D5A95">
        <w:t xml:space="preserve">This policy serves to support </w:t>
      </w:r>
      <w:r>
        <w:t xml:space="preserve">staff </w:t>
      </w:r>
      <w:r w:rsidRPr="002D5A95">
        <w:t>to navigate and comply with the complex framework</w:t>
      </w:r>
      <w:r>
        <w:t xml:space="preserve"> within which Information Governance operates.</w:t>
      </w:r>
    </w:p>
    <w:p w:rsidR="00AF1F74" w:rsidP="00AF1F74" w:rsidRDefault="00AF1F74" w14:paraId="03B1EDCC" w14:textId="77777777">
      <w:r>
        <w:t xml:space="preserve">This framework includes but is not limited </w:t>
      </w:r>
      <w:proofErr w:type="gramStart"/>
      <w:r>
        <w:t>to;</w:t>
      </w:r>
      <w:proofErr w:type="gramEnd"/>
    </w:p>
    <w:p w:rsidRPr="00163DF8" w:rsidR="00AF1F74" w:rsidP="00AF1F74" w:rsidRDefault="00AF1F74" w14:paraId="5BFC4F60" w14:textId="77777777">
      <w:pPr>
        <w:pStyle w:val="ListParagraph"/>
        <w:numPr>
          <w:ilvl w:val="0"/>
          <w:numId w:val="22"/>
        </w:numPr>
      </w:pPr>
      <w:r w:rsidRPr="00163DF8">
        <w:t>NHS Act 2006</w:t>
      </w:r>
    </w:p>
    <w:p w:rsidRPr="00163DF8" w:rsidR="00AF1F74" w:rsidP="00AF1F74" w:rsidRDefault="00AF1F74" w14:paraId="797DEC6A" w14:textId="77777777">
      <w:pPr>
        <w:pStyle w:val="ListParagraph"/>
        <w:numPr>
          <w:ilvl w:val="0"/>
          <w:numId w:val="22"/>
        </w:numPr>
      </w:pPr>
      <w:r w:rsidRPr="00163DF8">
        <w:t>Health and Social Care Act 2012</w:t>
      </w:r>
    </w:p>
    <w:p w:rsidRPr="00163DF8" w:rsidR="00AF1F74" w:rsidP="00AF1F74" w:rsidRDefault="00AF1F74" w14:paraId="6EE396D7" w14:textId="77777777">
      <w:pPr>
        <w:pStyle w:val="ListParagraph"/>
        <w:numPr>
          <w:ilvl w:val="0"/>
          <w:numId w:val="22"/>
        </w:numPr>
      </w:pPr>
      <w:r w:rsidRPr="00163DF8">
        <w:t xml:space="preserve">Data Protection Act </w:t>
      </w:r>
      <w:r>
        <w:t>2018 / UK General Data Protection Regulations</w:t>
      </w:r>
    </w:p>
    <w:p w:rsidRPr="00163DF8" w:rsidR="00AF1F74" w:rsidP="00AF1F74" w:rsidRDefault="00AF1F74" w14:paraId="2C1EAB85" w14:textId="77777777">
      <w:pPr>
        <w:pStyle w:val="ListParagraph"/>
        <w:numPr>
          <w:ilvl w:val="0"/>
          <w:numId w:val="22"/>
        </w:numPr>
      </w:pPr>
      <w:r w:rsidRPr="00163DF8">
        <w:t>Human Rights Act 1998</w:t>
      </w:r>
    </w:p>
    <w:p w:rsidRPr="00163DF8" w:rsidR="00AF1F74" w:rsidP="00AF1F74" w:rsidRDefault="00AF1F74" w14:paraId="2FA6D912" w14:textId="77777777">
      <w:pPr>
        <w:pStyle w:val="ListParagraph"/>
        <w:numPr>
          <w:ilvl w:val="0"/>
          <w:numId w:val="22"/>
        </w:numPr>
      </w:pPr>
      <w:r w:rsidRPr="00163DF8">
        <w:t>Common Law Duty of Confidence</w:t>
      </w:r>
    </w:p>
    <w:p w:rsidRPr="00163DF8" w:rsidR="00AF1F74" w:rsidP="00AF1F74" w:rsidRDefault="00AF1F74" w14:paraId="2EE25385" w14:textId="77777777">
      <w:pPr>
        <w:pStyle w:val="ListParagraph"/>
        <w:numPr>
          <w:ilvl w:val="0"/>
          <w:numId w:val="22"/>
        </w:numPr>
      </w:pPr>
      <w:r w:rsidRPr="00163DF8">
        <w:t>Computer Misuse Act 1990</w:t>
      </w:r>
    </w:p>
    <w:p w:rsidRPr="00163DF8" w:rsidR="00AF1F74" w:rsidP="00AF1F74" w:rsidRDefault="00AF1F74" w14:paraId="3BAACFD6" w14:textId="77777777">
      <w:pPr>
        <w:pStyle w:val="ListParagraph"/>
        <w:numPr>
          <w:ilvl w:val="0"/>
          <w:numId w:val="22"/>
        </w:numPr>
      </w:pPr>
      <w:r w:rsidRPr="00163DF8">
        <w:t>Mental Health Capacity Act 2005</w:t>
      </w:r>
    </w:p>
    <w:p w:rsidRPr="00163DF8" w:rsidR="00AF1F74" w:rsidP="00AF1F74" w:rsidRDefault="00AF1F74" w14:paraId="22F41943" w14:textId="77777777">
      <w:pPr>
        <w:pStyle w:val="ListParagraph"/>
        <w:numPr>
          <w:ilvl w:val="0"/>
          <w:numId w:val="22"/>
        </w:numPr>
      </w:pPr>
      <w:r w:rsidRPr="00163DF8">
        <w:t>Children Act 1989</w:t>
      </w:r>
    </w:p>
    <w:p w:rsidR="00AF1F74" w:rsidP="00AF1F74" w:rsidRDefault="00AF1F74" w14:paraId="0979F4FD" w14:textId="77777777">
      <w:pPr>
        <w:pStyle w:val="ListParagraph"/>
        <w:numPr>
          <w:ilvl w:val="0"/>
          <w:numId w:val="22"/>
        </w:numPr>
      </w:pPr>
      <w:r>
        <w:t>NHSX Records Management Code of Practice</w:t>
      </w:r>
    </w:p>
    <w:p w:rsidR="00AF1F74" w:rsidP="00AF1F74" w:rsidRDefault="00AF1F74" w14:paraId="26B832A0" w14:textId="77777777">
      <w:pPr>
        <w:pStyle w:val="ListParagraph"/>
        <w:numPr>
          <w:ilvl w:val="0"/>
          <w:numId w:val="22"/>
        </w:numPr>
      </w:pPr>
      <w:r>
        <w:t>DH Information Security Code of Practice</w:t>
      </w:r>
    </w:p>
    <w:p w:rsidR="00AF1F74" w:rsidP="00AF1F74" w:rsidRDefault="00AF1F74" w14:paraId="037AFE1E" w14:textId="77777777">
      <w:pPr>
        <w:pStyle w:val="ListParagraph"/>
        <w:numPr>
          <w:ilvl w:val="0"/>
          <w:numId w:val="22"/>
        </w:numPr>
      </w:pPr>
      <w:r>
        <w:t>DH Confidentiality Code of Practice</w:t>
      </w:r>
    </w:p>
    <w:p w:rsidR="007B09F0" w:rsidP="007B09F0" w:rsidRDefault="007B09F0" w14:paraId="565AA6E0" w14:textId="77777777"/>
    <w:p w:rsidR="007B09F0" w:rsidP="007B09F0" w:rsidRDefault="00020D6C" w14:paraId="4E42EDB9" w14:textId="7E306787">
      <w:pPr>
        <w:pStyle w:val="Style1"/>
        <w:ind w:left="360"/>
        <w:rPr>
          <w:noProof/>
        </w:rPr>
      </w:pPr>
      <w:bookmarkStart w:name="_Toc97532308" w:id="5"/>
      <w:r>
        <w:lastRenderedPageBreak/>
        <w:t>ACCOUNTABLE PARTIES</w:t>
      </w:r>
      <w:bookmarkEnd w:id="5"/>
    </w:p>
    <w:p w:rsidR="00827665" w:rsidP="00827665" w:rsidRDefault="00827665" w14:paraId="3E02A63E" w14:textId="77777777"/>
    <w:p w:rsidRPr="001F0A36" w:rsidR="00062608" w:rsidP="00062608" w:rsidRDefault="00062608" w14:paraId="05D6C7FB" w14:textId="77777777">
      <w:pPr>
        <w:pStyle w:val="Heading2"/>
        <w:rPr>
          <w:rFonts w:ascii="Roboto Lt" w:hAnsi="Roboto Lt" w:eastAsia="Verdana" w:cs="Verdana"/>
          <w:b/>
          <w:color w:val="auto"/>
          <w:sz w:val="22"/>
          <w:szCs w:val="22"/>
          <w:lang w:val="en-US"/>
        </w:rPr>
      </w:pPr>
      <w:bookmarkStart w:name="_Toc37844680" w:id="6"/>
      <w:bookmarkStart w:name="_Toc97532309" w:id="7"/>
      <w:r w:rsidRPr="001F0A36">
        <w:rPr>
          <w:rFonts w:ascii="Roboto Lt" w:hAnsi="Roboto Lt" w:eastAsia="Verdana" w:cs="Verdana"/>
          <w:b/>
          <w:color w:val="auto"/>
          <w:sz w:val="22"/>
          <w:szCs w:val="22"/>
          <w:lang w:val="en-US"/>
        </w:rPr>
        <w:t>The Board</w:t>
      </w:r>
      <w:bookmarkEnd w:id="6"/>
      <w:r w:rsidRPr="001F0A36">
        <w:rPr>
          <w:rFonts w:ascii="Roboto Lt" w:hAnsi="Roboto Lt" w:eastAsia="Verdana" w:cs="Verdana"/>
          <w:b/>
          <w:color w:val="auto"/>
          <w:sz w:val="22"/>
          <w:szCs w:val="22"/>
          <w:lang w:val="en-US"/>
        </w:rPr>
        <w:t xml:space="preserve"> / Senior Partners</w:t>
      </w:r>
      <w:bookmarkEnd w:id="7"/>
    </w:p>
    <w:p w:rsidRPr="001F0A36" w:rsidR="00062608" w:rsidP="00062608" w:rsidRDefault="00062608" w14:paraId="1BC2AC5F" w14:textId="77777777">
      <w:pPr>
        <w:pStyle w:val="BodyText"/>
        <w:rPr>
          <w:rFonts w:ascii="Roboto Lt" w:hAnsi="Roboto Lt" w:cstheme="majorBidi"/>
          <w:bCs/>
          <w:szCs w:val="22"/>
        </w:rPr>
      </w:pPr>
      <w:r w:rsidRPr="001F0A36">
        <w:rPr>
          <w:rFonts w:ascii="Roboto Lt" w:hAnsi="Roboto Lt"/>
          <w:bCs/>
          <w:szCs w:val="22"/>
        </w:rPr>
        <w:t xml:space="preserve">The Board / Senior Partner have overall responsibility for Information Governance at </w:t>
      </w:r>
      <w:sdt>
        <w:sdtPr>
          <w:rPr>
            <w:rFonts w:ascii="Roboto Lt" w:hAnsi="Roboto Lt"/>
            <w:bCs/>
            <w:szCs w:val="22"/>
          </w:rPr>
          <w:alias w:val="Org Name"/>
          <w:tag w:val="Org Name"/>
          <w:id w:val="-2022150460"/>
          <w:placeholder>
            <w:docPart w:val="B7B8DF9EBC9740A69C3E50FD06B8B8CD"/>
          </w:placeholder>
          <w:showingPlcHdr/>
          <w:text/>
        </w:sdtPr>
        <w:sdtEndPr/>
        <w:sdtContent>
          <w:r w:rsidRPr="001F0A36">
            <w:rPr>
              <w:rFonts w:ascii="Roboto Lt" w:hAnsi="Roboto Lt"/>
              <w:bCs/>
              <w:szCs w:val="22"/>
            </w:rPr>
            <w:t>Upwell Health Centre and Welle Ltd (Pharmacy)</w:t>
          </w:r>
        </w:sdtContent>
      </w:sdt>
      <w:r w:rsidRPr="001F0A36">
        <w:rPr>
          <w:rFonts w:ascii="Roboto Lt" w:hAnsi="Roboto Lt"/>
          <w:bCs/>
          <w:szCs w:val="22"/>
        </w:rPr>
        <w:t xml:space="preserve"> As the senior accountable officers, they are responsible for the management of the organisation and for ensuring appropriate mechanisms are in place to provide the necessary assurance to internal and external stakeholders.</w:t>
      </w:r>
    </w:p>
    <w:p w:rsidRPr="002D5A95" w:rsidR="00062608" w:rsidP="00062608" w:rsidRDefault="00062608" w14:paraId="165B773B" w14:textId="77777777">
      <w:pPr>
        <w:rPr>
          <w:bCs/>
        </w:rPr>
      </w:pPr>
      <w:r>
        <w:rPr>
          <w:bCs/>
        </w:rPr>
        <w:t>They have</w:t>
      </w:r>
      <w:r w:rsidRPr="002D5A95">
        <w:rPr>
          <w:bCs/>
        </w:rPr>
        <w:t xml:space="preserve"> </w:t>
      </w:r>
      <w:proofErr w:type="gramStart"/>
      <w:r w:rsidRPr="002D5A95">
        <w:rPr>
          <w:bCs/>
        </w:rPr>
        <w:t>particular responsibility</w:t>
      </w:r>
      <w:proofErr w:type="gramEnd"/>
      <w:r w:rsidRPr="002D5A95">
        <w:rPr>
          <w:bCs/>
        </w:rPr>
        <w:t xml:space="preserve"> for ensuring that </w:t>
      </w:r>
      <w:sdt>
        <w:sdtPr>
          <w:rPr>
            <w:rFonts w:eastAsia="Verdana" w:cs="Verdana"/>
            <w:bCs/>
            <w:szCs w:val="20"/>
            <w:lang w:val="en-US"/>
          </w:rPr>
          <w:alias w:val="Org Name"/>
          <w:tag w:val="Org Name"/>
          <w:id w:val="-1749722416"/>
          <w:placeholder>
            <w:docPart w:val="B7B8DF9EBC9740A69C3E50FD06B8B8CD"/>
          </w:placeholder>
          <w:showingPlcHdr/>
          <w:text/>
        </w:sdtPr>
        <w:sdtEndPr/>
        <w:sdtContent>
          <w:r w:rsidRPr="00A768C3">
            <w:rPr>
              <w:rFonts w:eastAsia="Verdana" w:cs="Verdana"/>
              <w:bCs/>
              <w:szCs w:val="20"/>
              <w:lang w:val="en-US"/>
            </w:rPr>
            <w:t>Upwell Health Centre and Welle Ltd (Pharmacy)</w:t>
          </w:r>
        </w:sdtContent>
      </w:sdt>
      <w:r w:rsidRPr="00A768C3">
        <w:rPr>
          <w:rFonts w:eastAsia="Verdana" w:cs="Verdana"/>
          <w:bCs/>
          <w:szCs w:val="20"/>
          <w:lang w:val="en-US"/>
        </w:rPr>
        <w:t xml:space="preserve"> meets its corporate legal responsibilities, and for the adoption of internal and external governance</w:t>
      </w:r>
      <w:r w:rsidRPr="002D5A95">
        <w:rPr>
          <w:bCs/>
        </w:rPr>
        <w:t xml:space="preserve"> requirements.</w:t>
      </w:r>
      <w:bookmarkStart w:name="_Toc466281034" w:id="8"/>
    </w:p>
    <w:p w:rsidRPr="00062608" w:rsidR="00062608" w:rsidP="00062608" w:rsidRDefault="00062608" w14:paraId="4DF9C72F" w14:textId="45C5F537">
      <w:pPr>
        <w:pStyle w:val="Heading2"/>
        <w:rPr>
          <w:rFonts w:ascii="Arial Nova Light" w:hAnsi="Arial Nova Light" w:eastAsia="Verdana" w:cs="Verdana"/>
          <w:b/>
          <w:color w:val="auto"/>
          <w:sz w:val="22"/>
          <w:szCs w:val="20"/>
          <w:lang w:val="en-US"/>
        </w:rPr>
      </w:pPr>
      <w:bookmarkStart w:name="_Toc37844681" w:id="9"/>
      <w:bookmarkStart w:name="_Toc97532310" w:id="10"/>
      <w:r w:rsidRPr="00062608">
        <w:rPr>
          <w:rFonts w:ascii="Arial Nova Light" w:hAnsi="Arial Nova Light" w:eastAsia="Verdana" w:cs="Verdana"/>
          <w:b/>
          <w:color w:val="auto"/>
          <w:sz w:val="22"/>
          <w:szCs w:val="20"/>
          <w:lang w:val="en-US"/>
        </w:rPr>
        <w:t xml:space="preserve">Senior Information Risk </w:t>
      </w:r>
      <w:r>
        <w:rPr>
          <w:rFonts w:ascii="Arial Nova Light" w:hAnsi="Arial Nova Light" w:eastAsia="Verdana" w:cs="Verdana"/>
          <w:b/>
          <w:color w:val="auto"/>
          <w:sz w:val="22"/>
          <w:szCs w:val="20"/>
          <w:lang w:val="en-US"/>
        </w:rPr>
        <w:t xml:space="preserve">Officer </w:t>
      </w:r>
      <w:r w:rsidRPr="00062608">
        <w:rPr>
          <w:rFonts w:ascii="Arial Nova Light" w:hAnsi="Arial Nova Light" w:eastAsia="Verdana" w:cs="Verdana"/>
          <w:b/>
          <w:color w:val="auto"/>
          <w:sz w:val="22"/>
          <w:szCs w:val="20"/>
          <w:lang w:val="en-US"/>
        </w:rPr>
        <w:t>(SIRO)</w:t>
      </w:r>
      <w:bookmarkEnd w:id="9"/>
      <w:bookmarkEnd w:id="10"/>
    </w:p>
    <w:p w:rsidR="00062608" w:rsidP="00062608" w:rsidRDefault="00062608" w14:paraId="025B2B1F" w14:textId="77777777">
      <w:r>
        <w:t xml:space="preserve">The </w:t>
      </w:r>
      <w:proofErr w:type="gramStart"/>
      <w:r>
        <w:t>SIRO;</w:t>
      </w:r>
      <w:proofErr w:type="gramEnd"/>
    </w:p>
    <w:p w:rsidR="00062608" w:rsidP="00062608" w:rsidRDefault="00062608" w14:paraId="7E91FDF4" w14:textId="77777777">
      <w:pPr>
        <w:pStyle w:val="ListParagraph"/>
        <w:numPr>
          <w:ilvl w:val="0"/>
          <w:numId w:val="23"/>
        </w:numPr>
      </w:pPr>
      <w:r>
        <w:t>leads and fosters a</w:t>
      </w:r>
      <w:r w:rsidRPr="00163DF8">
        <w:t xml:space="preserve"> culture that values, protects and uses information for the success of the organisation and benefit of its customers</w:t>
      </w:r>
      <w:r>
        <w:t>.</w:t>
      </w:r>
    </w:p>
    <w:p w:rsidR="00062608" w:rsidP="00062608" w:rsidRDefault="00062608" w14:paraId="41C8749A" w14:textId="77777777">
      <w:pPr>
        <w:pStyle w:val="ListParagraph"/>
        <w:numPr>
          <w:ilvl w:val="0"/>
          <w:numId w:val="23"/>
        </w:numPr>
      </w:pPr>
      <w:r>
        <w:t xml:space="preserve">owns </w:t>
      </w:r>
      <w:r w:rsidRPr="00163DF8">
        <w:t>the organisation’s overall information risk policy and risk assessment processes and ensuring they are implemented consistently by I</w:t>
      </w:r>
      <w:r>
        <w:t>nformation Asset Owners / Administrators.</w:t>
      </w:r>
      <w:r w:rsidRPr="00163DF8">
        <w:t xml:space="preserve">  </w:t>
      </w:r>
    </w:p>
    <w:p w:rsidRPr="00163DF8" w:rsidR="00062608" w:rsidP="00062608" w:rsidRDefault="00062608" w14:paraId="422E0532" w14:textId="77777777">
      <w:pPr>
        <w:pStyle w:val="ListParagraph"/>
        <w:numPr>
          <w:ilvl w:val="0"/>
          <w:numId w:val="23"/>
        </w:numPr>
      </w:pPr>
      <w:r w:rsidRPr="00163DF8">
        <w:t>Own</w:t>
      </w:r>
      <w:r>
        <w:t>s</w:t>
      </w:r>
      <w:r w:rsidRPr="00163DF8">
        <w:t xml:space="preserve"> the organisation’s information incident management framework</w:t>
      </w:r>
      <w:r>
        <w:t>.</w:t>
      </w:r>
    </w:p>
    <w:p w:rsidR="000263A9" w:rsidP="00975312" w:rsidRDefault="000263A9" w14:paraId="7BF55DF4" w14:textId="77777777">
      <w:pPr>
        <w:rPr>
          <w:lang w:val="en-US"/>
        </w:rPr>
      </w:pPr>
      <w:bookmarkStart w:name="_Toc37844682" w:id="11"/>
      <w:bookmarkEnd w:id="8"/>
    </w:p>
    <w:p w:rsidRPr="00062608" w:rsidR="00062608" w:rsidP="00062608" w:rsidRDefault="00062608" w14:paraId="7A8A336A" w14:textId="1F7F9149">
      <w:pPr>
        <w:pStyle w:val="Heading2"/>
        <w:rPr>
          <w:rFonts w:ascii="Arial Nova Light" w:hAnsi="Arial Nova Light" w:eastAsia="Verdana" w:cs="Verdana"/>
          <w:b/>
          <w:color w:val="auto"/>
          <w:sz w:val="22"/>
          <w:szCs w:val="20"/>
          <w:lang w:val="en-US"/>
        </w:rPr>
      </w:pPr>
      <w:bookmarkStart w:name="_Toc97532311" w:id="12"/>
      <w:r w:rsidRPr="00062608">
        <w:rPr>
          <w:rFonts w:ascii="Arial Nova Light" w:hAnsi="Arial Nova Light" w:eastAsia="Verdana" w:cs="Verdana"/>
          <w:b/>
          <w:color w:val="auto"/>
          <w:sz w:val="22"/>
          <w:szCs w:val="20"/>
          <w:lang w:val="en-US"/>
        </w:rPr>
        <w:t>System Administrators / Information Asset Owners (IAOs)</w:t>
      </w:r>
      <w:bookmarkEnd w:id="11"/>
      <w:bookmarkEnd w:id="12"/>
    </w:p>
    <w:p w:rsidR="00062608" w:rsidP="00062608" w:rsidRDefault="00062608" w14:paraId="22E36B10" w14:textId="77777777">
      <w:r>
        <w:t xml:space="preserve">Where nominated, the IAO </w:t>
      </w:r>
      <w:proofErr w:type="gramStart"/>
      <w:r>
        <w:t>will;</w:t>
      </w:r>
      <w:proofErr w:type="gramEnd"/>
    </w:p>
    <w:p w:rsidR="00062608" w:rsidP="00062608" w:rsidRDefault="00062608" w14:paraId="098EFA8A" w14:textId="77777777">
      <w:pPr>
        <w:pStyle w:val="ListParagraph"/>
        <w:numPr>
          <w:ilvl w:val="0"/>
          <w:numId w:val="26"/>
        </w:numPr>
      </w:pPr>
      <w:r w:rsidRPr="001860C4">
        <w:t xml:space="preserve">Hold </w:t>
      </w:r>
      <w:r>
        <w:t>system level</w:t>
      </w:r>
      <w:r w:rsidRPr="001860C4">
        <w:t xml:space="preserve"> responsibility for information risk management, </w:t>
      </w:r>
      <w:r>
        <w:t xml:space="preserve">as devolved to them </w:t>
      </w:r>
      <w:r w:rsidRPr="001860C4">
        <w:t xml:space="preserve">by the SIRO.  </w:t>
      </w:r>
    </w:p>
    <w:p w:rsidRPr="001860C4" w:rsidR="00062608" w:rsidP="00062608" w:rsidRDefault="00062608" w14:paraId="4D2E3CAD" w14:textId="77777777">
      <w:pPr>
        <w:pStyle w:val="ListParagraph"/>
        <w:numPr>
          <w:ilvl w:val="0"/>
          <w:numId w:val="26"/>
        </w:numPr>
      </w:pPr>
      <w:r>
        <w:t>System Administrators</w:t>
      </w:r>
      <w:r w:rsidRPr="001860C4">
        <w:t xml:space="preserve"> </w:t>
      </w:r>
      <w:sdt>
        <w:sdtPr>
          <w:alias w:val="insert"/>
          <w:id w:val="-2023308545"/>
          <w:placeholder>
            <w:docPart w:val="B7B8DF9EBC9740A69C3E50FD06B8B8CD"/>
          </w:placeholder>
          <w:showingPlcHdr/>
          <w:text/>
        </w:sdtPr>
        <w:sdtEndPr/>
        <w:sdtContent>
          <w:r w:rsidRPr="006C7319">
            <w:t>Upwell Health Centre and Welle Ltd (Pharmacy)</w:t>
          </w:r>
        </w:sdtContent>
      </w:sdt>
      <w:r w:rsidRPr="001860C4">
        <w:t xml:space="preserve"> have overall responsibility for the management of risks generated by their information asset</w:t>
      </w:r>
      <w:r>
        <w:t>s</w:t>
      </w:r>
      <w:r w:rsidRPr="001860C4">
        <w:t>.</w:t>
      </w:r>
    </w:p>
    <w:p w:rsidR="00062608" w:rsidP="00975312" w:rsidRDefault="00062608" w14:paraId="5D170E4F" w14:textId="77777777">
      <w:pPr>
        <w:rPr>
          <w:lang w:val="en-US"/>
        </w:rPr>
      </w:pPr>
      <w:bookmarkStart w:name="_Toc37844683" w:id="13"/>
    </w:p>
    <w:p w:rsidRPr="00062608" w:rsidR="00062608" w:rsidP="00062608" w:rsidRDefault="00062608" w14:paraId="01DA89B3" w14:textId="73494633">
      <w:pPr>
        <w:pStyle w:val="Heading2"/>
        <w:rPr>
          <w:rFonts w:ascii="Arial Nova Light" w:hAnsi="Arial Nova Light" w:eastAsia="Verdana" w:cs="Verdana"/>
          <w:b/>
          <w:color w:val="auto"/>
          <w:sz w:val="22"/>
          <w:szCs w:val="20"/>
          <w:lang w:val="en-US"/>
        </w:rPr>
      </w:pPr>
      <w:bookmarkStart w:name="_Toc97532312" w:id="14"/>
      <w:r w:rsidRPr="00062608">
        <w:rPr>
          <w:rFonts w:ascii="Arial Nova Light" w:hAnsi="Arial Nova Light" w:eastAsia="Verdana" w:cs="Verdana"/>
          <w:b/>
          <w:color w:val="auto"/>
          <w:sz w:val="22"/>
          <w:szCs w:val="20"/>
          <w:lang w:val="en-US"/>
        </w:rPr>
        <w:t xml:space="preserve">Caldicott </w:t>
      </w:r>
      <w:r w:rsidRPr="008C5B2C">
        <w:rPr>
          <w:b/>
          <w:color w:val="auto"/>
        </w:rPr>
        <w:t>Guardian</w:t>
      </w:r>
      <w:r w:rsidRPr="00062608">
        <w:rPr>
          <w:rFonts w:ascii="Arial Nova Light" w:hAnsi="Arial Nova Light" w:eastAsia="Verdana" w:cs="Verdana"/>
          <w:b/>
          <w:color w:val="auto"/>
          <w:sz w:val="22"/>
          <w:szCs w:val="20"/>
          <w:lang w:val="en-US"/>
        </w:rPr>
        <w:t xml:space="preserve"> Function</w:t>
      </w:r>
      <w:bookmarkEnd w:id="13"/>
      <w:bookmarkEnd w:id="14"/>
    </w:p>
    <w:p w:rsidR="00062608" w:rsidP="00062608" w:rsidRDefault="00062608" w14:paraId="37E14B21" w14:textId="77777777">
      <w:r>
        <w:t xml:space="preserve">The Caldicott Guardian </w:t>
      </w:r>
      <w:proofErr w:type="gramStart"/>
      <w:r>
        <w:t>will;</w:t>
      </w:r>
      <w:proofErr w:type="gramEnd"/>
    </w:p>
    <w:p w:rsidR="00062608" w:rsidP="00062608" w:rsidRDefault="00062608" w14:paraId="590C062F" w14:textId="77777777">
      <w:pPr>
        <w:pStyle w:val="ListParagraph"/>
        <w:numPr>
          <w:ilvl w:val="0"/>
          <w:numId w:val="24"/>
        </w:numPr>
      </w:pPr>
      <w:r>
        <w:t xml:space="preserve">Produce procedures, </w:t>
      </w:r>
      <w:proofErr w:type="gramStart"/>
      <w:r>
        <w:t>guidelines</w:t>
      </w:r>
      <w:proofErr w:type="gramEnd"/>
      <w:r>
        <w:t xml:space="preserve"> and protocols to support staff in the appropriate management of patient information.</w:t>
      </w:r>
    </w:p>
    <w:p w:rsidR="00062608" w:rsidP="00062608" w:rsidRDefault="00062608" w14:paraId="3D5617B6" w14:textId="77777777">
      <w:pPr>
        <w:pStyle w:val="ListParagraph"/>
        <w:numPr>
          <w:ilvl w:val="0"/>
          <w:numId w:val="24"/>
        </w:numPr>
      </w:pPr>
      <w:r>
        <w:lastRenderedPageBreak/>
        <w:t xml:space="preserve">Provide a point of escalation and specialist advice for staff with respect to information sharing, acting as the conscience of the </w:t>
      </w:r>
      <w:proofErr w:type="gramStart"/>
      <w:r>
        <w:t>organisation</w:t>
      </w:r>
      <w:proofErr w:type="gramEnd"/>
    </w:p>
    <w:p w:rsidRPr="00F83EF8" w:rsidR="00062608" w:rsidP="00062608" w:rsidRDefault="00062608" w14:paraId="2AD86468" w14:textId="77777777">
      <w:pPr>
        <w:pStyle w:val="ListParagraph"/>
        <w:numPr>
          <w:ilvl w:val="0"/>
          <w:numId w:val="24"/>
        </w:numPr>
      </w:pPr>
      <w:r>
        <w:t xml:space="preserve">Bring to the attention of the relevant manager any occasion where the appropriate procedures, guidelines and protocols may have not been followed and raise concerns about any inappropriate uses made of patient information where necessary. </w:t>
      </w:r>
    </w:p>
    <w:p w:rsidRPr="008C5B2C" w:rsidR="00062608" w:rsidP="00062608" w:rsidRDefault="00062608" w14:paraId="4A90A19A" w14:textId="77777777">
      <w:pPr>
        <w:pStyle w:val="Heading2"/>
        <w:rPr>
          <w:rFonts w:ascii="Arial Nova Light" w:hAnsi="Arial Nova Light" w:eastAsia="Verdana" w:cs="Verdana"/>
          <w:b/>
          <w:color w:val="auto"/>
          <w:sz w:val="22"/>
          <w:szCs w:val="20"/>
          <w:lang w:val="en-US"/>
        </w:rPr>
      </w:pPr>
      <w:bookmarkStart w:name="_Toc37844684" w:id="15"/>
      <w:bookmarkStart w:name="_Toc97532313" w:id="16"/>
      <w:r w:rsidRPr="008C5B2C">
        <w:rPr>
          <w:rFonts w:ascii="Arial Nova Light" w:hAnsi="Arial Nova Light" w:eastAsia="Verdana" w:cs="Verdana"/>
          <w:b/>
          <w:color w:val="auto"/>
          <w:sz w:val="22"/>
          <w:szCs w:val="20"/>
          <w:lang w:val="en-US"/>
        </w:rPr>
        <w:t>Data Protection Officer (DPO)</w:t>
      </w:r>
      <w:bookmarkEnd w:id="15"/>
      <w:bookmarkEnd w:id="16"/>
    </w:p>
    <w:p w:rsidR="00062608" w:rsidP="00062608" w:rsidRDefault="00062608" w14:paraId="29947726" w14:textId="77777777">
      <w:r>
        <w:t xml:space="preserve">The DPO </w:t>
      </w:r>
      <w:proofErr w:type="gramStart"/>
      <w:r>
        <w:t>Will;</w:t>
      </w:r>
      <w:proofErr w:type="gramEnd"/>
    </w:p>
    <w:p w:rsidR="00062608" w:rsidP="00062608" w:rsidRDefault="00062608" w14:paraId="3FABBD5A" w14:textId="77777777">
      <w:pPr>
        <w:pStyle w:val="ListParagraph"/>
        <w:numPr>
          <w:ilvl w:val="0"/>
          <w:numId w:val="25"/>
        </w:numPr>
      </w:pPr>
      <w:r>
        <w:t>Inform and advise the organisation and its employees about their obligations to comply with the data protection legislation.</w:t>
      </w:r>
    </w:p>
    <w:p w:rsidR="00062608" w:rsidP="00062608" w:rsidRDefault="00062608" w14:paraId="3A8C09A6" w14:textId="77777777">
      <w:pPr>
        <w:pStyle w:val="ListParagraph"/>
        <w:numPr>
          <w:ilvl w:val="0"/>
          <w:numId w:val="25"/>
        </w:numPr>
      </w:pPr>
      <w:r>
        <w:t>Monitor compliance with the data protection legislation, including managing internal data protection activities, advise on data protection impact assessments; train staff and conduct internal audits.</w:t>
      </w:r>
    </w:p>
    <w:p w:rsidR="00062608" w:rsidP="00062608" w:rsidRDefault="00062608" w14:paraId="295B0AFC" w14:textId="77777777">
      <w:pPr>
        <w:pStyle w:val="ListParagraph"/>
        <w:numPr>
          <w:ilvl w:val="0"/>
          <w:numId w:val="25"/>
        </w:numPr>
      </w:pPr>
      <w:r>
        <w:t>Be the first point of contact for supervisory authorities and for individuals whose data is processed (employees, patients etc).</w:t>
      </w:r>
    </w:p>
    <w:p w:rsidRPr="008C5B2C" w:rsidR="00062608" w:rsidP="00062608" w:rsidRDefault="00062608" w14:paraId="24C12BAF" w14:textId="77777777">
      <w:pPr>
        <w:pStyle w:val="Heading2"/>
        <w:rPr>
          <w:rFonts w:ascii="Arial Nova Light" w:hAnsi="Arial Nova Light" w:eastAsia="Verdana" w:cs="Verdana"/>
          <w:b/>
          <w:color w:val="auto"/>
          <w:sz w:val="22"/>
          <w:szCs w:val="20"/>
          <w:lang w:val="en-US"/>
        </w:rPr>
      </w:pPr>
      <w:bookmarkStart w:name="_Toc37844685" w:id="17"/>
      <w:bookmarkStart w:name="_Toc97532314" w:id="18"/>
      <w:r w:rsidRPr="008C5B2C">
        <w:rPr>
          <w:rFonts w:ascii="Arial Nova Light" w:hAnsi="Arial Nova Light" w:eastAsia="Verdana" w:cs="Verdana"/>
          <w:b/>
          <w:color w:val="auto"/>
          <w:sz w:val="22"/>
          <w:szCs w:val="20"/>
          <w:lang w:val="en-US"/>
        </w:rPr>
        <w:t>All Staff</w:t>
      </w:r>
      <w:bookmarkEnd w:id="17"/>
      <w:bookmarkEnd w:id="18"/>
    </w:p>
    <w:p w:rsidR="00062608" w:rsidP="00062608" w:rsidRDefault="00062608" w14:paraId="21B58CA7" w14:textId="77777777">
      <w:r w:rsidRPr="00482CBD">
        <w:t xml:space="preserve">All staff, whether </w:t>
      </w:r>
      <w:r>
        <w:t>clinical</w:t>
      </w:r>
      <w:r w:rsidRPr="00482CBD">
        <w:t xml:space="preserve"> or administrative, who create, </w:t>
      </w:r>
      <w:proofErr w:type="gramStart"/>
      <w:r w:rsidRPr="00482CBD">
        <w:t>receive</w:t>
      </w:r>
      <w:proofErr w:type="gramEnd"/>
      <w:r w:rsidRPr="00482CBD">
        <w:t xml:space="preserve"> and use data have information governance responsibilities.</w:t>
      </w:r>
      <w:r>
        <w:t xml:space="preserve"> Employees have a contractual and legal obligation to read and comply with all company policies and to attend mandatory training to support the appropriate management of information.</w:t>
      </w:r>
    </w:p>
    <w:p w:rsidR="009C7762" w:rsidP="00062608" w:rsidRDefault="009C7762" w14:paraId="0F5A5BFD" w14:textId="77777777"/>
    <w:sdt>
      <w:sdtPr>
        <w:alias w:val="Oversight group"/>
        <w:tag w:val="Oversight group"/>
        <w:id w:val="-996807942"/>
        <w:placeholder>
          <w:docPart w:val="DefaultPlaceholder_-1854013440"/>
        </w:placeholder>
        <w:showingPlcHdr/>
        <w:text/>
      </w:sdtPr>
      <w:sdtEndPr/>
      <w:sdtContent>
        <w:p w:rsidR="0033404A" w:rsidP="00062608" w:rsidRDefault="0033404A" w14:paraId="7DDDF10B" w14:textId="6FC2E1A6">
          <w:r w:rsidRPr="00DE555B">
            <w:rPr>
              <w:b/>
              <w:bCs/>
            </w:rPr>
            <w:t>Click or tap here to enter text.</w:t>
          </w:r>
        </w:p>
      </w:sdtContent>
    </w:sdt>
    <w:p w:rsidRPr="00482CBD" w:rsidR="009C7762" w:rsidP="009C7762" w:rsidRDefault="0033404A" w14:paraId="124AF5C4" w14:textId="29955FC0">
      <w:r>
        <w:t xml:space="preserve">The </w:t>
      </w:r>
      <w:sdt>
        <w:sdtPr>
          <w:alias w:val="oversight group"/>
          <w:tag w:val="oversight group"/>
          <w:id w:val="-1764134639"/>
          <w:placeholder>
            <w:docPart w:val="DefaultPlaceholder_-1854013440"/>
          </w:placeholder>
          <w:showingPlcHdr/>
          <w:text/>
        </w:sdtPr>
        <w:sdtEndPr/>
        <w:sdtContent>
          <w:r w:rsidRPr="00DE555B">
            <w:t>Click or tap here to enter text.</w:t>
          </w:r>
        </w:sdtContent>
      </w:sdt>
      <w:r>
        <w:t xml:space="preserve"> </w:t>
      </w:r>
      <w:r w:rsidRPr="009C7762" w:rsidR="009C7762">
        <w:t xml:space="preserve">provides direction and guidance across </w:t>
      </w:r>
      <w:r>
        <w:t>the practice</w:t>
      </w:r>
      <w:r w:rsidRPr="009C7762" w:rsidR="009C7762">
        <w:t xml:space="preserve"> for data protection and information governance activities.</w:t>
      </w:r>
      <w:r w:rsidR="00996585">
        <w:t xml:space="preserve"> The group monitors data protection policies and training, incidents, information rights</w:t>
      </w:r>
      <w:r w:rsidR="001106AD">
        <w:t xml:space="preserve">, records </w:t>
      </w:r>
      <w:proofErr w:type="gramStart"/>
      <w:r w:rsidR="001106AD">
        <w:t>management</w:t>
      </w:r>
      <w:proofErr w:type="gramEnd"/>
      <w:r w:rsidR="001106AD">
        <w:t xml:space="preserve"> and information security.</w:t>
      </w:r>
      <w:r w:rsidR="00F375D6">
        <w:t xml:space="preserve"> This group ensures that data protection and security matters are communicated to the highest level of management.</w:t>
      </w:r>
    </w:p>
    <w:p w:rsidR="00062608" w:rsidP="00062608" w:rsidRDefault="00062608" w14:paraId="7491C665" w14:textId="45FC946C">
      <w:pPr>
        <w:tabs>
          <w:tab w:val="left" w:pos="988"/>
        </w:tabs>
      </w:pPr>
    </w:p>
    <w:p w:rsidR="00CF1407" w:rsidP="00CF1407" w:rsidRDefault="00E562A9" w14:paraId="16A19783" w14:textId="3518AD39">
      <w:pPr>
        <w:pStyle w:val="Style1"/>
        <w:ind w:left="360"/>
        <w:rPr>
          <w:noProof/>
        </w:rPr>
      </w:pPr>
      <w:bookmarkStart w:name="_Toc97532315" w:id="19"/>
      <w:r>
        <w:t>TRANSPARENCY</w:t>
      </w:r>
      <w:bookmarkEnd w:id="19"/>
    </w:p>
    <w:p w:rsidR="00E966AE" w:rsidP="00E966AE" w:rsidRDefault="00E966AE" w14:paraId="7B2B378F" w14:textId="77777777"/>
    <w:p w:rsidR="00E966AE" w:rsidP="00E966AE" w:rsidRDefault="00E966AE" w14:paraId="7693F13A" w14:textId="77777777">
      <w:r>
        <w:t>The organisation</w:t>
      </w:r>
      <w:r w:rsidRPr="001860C4">
        <w:t xml:space="preserve"> </w:t>
      </w:r>
      <w:proofErr w:type="gramStart"/>
      <w:r>
        <w:t>will;</w:t>
      </w:r>
      <w:proofErr w:type="gramEnd"/>
    </w:p>
    <w:p w:rsidR="00E966AE" w:rsidP="00E966AE" w:rsidRDefault="00E966AE" w14:paraId="2AD8E580" w14:textId="77777777">
      <w:pPr>
        <w:pStyle w:val="ListParagraph"/>
        <w:numPr>
          <w:ilvl w:val="0"/>
          <w:numId w:val="28"/>
        </w:numPr>
      </w:pPr>
      <w:r>
        <w:lastRenderedPageBreak/>
        <w:t xml:space="preserve">Endeavour to make non confidential information about its operations and </w:t>
      </w:r>
      <w:r w:rsidRPr="001860C4">
        <w:t>services available to the public, in line with The Practice’s overall commitment to transparency</w:t>
      </w:r>
      <w:r>
        <w:t>.</w:t>
      </w:r>
    </w:p>
    <w:p w:rsidR="00E966AE" w:rsidP="00E966AE" w:rsidRDefault="00E966AE" w14:paraId="4FC52EF8" w14:textId="77777777">
      <w:pPr>
        <w:pStyle w:val="ListParagraph"/>
        <w:numPr>
          <w:ilvl w:val="0"/>
          <w:numId w:val="28"/>
        </w:numPr>
      </w:pPr>
      <w:r>
        <w:t>A</w:t>
      </w:r>
      <w:r w:rsidRPr="001860C4">
        <w:t>dopt and maintain clear procedures and arrangements for liaison with the press and broadcasting media</w:t>
      </w:r>
      <w:r>
        <w:t>.</w:t>
      </w:r>
    </w:p>
    <w:p w:rsidR="00E966AE" w:rsidP="00E966AE" w:rsidRDefault="00E966AE" w14:paraId="6174A327" w14:textId="799CEBBE">
      <w:pPr>
        <w:pStyle w:val="ListParagraph"/>
        <w:numPr>
          <w:ilvl w:val="0"/>
          <w:numId w:val="28"/>
        </w:numPr>
      </w:pPr>
      <w:r>
        <w:t>A</w:t>
      </w:r>
      <w:r w:rsidRPr="001860C4">
        <w:t>dopt and maintain an Information Rights and Access Protocol and a Freedom of Information Protocol to provide guidance for handling queries from data subjects and the public.</w:t>
      </w:r>
    </w:p>
    <w:p w:rsidR="00411241" w:rsidP="00E966AE" w:rsidRDefault="00411241" w14:paraId="140CC6EC" w14:textId="5D05F0D4">
      <w:pPr>
        <w:pStyle w:val="ListParagraph"/>
        <w:numPr>
          <w:ilvl w:val="0"/>
          <w:numId w:val="28"/>
        </w:numPr>
      </w:pPr>
      <w:r>
        <w:t xml:space="preserve">Ensure that staff have been provided with the Data Protection Officer contact details in accordance with their legal requirement to do </w:t>
      </w:r>
      <w:proofErr w:type="gramStart"/>
      <w:r>
        <w:t>so</w:t>
      </w:r>
      <w:proofErr w:type="gramEnd"/>
    </w:p>
    <w:p w:rsidR="008A6188" w:rsidP="00F375D6" w:rsidRDefault="008A6188" w14:paraId="47F4E722" w14:textId="77777777">
      <w:pPr>
        <w:pStyle w:val="ListParagraph"/>
      </w:pPr>
    </w:p>
    <w:p w:rsidR="001E3621" w:rsidP="001E3621" w:rsidRDefault="001E3621" w14:paraId="48E481FF" w14:textId="77777777"/>
    <w:p w:rsidR="001E3621" w:rsidP="001E3621" w:rsidRDefault="00916C7F" w14:paraId="77D4E774" w14:textId="4C8D159B">
      <w:pPr>
        <w:pStyle w:val="Style1"/>
        <w:ind w:left="360"/>
        <w:rPr>
          <w:noProof/>
        </w:rPr>
      </w:pPr>
      <w:bookmarkStart w:name="_Toc97532316" w:id="20"/>
      <w:r>
        <w:t>PRIVACY AND INFORMATION RIGHTS</w:t>
      </w:r>
      <w:bookmarkEnd w:id="20"/>
    </w:p>
    <w:p w:rsidRPr="001860C4" w:rsidR="001E3621" w:rsidP="001E3621" w:rsidRDefault="001E3621" w14:paraId="45F58AA6" w14:textId="77777777"/>
    <w:p w:rsidR="0034322A" w:rsidP="0034322A" w:rsidRDefault="00DE555B" w14:paraId="01B16E2A" w14:textId="4D8FBE14">
      <w:pPr>
        <w:tabs>
          <w:tab w:val="left" w:pos="6665"/>
        </w:tabs>
      </w:pPr>
      <w:sdt>
        <w:sdtPr>
          <w:alias w:val="pRACTICE NAME"/>
          <w:tag w:val="pRACTICE NAME"/>
          <w:id w:val="-1465124416"/>
          <w:placeholder>
            <w:docPart w:val="DefaultPlaceholder_-1854013440"/>
          </w:placeholder>
          <w:showingPlcHdr/>
          <w:text/>
        </w:sdtPr>
        <w:sdtEndPr/>
        <w:sdtContent>
          <w:r w:rsidRPr="0034322A" w:rsidR="0034322A">
            <w:t>Upwell Health Centre and Welle Ltd (Pharmacy)</w:t>
          </w:r>
        </w:sdtContent>
      </w:sdt>
      <w:r w:rsidR="0034322A">
        <w:t xml:space="preserve"> is committed to the privacy of its patients, </w:t>
      </w:r>
      <w:proofErr w:type="gramStart"/>
      <w:r w:rsidR="0034322A">
        <w:t>staff</w:t>
      </w:r>
      <w:proofErr w:type="gramEnd"/>
      <w:r w:rsidR="0034322A">
        <w:t xml:space="preserve"> and the public. </w:t>
      </w:r>
    </w:p>
    <w:p w:rsidR="0034322A" w:rsidP="0034322A" w:rsidRDefault="0034322A" w14:paraId="323255A3" w14:textId="77777777">
      <w:pPr>
        <w:tabs>
          <w:tab w:val="left" w:pos="6665"/>
        </w:tabs>
      </w:pPr>
    </w:p>
    <w:p w:rsidR="0034322A" w:rsidP="0034322A" w:rsidRDefault="00DE555B" w14:paraId="5BAAE061" w14:textId="44D2F695">
      <w:pPr>
        <w:tabs>
          <w:tab w:val="left" w:pos="6665"/>
        </w:tabs>
      </w:pPr>
      <w:sdt>
        <w:sdtPr>
          <w:alias w:val="PRACTICE NAME"/>
          <w:tag w:val="PRACTICE NAME"/>
          <w:id w:val="144016964"/>
          <w:placeholder>
            <w:docPart w:val="DefaultPlaceholder_-1854013440"/>
          </w:placeholder>
          <w:showingPlcHdr/>
          <w:text/>
        </w:sdtPr>
        <w:sdtEndPr/>
        <w:sdtContent>
          <w:r w:rsidRPr="0034322A" w:rsidR="0034322A">
            <w:t>Upwell Health Centre and Welle Ltd (Pharmacy)</w:t>
          </w:r>
        </w:sdtContent>
      </w:sdt>
      <w:r w:rsidR="0034322A">
        <w:t xml:space="preserve"> </w:t>
      </w:r>
      <w:proofErr w:type="gramStart"/>
      <w:r w:rsidR="0034322A">
        <w:t>will;</w:t>
      </w:r>
      <w:proofErr w:type="gramEnd"/>
    </w:p>
    <w:p w:rsidR="0034322A" w:rsidP="0034322A" w:rsidRDefault="0034322A" w14:paraId="44EE2B8F" w14:textId="77777777">
      <w:pPr>
        <w:tabs>
          <w:tab w:val="left" w:pos="6665"/>
        </w:tabs>
      </w:pPr>
    </w:p>
    <w:p w:rsidR="0034322A" w:rsidP="0034322A" w:rsidRDefault="0034322A" w14:paraId="1FF6446B" w14:textId="77777777">
      <w:pPr>
        <w:pStyle w:val="ListParagraph"/>
        <w:numPr>
          <w:ilvl w:val="0"/>
          <w:numId w:val="29"/>
        </w:numPr>
        <w:tabs>
          <w:tab w:val="left" w:pos="6665"/>
        </w:tabs>
      </w:pPr>
      <w:r>
        <w:t xml:space="preserve">undertake or commission annual assessments and audits of its compliance with privacy and data protection </w:t>
      </w:r>
      <w:proofErr w:type="gramStart"/>
      <w:r>
        <w:t>legislation</w:t>
      </w:r>
      <w:proofErr w:type="gramEnd"/>
    </w:p>
    <w:p w:rsidR="0034322A" w:rsidP="0034322A" w:rsidRDefault="0034322A" w14:paraId="2F027BDF" w14:textId="77777777">
      <w:pPr>
        <w:pStyle w:val="ListParagraph"/>
        <w:numPr>
          <w:ilvl w:val="0"/>
          <w:numId w:val="29"/>
        </w:numPr>
        <w:tabs>
          <w:tab w:val="left" w:pos="6665"/>
        </w:tabs>
      </w:pPr>
      <w:r>
        <w:t>adopt and maintain protocol for completion of Data Protection Impact Assessments.</w:t>
      </w:r>
    </w:p>
    <w:p w:rsidR="0034322A" w:rsidP="0034322A" w:rsidRDefault="0034322A" w14:paraId="773ABA64" w14:textId="55300A28">
      <w:pPr>
        <w:pStyle w:val="ListParagraph"/>
        <w:numPr>
          <w:ilvl w:val="0"/>
          <w:numId w:val="29"/>
        </w:numPr>
        <w:tabs>
          <w:tab w:val="left" w:pos="6665"/>
        </w:tabs>
      </w:pPr>
      <w:r>
        <w:t xml:space="preserve">adopt and maintain protocols to ensure compliance with the Data Protection Act, General Data Protection Regulations, Human Rights </w:t>
      </w:r>
      <w:proofErr w:type="gramStart"/>
      <w:r>
        <w:t>Act</w:t>
      </w:r>
      <w:proofErr w:type="gramEnd"/>
      <w:r>
        <w:t xml:space="preserve"> and the Common Law Duty of Confidentiality.</w:t>
      </w:r>
    </w:p>
    <w:p w:rsidR="0034322A" w:rsidP="0034322A" w:rsidRDefault="0034322A" w14:paraId="230D7D99" w14:textId="43171B83">
      <w:pPr>
        <w:pStyle w:val="ListParagraph"/>
        <w:numPr>
          <w:ilvl w:val="0"/>
          <w:numId w:val="29"/>
        </w:numPr>
        <w:tabs>
          <w:tab w:val="left" w:pos="6665"/>
        </w:tabs>
      </w:pPr>
      <w:r>
        <w:t xml:space="preserve">establish and maintain protocols for the controlled and appropriate sharing of personal information with other </w:t>
      </w:r>
      <w:proofErr w:type="gramStart"/>
      <w:r>
        <w:t>agencies</w:t>
      </w:r>
      <w:proofErr w:type="gramEnd"/>
    </w:p>
    <w:p w:rsidR="0073236E" w:rsidP="00905698" w:rsidRDefault="0034322A" w14:paraId="0B8A09E1" w14:textId="31959D28">
      <w:pPr>
        <w:pStyle w:val="ListParagraph"/>
        <w:numPr>
          <w:ilvl w:val="0"/>
          <w:numId w:val="29"/>
        </w:numPr>
        <w:tabs>
          <w:tab w:val="left" w:pos="6665"/>
        </w:tabs>
      </w:pPr>
      <w:r>
        <w:t>ensure that contractual or best practice documents are in place for routine sharing of information between sharing partners.</w:t>
      </w:r>
    </w:p>
    <w:p w:rsidR="00905698" w:rsidP="0034322A" w:rsidRDefault="00905698" w14:paraId="451AC7A4" w14:textId="77777777">
      <w:pPr>
        <w:tabs>
          <w:tab w:val="left" w:pos="6665"/>
        </w:tabs>
      </w:pPr>
    </w:p>
    <w:p w:rsidR="00905698" w:rsidP="00905698" w:rsidRDefault="00905698" w14:paraId="3E0A3C90" w14:textId="2B65A712">
      <w:pPr>
        <w:pStyle w:val="Style1"/>
        <w:ind w:left="360"/>
        <w:rPr>
          <w:noProof/>
        </w:rPr>
      </w:pPr>
      <w:bookmarkStart w:name="_Toc97532317" w:id="21"/>
      <w:r>
        <w:lastRenderedPageBreak/>
        <w:t>INFORMATION SECURITY</w:t>
      </w:r>
      <w:bookmarkEnd w:id="21"/>
    </w:p>
    <w:p w:rsidR="00905698" w:rsidP="0034322A" w:rsidRDefault="00905698" w14:paraId="06840AA8" w14:textId="77777777">
      <w:pPr>
        <w:tabs>
          <w:tab w:val="left" w:pos="6665"/>
        </w:tabs>
      </w:pPr>
    </w:p>
    <w:p w:rsidR="006D5584" w:rsidP="006D5584" w:rsidRDefault="00DE555B" w14:paraId="0575D0A9" w14:textId="77777777">
      <w:pPr>
        <w:rPr>
          <w:bCs/>
        </w:rPr>
      </w:pPr>
      <w:sdt>
        <w:sdtPr>
          <w:rPr>
            <w:bCs/>
          </w:rPr>
          <w:alias w:val="PRACTICE NAME"/>
          <w:tag w:val="PRACTICE NAME"/>
          <w:id w:val="385458574"/>
          <w:placeholder>
            <w:docPart w:val="DefaultPlaceholder_-1854013440"/>
          </w:placeholder>
          <w:showingPlcHdr/>
          <w:text/>
        </w:sdtPr>
        <w:sdtEndPr/>
        <w:sdtContent>
          <w:r w:rsidRPr="00FC112B" w:rsidR="006D5584">
            <w:rPr>
              <w:bCs/>
            </w:rPr>
            <w:t>Upwell Health Centre and Welle Ltd (Pharmacy)</w:t>
          </w:r>
        </w:sdtContent>
      </w:sdt>
      <w:r w:rsidRPr="006D5584" w:rsidR="006D5584">
        <w:rPr>
          <w:bCs/>
        </w:rPr>
        <w:t xml:space="preserve"> </w:t>
      </w:r>
      <w:proofErr w:type="gramStart"/>
      <w:r w:rsidRPr="006D5584" w:rsidR="006D5584">
        <w:rPr>
          <w:bCs/>
        </w:rPr>
        <w:t>will</w:t>
      </w:r>
      <w:r w:rsidR="006D5584">
        <w:rPr>
          <w:bCs/>
        </w:rPr>
        <w:t>;</w:t>
      </w:r>
      <w:proofErr w:type="gramEnd"/>
    </w:p>
    <w:p w:rsidR="006D5584" w:rsidP="006D5584" w:rsidRDefault="006D5584" w14:paraId="0FA8298F" w14:textId="77777777">
      <w:pPr>
        <w:rPr>
          <w:bCs/>
        </w:rPr>
      </w:pPr>
    </w:p>
    <w:p w:rsidRPr="00FC112B" w:rsidR="006D5584" w:rsidP="00FC112B" w:rsidRDefault="006D5584" w14:paraId="0FF03212" w14:textId="77777777">
      <w:pPr>
        <w:pStyle w:val="ListParagraph"/>
        <w:numPr>
          <w:ilvl w:val="0"/>
          <w:numId w:val="31"/>
        </w:numPr>
        <w:rPr>
          <w:bCs/>
        </w:rPr>
      </w:pPr>
      <w:r w:rsidRPr="00FC112B">
        <w:rPr>
          <w:bCs/>
        </w:rPr>
        <w:t>adopt and maintain protocols for the effective and secure management of its information assets and resources.</w:t>
      </w:r>
    </w:p>
    <w:p w:rsidRPr="00FC112B" w:rsidR="006D5584" w:rsidP="00FC112B" w:rsidRDefault="006D5584" w14:paraId="3FBDFE24" w14:textId="0A58E906">
      <w:pPr>
        <w:pStyle w:val="ListParagraph"/>
        <w:numPr>
          <w:ilvl w:val="0"/>
          <w:numId w:val="31"/>
        </w:numPr>
        <w:rPr>
          <w:bCs/>
        </w:rPr>
      </w:pPr>
      <w:r w:rsidRPr="00FC112B">
        <w:rPr>
          <w:bCs/>
        </w:rPr>
        <w:t>scrutinise new systems or services with regards to protecting its information assets and network.</w:t>
      </w:r>
    </w:p>
    <w:p w:rsidRPr="00FC112B" w:rsidR="006D5584" w:rsidP="00FC112B" w:rsidRDefault="006D5584" w14:paraId="76CB921A" w14:textId="313512D1">
      <w:pPr>
        <w:pStyle w:val="ListParagraph"/>
        <w:numPr>
          <w:ilvl w:val="0"/>
          <w:numId w:val="31"/>
        </w:numPr>
        <w:rPr>
          <w:bCs/>
        </w:rPr>
      </w:pPr>
      <w:r w:rsidRPr="00FC112B">
        <w:rPr>
          <w:bCs/>
        </w:rPr>
        <w:t xml:space="preserve">promote effective information and cyber security practice to its staff through policies, </w:t>
      </w:r>
      <w:proofErr w:type="gramStart"/>
      <w:r w:rsidRPr="00FC112B">
        <w:rPr>
          <w:bCs/>
        </w:rPr>
        <w:t>procedures</w:t>
      </w:r>
      <w:proofErr w:type="gramEnd"/>
      <w:r w:rsidRPr="00FC112B">
        <w:rPr>
          <w:bCs/>
        </w:rPr>
        <w:t xml:space="preserve"> and training.</w:t>
      </w:r>
    </w:p>
    <w:p w:rsidR="006D5584" w:rsidP="00FC112B" w:rsidRDefault="006D5584" w14:paraId="7AB0E647" w14:textId="682F9E26">
      <w:pPr>
        <w:pStyle w:val="ListParagraph"/>
        <w:numPr>
          <w:ilvl w:val="0"/>
          <w:numId w:val="31"/>
        </w:numPr>
        <w:rPr>
          <w:bCs/>
        </w:rPr>
      </w:pPr>
      <w:r w:rsidRPr="00FC112B">
        <w:rPr>
          <w:bCs/>
        </w:rPr>
        <w:t>establish and maintain incident reporting procedures and will monitor and investigate all reported instances of actual or potential breaches of information and cyber security.</w:t>
      </w:r>
    </w:p>
    <w:p w:rsidR="00C03D13" w:rsidP="00C03D13" w:rsidRDefault="00C03D13" w14:paraId="7F480F55" w14:textId="77777777">
      <w:pPr>
        <w:rPr>
          <w:bCs/>
        </w:rPr>
      </w:pPr>
    </w:p>
    <w:p w:rsidR="00C03D13" w:rsidP="00C03D13" w:rsidRDefault="00C03D13" w14:paraId="167757D4" w14:textId="1624EDB0">
      <w:pPr>
        <w:pStyle w:val="Style1"/>
        <w:ind w:left="360"/>
        <w:rPr>
          <w:noProof/>
        </w:rPr>
      </w:pPr>
      <w:bookmarkStart w:name="_Toc97532318" w:id="22"/>
      <w:r>
        <w:t>INFORMATION QUALITY AND RECORDS MANAGEMENT</w:t>
      </w:r>
      <w:bookmarkEnd w:id="22"/>
    </w:p>
    <w:p w:rsidRPr="00C03D13" w:rsidR="00C03D13" w:rsidP="00C03D13" w:rsidRDefault="00C03D13" w14:paraId="0C0E2A3F" w14:textId="77777777">
      <w:pPr>
        <w:rPr>
          <w:bCs/>
        </w:rPr>
      </w:pPr>
    </w:p>
    <w:p w:rsidRPr="00DB7463" w:rsidR="00DB7463" w:rsidP="00DB7463" w:rsidRDefault="00DE555B" w14:paraId="1F03E37E" w14:textId="39B1BE25">
      <w:pPr>
        <w:rPr>
          <w:bCs/>
        </w:rPr>
      </w:pPr>
      <w:sdt>
        <w:sdtPr>
          <w:rPr>
            <w:bCs/>
          </w:rPr>
          <w:alias w:val="PRACTICE NAME"/>
          <w:tag w:val="PRACTICE NAME"/>
          <w:id w:val="-309022893"/>
          <w:placeholder>
            <w:docPart w:val="DefaultPlaceholder_-1854013440"/>
          </w:placeholder>
          <w:showingPlcHdr/>
          <w:text/>
        </w:sdtPr>
        <w:sdtEndPr/>
        <w:sdtContent>
          <w:r w:rsidRPr="00C328B7" w:rsidR="00DB7463">
            <w:rPr>
              <w:rStyle w:val="PlaceholderText"/>
            </w:rPr>
            <w:t>Upwell Health Centre and Welle Ltd (Pharmacy)</w:t>
          </w:r>
        </w:sdtContent>
      </w:sdt>
      <w:r w:rsidR="00DB7463">
        <w:rPr>
          <w:bCs/>
        </w:rPr>
        <w:t xml:space="preserve"> </w:t>
      </w:r>
      <w:proofErr w:type="gramStart"/>
      <w:r w:rsidR="00DB7463">
        <w:rPr>
          <w:bCs/>
        </w:rPr>
        <w:t>will;</w:t>
      </w:r>
      <w:proofErr w:type="gramEnd"/>
    </w:p>
    <w:p w:rsidR="00DB7463" w:rsidP="00DB7463" w:rsidRDefault="00DB7463" w14:paraId="32BBCC86" w14:textId="0C53F761">
      <w:pPr>
        <w:pStyle w:val="ListParagraph"/>
        <w:numPr>
          <w:ilvl w:val="0"/>
          <w:numId w:val="32"/>
        </w:numPr>
        <w:rPr>
          <w:bCs/>
        </w:rPr>
      </w:pPr>
      <w:r w:rsidRPr="00C3792F">
        <w:rPr>
          <w:bCs/>
        </w:rPr>
        <w:t>establish and maintain protocols and procedures for information quality assurance and the effective management of records.</w:t>
      </w:r>
    </w:p>
    <w:p w:rsidR="00DB7463" w:rsidP="00DB7463" w:rsidRDefault="00DB7463" w14:paraId="69A20BDD" w14:textId="4216963F">
      <w:pPr>
        <w:pStyle w:val="ListParagraph"/>
        <w:numPr>
          <w:ilvl w:val="0"/>
          <w:numId w:val="32"/>
        </w:numPr>
        <w:rPr>
          <w:bCs/>
        </w:rPr>
      </w:pPr>
      <w:r>
        <w:rPr>
          <w:bCs/>
        </w:rPr>
        <w:t xml:space="preserve">periodically audit / review information quality and </w:t>
      </w:r>
      <w:r w:rsidRPr="00C3792F">
        <w:rPr>
          <w:bCs/>
        </w:rPr>
        <w:t>records management arrangements.</w:t>
      </w:r>
    </w:p>
    <w:p w:rsidR="00DB7463" w:rsidP="00DB7463" w:rsidRDefault="00DB7463" w14:paraId="08AE1FAA" w14:textId="5D5EA174">
      <w:pPr>
        <w:pStyle w:val="ListParagraph"/>
        <w:numPr>
          <w:ilvl w:val="0"/>
          <w:numId w:val="32"/>
        </w:numPr>
        <w:rPr>
          <w:bCs/>
        </w:rPr>
      </w:pPr>
      <w:r>
        <w:rPr>
          <w:bCs/>
        </w:rPr>
        <w:t>Ensure that m</w:t>
      </w:r>
      <w:r w:rsidRPr="00C3792F">
        <w:rPr>
          <w:bCs/>
        </w:rPr>
        <w:t>anagers take ownership of, and seek to improve, the quality of information within their services.</w:t>
      </w:r>
    </w:p>
    <w:p w:rsidRPr="00C3792F" w:rsidR="00DB7463" w:rsidP="00DB7463" w:rsidRDefault="00DB7463" w14:paraId="1B017256" w14:textId="2F6BDC1D">
      <w:pPr>
        <w:pStyle w:val="ListParagraph"/>
        <w:numPr>
          <w:ilvl w:val="0"/>
          <w:numId w:val="32"/>
        </w:numPr>
        <w:rPr>
          <w:bCs/>
        </w:rPr>
      </w:pPr>
      <w:r>
        <w:t>Aim to ensure information quality at the point of collection.</w:t>
      </w:r>
    </w:p>
    <w:p w:rsidRPr="00E347A7" w:rsidR="00DB7463" w:rsidP="00DB7463" w:rsidRDefault="00DB7463" w14:paraId="218BFBDA" w14:textId="6AEB6340">
      <w:pPr>
        <w:pStyle w:val="ListParagraph"/>
        <w:numPr>
          <w:ilvl w:val="0"/>
          <w:numId w:val="32"/>
        </w:numPr>
        <w:rPr>
          <w:bCs/>
        </w:rPr>
      </w:pPr>
      <w:r>
        <w:t>Set data standards through clear and consistent definition of data items, in accordance with national standards.</w:t>
      </w:r>
    </w:p>
    <w:p w:rsidR="00E347A7" w:rsidP="00417EEA" w:rsidRDefault="00E347A7" w14:paraId="576D31EC" w14:textId="7DE53D29">
      <w:pPr>
        <w:pStyle w:val="Style1"/>
        <w:ind w:left="360"/>
      </w:pPr>
      <w:bookmarkStart w:name="_Toc97532319" w:id="23"/>
      <w:r>
        <w:lastRenderedPageBreak/>
        <w:t>PROTOCOLS BENEATH THIS POLICY</w:t>
      </w:r>
      <w:bookmarkEnd w:id="23"/>
    </w:p>
    <w:p w:rsidRPr="00E347A7" w:rsidR="00E347A7" w:rsidP="00E347A7" w:rsidRDefault="00E347A7" w14:paraId="63CDE7D9" w14:textId="77777777">
      <w:pPr>
        <w:rPr>
          <w:bCs/>
        </w:rPr>
      </w:pPr>
    </w:p>
    <w:p w:rsidR="00905698" w:rsidP="006D5584" w:rsidRDefault="00BC636D" w14:paraId="402BD04D" w14:textId="3D2FF84C">
      <w:pPr>
        <w:tabs>
          <w:tab w:val="left" w:pos="900"/>
        </w:tabs>
      </w:pPr>
      <w:r>
        <w:t xml:space="preserve">To ensure that the commitments made in this policy are satisfied, a number of protocols have been developed as </w:t>
      </w:r>
      <w:proofErr w:type="gramStart"/>
      <w:r>
        <w:t>below;</w:t>
      </w:r>
      <w:proofErr w:type="gramEnd"/>
    </w:p>
    <w:p w:rsidRPr="00417EEA" w:rsidR="00417EEA" w:rsidP="00417EEA" w:rsidRDefault="00417EEA" w14:paraId="44AD040A" w14:textId="77777777">
      <w:pPr>
        <w:pStyle w:val="ListParagraph"/>
        <w:numPr>
          <w:ilvl w:val="0"/>
          <w:numId w:val="33"/>
        </w:numPr>
        <w:rPr>
          <w:lang w:val="en-US"/>
        </w:rPr>
      </w:pPr>
      <w:r w:rsidRPr="00417EEA">
        <w:rPr>
          <w:lang w:val="en-US"/>
        </w:rPr>
        <w:t>DPS02 Information Rights and Transparency Protocol</w:t>
      </w:r>
    </w:p>
    <w:p w:rsidRPr="00417EEA" w:rsidR="00417EEA" w:rsidP="00417EEA" w:rsidRDefault="00417EEA" w14:paraId="3C80DD82" w14:textId="77777777">
      <w:pPr>
        <w:pStyle w:val="ListParagraph"/>
        <w:numPr>
          <w:ilvl w:val="0"/>
          <w:numId w:val="33"/>
        </w:numPr>
        <w:rPr>
          <w:lang w:val="en-US"/>
        </w:rPr>
      </w:pPr>
      <w:r w:rsidRPr="00417EEA">
        <w:rPr>
          <w:lang w:val="en-US"/>
        </w:rPr>
        <w:t>DPS03 Information Disclosure (Including SARs) Protocol</w:t>
      </w:r>
    </w:p>
    <w:p w:rsidRPr="00417EEA" w:rsidR="00417EEA" w:rsidP="00417EEA" w:rsidRDefault="00417EEA" w14:paraId="36BE90F4" w14:textId="77777777">
      <w:pPr>
        <w:pStyle w:val="ListParagraph"/>
        <w:numPr>
          <w:ilvl w:val="0"/>
          <w:numId w:val="33"/>
        </w:numPr>
        <w:rPr>
          <w:lang w:val="en-US"/>
        </w:rPr>
      </w:pPr>
      <w:r w:rsidRPr="00417EEA">
        <w:rPr>
          <w:lang w:val="en-US"/>
        </w:rPr>
        <w:t>DPS04 Information Risk and Change Management Protocol</w:t>
      </w:r>
    </w:p>
    <w:p w:rsidRPr="00417EEA" w:rsidR="00417EEA" w:rsidP="00417EEA" w:rsidRDefault="00417EEA" w14:paraId="47CBBA7B" w14:textId="77777777">
      <w:pPr>
        <w:pStyle w:val="ListParagraph"/>
        <w:numPr>
          <w:ilvl w:val="0"/>
          <w:numId w:val="33"/>
        </w:numPr>
        <w:rPr>
          <w:lang w:val="en-US"/>
        </w:rPr>
      </w:pPr>
      <w:r w:rsidRPr="00417EEA">
        <w:rPr>
          <w:lang w:val="en-US"/>
        </w:rPr>
        <w:t>DPS05 Confidentiality and Information Sharing Protocol</w:t>
      </w:r>
    </w:p>
    <w:p w:rsidRPr="00417EEA" w:rsidR="00417EEA" w:rsidP="00417EEA" w:rsidRDefault="00417EEA" w14:paraId="6DBDD25A" w14:textId="77777777">
      <w:pPr>
        <w:pStyle w:val="ListParagraph"/>
        <w:numPr>
          <w:ilvl w:val="0"/>
          <w:numId w:val="33"/>
        </w:numPr>
        <w:rPr>
          <w:lang w:val="en-US"/>
        </w:rPr>
      </w:pPr>
      <w:r w:rsidRPr="00417EEA">
        <w:rPr>
          <w:lang w:val="en-US"/>
        </w:rPr>
        <w:t>DPS06 Video, Photography and Audio Recording Protocol</w:t>
      </w:r>
    </w:p>
    <w:p w:rsidRPr="00417EEA" w:rsidR="00417EEA" w:rsidP="00417EEA" w:rsidRDefault="00417EEA" w14:paraId="263BC673" w14:textId="77777777">
      <w:pPr>
        <w:pStyle w:val="ListParagraph"/>
        <w:numPr>
          <w:ilvl w:val="0"/>
          <w:numId w:val="33"/>
        </w:numPr>
        <w:rPr>
          <w:lang w:val="en-US"/>
        </w:rPr>
      </w:pPr>
      <w:r w:rsidRPr="00417EEA">
        <w:rPr>
          <w:lang w:val="en-US"/>
        </w:rPr>
        <w:t>DPS07 Records Management and Data Quality Protocol</w:t>
      </w:r>
    </w:p>
    <w:p w:rsidRPr="00417EEA" w:rsidR="00417EEA" w:rsidP="00417EEA" w:rsidRDefault="00417EEA" w14:paraId="5E38F813" w14:textId="77777777">
      <w:pPr>
        <w:pStyle w:val="ListParagraph"/>
        <w:numPr>
          <w:ilvl w:val="0"/>
          <w:numId w:val="33"/>
        </w:numPr>
        <w:rPr>
          <w:lang w:val="en-US"/>
        </w:rPr>
      </w:pPr>
      <w:r w:rsidRPr="00417EEA">
        <w:rPr>
          <w:lang w:val="en-US"/>
        </w:rPr>
        <w:t>DPS08 Freedom of Information Protocol</w:t>
      </w:r>
    </w:p>
    <w:p w:rsidRPr="00417EEA" w:rsidR="00417EEA" w:rsidP="00417EEA" w:rsidRDefault="00417EEA" w14:paraId="4A91E9FC" w14:textId="77777777">
      <w:pPr>
        <w:pStyle w:val="ListParagraph"/>
        <w:numPr>
          <w:ilvl w:val="0"/>
          <w:numId w:val="33"/>
        </w:numPr>
        <w:rPr>
          <w:lang w:val="en-US"/>
        </w:rPr>
      </w:pPr>
      <w:r w:rsidRPr="00417EEA">
        <w:rPr>
          <w:lang w:val="en-US"/>
        </w:rPr>
        <w:t xml:space="preserve">DPS09 National Data </w:t>
      </w:r>
      <w:proofErr w:type="spellStart"/>
      <w:r w:rsidRPr="00417EEA">
        <w:rPr>
          <w:lang w:val="en-US"/>
        </w:rPr>
        <w:t>Opt</w:t>
      </w:r>
      <w:proofErr w:type="spellEnd"/>
      <w:r w:rsidRPr="00417EEA">
        <w:rPr>
          <w:lang w:val="en-US"/>
        </w:rPr>
        <w:t xml:space="preserve"> Out Protocol</w:t>
      </w:r>
    </w:p>
    <w:p w:rsidRPr="00417EEA" w:rsidR="00417EEA" w:rsidP="00417EEA" w:rsidRDefault="00417EEA" w14:paraId="5ACA56C4" w14:textId="77777777">
      <w:pPr>
        <w:pStyle w:val="ListParagraph"/>
        <w:numPr>
          <w:ilvl w:val="0"/>
          <w:numId w:val="33"/>
        </w:numPr>
        <w:rPr>
          <w:lang w:val="en-US"/>
        </w:rPr>
      </w:pPr>
      <w:r w:rsidRPr="00417EEA">
        <w:rPr>
          <w:lang w:val="en-US"/>
        </w:rPr>
        <w:t>DPS10 Online Access Protocol</w:t>
      </w:r>
    </w:p>
    <w:p w:rsidRPr="00417EEA" w:rsidR="00417EEA" w:rsidP="00417EEA" w:rsidRDefault="00417EEA" w14:paraId="1F6F7E76" w14:textId="77777777">
      <w:pPr>
        <w:pStyle w:val="ListParagraph"/>
        <w:numPr>
          <w:ilvl w:val="0"/>
          <w:numId w:val="33"/>
        </w:numPr>
        <w:rPr>
          <w:lang w:val="en-US"/>
        </w:rPr>
      </w:pPr>
      <w:r w:rsidRPr="00417EEA">
        <w:rPr>
          <w:lang w:val="en-US"/>
        </w:rPr>
        <w:t>DPS11 Information Incident Protocol</w:t>
      </w:r>
    </w:p>
    <w:p w:rsidRPr="00417EEA" w:rsidR="00417EEA" w:rsidP="00417EEA" w:rsidRDefault="00417EEA" w14:paraId="135345DE" w14:textId="77777777">
      <w:pPr>
        <w:pStyle w:val="ListParagraph"/>
        <w:numPr>
          <w:ilvl w:val="0"/>
          <w:numId w:val="33"/>
        </w:numPr>
        <w:rPr>
          <w:lang w:val="en-US"/>
        </w:rPr>
      </w:pPr>
      <w:r w:rsidRPr="00417EEA">
        <w:rPr>
          <w:lang w:val="en-US"/>
        </w:rPr>
        <w:t>DPS12 Information Security and Cyber Security Protocol</w:t>
      </w:r>
    </w:p>
    <w:p w:rsidR="00BC636D" w:rsidP="006D5584" w:rsidRDefault="00BC636D" w14:paraId="087F912B" w14:textId="77777777">
      <w:pPr>
        <w:tabs>
          <w:tab w:val="left" w:pos="900"/>
        </w:tabs>
      </w:pPr>
    </w:p>
    <w:p w:rsidR="00384B78" w:rsidP="00384B78" w:rsidRDefault="00384B78" w14:paraId="15A70F98" w14:textId="6293DAA4">
      <w:pPr>
        <w:pStyle w:val="Style1"/>
        <w:ind w:left="360"/>
        <w:rPr>
          <w:noProof/>
        </w:rPr>
      </w:pPr>
      <w:bookmarkStart w:name="_Toc97532320" w:id="24"/>
      <w:r>
        <w:t>APPLICATION AND AUDIT</w:t>
      </w:r>
      <w:bookmarkEnd w:id="24"/>
    </w:p>
    <w:p w:rsidR="00384B78" w:rsidP="00D07BEF" w:rsidRDefault="00384B78" w14:paraId="72847DFB" w14:textId="77777777"/>
    <w:p w:rsidR="00D07BEF" w:rsidP="00D07BEF" w:rsidRDefault="00D07BEF" w14:paraId="5DEE5BF3" w14:textId="449DBDBB">
      <w:r>
        <w:t>Compliance with this protocol will be audited and the results fed into the Plan, Do, Check, Act Cycle described in the Information Risk and Audit Protocol.</w:t>
      </w:r>
    </w:p>
    <w:p w:rsidRPr="0009724E" w:rsidR="0009724E" w:rsidP="0009724E" w:rsidRDefault="0009724E" w14:paraId="66486799" w14:textId="77777777">
      <w:pPr>
        <w:pStyle w:val="ListParagraph"/>
        <w:numPr>
          <w:ilvl w:val="0"/>
          <w:numId w:val="37"/>
        </w:numPr>
      </w:pPr>
      <w:r w:rsidRPr="0009724E">
        <w:t>Compliance with this protocol will be audited and the results fed into the Plan, Do, Check, Act Cycle described in the Information Risk and Audit Protocol.</w:t>
      </w:r>
    </w:p>
    <w:p w:rsidRPr="0009724E" w:rsidR="0009724E" w:rsidP="0009724E" w:rsidRDefault="0009724E" w14:paraId="02BB3AD1" w14:textId="77777777">
      <w:pPr>
        <w:pStyle w:val="ListParagraph"/>
        <w:numPr>
          <w:ilvl w:val="0"/>
          <w:numId w:val="37"/>
        </w:numPr>
      </w:pPr>
      <w:r w:rsidRPr="0009724E">
        <w:t xml:space="preserve">Staff must confirm that they have read and understood this </w:t>
      </w:r>
      <w:proofErr w:type="gramStart"/>
      <w:r w:rsidRPr="0009724E">
        <w:t>protocol</w:t>
      </w:r>
      <w:proofErr w:type="gramEnd"/>
    </w:p>
    <w:p w:rsidRPr="0009724E" w:rsidR="0009724E" w:rsidP="0009724E" w:rsidRDefault="0009724E" w14:paraId="63CC1C6B" w14:textId="77777777">
      <w:pPr>
        <w:pStyle w:val="ListParagraph"/>
        <w:numPr>
          <w:ilvl w:val="0"/>
          <w:numId w:val="37"/>
        </w:numPr>
      </w:pPr>
      <w:r w:rsidRPr="0009724E">
        <w:t xml:space="preserve">This protocol will be reviewed annually or sooner in the event of significant learning or </w:t>
      </w:r>
      <w:proofErr w:type="gramStart"/>
      <w:r w:rsidRPr="0009724E">
        <w:t>change</w:t>
      </w:r>
      <w:proofErr w:type="gramEnd"/>
    </w:p>
    <w:p w:rsidRPr="0009724E" w:rsidR="0009724E" w:rsidP="0009724E" w:rsidRDefault="0009724E" w14:paraId="286B336E" w14:textId="77777777">
      <w:pPr>
        <w:pStyle w:val="ListParagraph"/>
        <w:numPr>
          <w:ilvl w:val="0"/>
          <w:numId w:val="37"/>
        </w:numPr>
      </w:pPr>
      <w:r w:rsidRPr="0009724E">
        <w:t>This protocol should be read in conjunction with the other protocols in the Data Protection and Security policy suite</w:t>
      </w:r>
    </w:p>
    <w:p w:rsidR="006F1BFC" w:rsidP="0009724E" w:rsidRDefault="006F1BFC" w14:paraId="7F2A8322" w14:textId="421622F8">
      <w:pPr>
        <w:pStyle w:val="ListParagraph"/>
      </w:pPr>
    </w:p>
    <w:sectPr w:rsidR="006F1B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altName w:val="Century Gothic"/>
    <w:panose1 w:val="020F0502020204030204"/>
    <w:charset w:val="00"/>
    <w:family w:val="swiss"/>
    <w:pitch w:val="variable"/>
    <w:sig w:usb0="E4002EFF" w:usb1="C2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Libre Caslon Display">
    <w:altName w:val="Cambria"/>
    <w:panose1 w:val="00000000000000000000"/>
    <w:charset w:val="00"/>
    <w:family w:val="roman"/>
    <w:notTrueType/>
    <w:pitch w:val="variable"/>
    <w:sig w:usb0="A00000FF" w:usb1="5000205B"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277F"/>
    <w:multiLevelType w:val="hybridMultilevel"/>
    <w:tmpl w:val="ECCCEF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51985"/>
    <w:multiLevelType w:val="hybridMultilevel"/>
    <w:tmpl w:val="5BCA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732D2"/>
    <w:multiLevelType w:val="hybridMultilevel"/>
    <w:tmpl w:val="D8A84F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72C15"/>
    <w:multiLevelType w:val="hybridMultilevel"/>
    <w:tmpl w:val="A7D4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57129"/>
    <w:multiLevelType w:val="hybridMultilevel"/>
    <w:tmpl w:val="E35242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D3AE5"/>
    <w:multiLevelType w:val="hybridMultilevel"/>
    <w:tmpl w:val="3F2249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73CA0"/>
    <w:multiLevelType w:val="hybridMultilevel"/>
    <w:tmpl w:val="124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B1A2C"/>
    <w:multiLevelType w:val="hybridMultilevel"/>
    <w:tmpl w:val="924C0032"/>
    <w:lvl w:ilvl="0" w:tplc="D676F75C">
      <w:start w:val="1"/>
      <w:numFmt w:val="bullet"/>
      <w:lvlText w:val=""/>
      <w:lvlJc w:val="left"/>
      <w:pPr>
        <w:ind w:left="720" w:hanging="360"/>
      </w:pPr>
      <w:rPr>
        <w:rFonts w:ascii="Symbol" w:hAnsi="Symbol" w:hint="default"/>
        <w:color w:val="385623" w:themeColor="accent6" w:themeShade="80"/>
        <w:sz w:val="36"/>
        <w:szCs w:val="36"/>
        <w:u w:color="385623"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E761A"/>
    <w:multiLevelType w:val="hybridMultilevel"/>
    <w:tmpl w:val="3B348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D2761"/>
    <w:multiLevelType w:val="hybridMultilevel"/>
    <w:tmpl w:val="D8780A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83779"/>
    <w:multiLevelType w:val="hybridMultilevel"/>
    <w:tmpl w:val="1CEE188A"/>
    <w:lvl w:ilvl="0" w:tplc="64FC92D4">
      <w:numFmt w:val="bullet"/>
      <w:lvlText w:val="•"/>
      <w:lvlJc w:val="left"/>
      <w:pPr>
        <w:ind w:left="720" w:hanging="36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51AD6"/>
    <w:multiLevelType w:val="hybridMultilevel"/>
    <w:tmpl w:val="7C74DA86"/>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8F7CBB"/>
    <w:multiLevelType w:val="hybridMultilevel"/>
    <w:tmpl w:val="ABDCC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1C1712"/>
    <w:multiLevelType w:val="hybridMultilevel"/>
    <w:tmpl w:val="9BA0C5B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8F3D46"/>
    <w:multiLevelType w:val="hybridMultilevel"/>
    <w:tmpl w:val="E35AA3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3225C9"/>
    <w:multiLevelType w:val="hybridMultilevel"/>
    <w:tmpl w:val="85D827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92CF3"/>
    <w:multiLevelType w:val="hybridMultilevel"/>
    <w:tmpl w:val="7B723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4114C0"/>
    <w:multiLevelType w:val="hybridMultilevel"/>
    <w:tmpl w:val="995A91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9E3C9A"/>
    <w:multiLevelType w:val="hybridMultilevel"/>
    <w:tmpl w:val="83DE7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81E94"/>
    <w:multiLevelType w:val="hybridMultilevel"/>
    <w:tmpl w:val="65667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891E97"/>
    <w:multiLevelType w:val="hybridMultilevel"/>
    <w:tmpl w:val="7334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46411"/>
    <w:multiLevelType w:val="hybridMultilevel"/>
    <w:tmpl w:val="7010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9B04A2"/>
    <w:multiLevelType w:val="hybridMultilevel"/>
    <w:tmpl w:val="D7BA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8B4C05"/>
    <w:multiLevelType w:val="hybridMultilevel"/>
    <w:tmpl w:val="11FC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AE67E4"/>
    <w:multiLevelType w:val="hybridMultilevel"/>
    <w:tmpl w:val="D904EF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51012D"/>
    <w:multiLevelType w:val="hybridMultilevel"/>
    <w:tmpl w:val="7FD8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5F3245"/>
    <w:multiLevelType w:val="hybridMultilevel"/>
    <w:tmpl w:val="98B8708E"/>
    <w:lvl w:ilvl="0" w:tplc="E7EA7CD0">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4771AE"/>
    <w:multiLevelType w:val="hybridMultilevel"/>
    <w:tmpl w:val="E342209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DB63C19"/>
    <w:multiLevelType w:val="hybridMultilevel"/>
    <w:tmpl w:val="939A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E36EDE"/>
    <w:multiLevelType w:val="hybridMultilevel"/>
    <w:tmpl w:val="29E21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693C1B"/>
    <w:multiLevelType w:val="hybridMultilevel"/>
    <w:tmpl w:val="3724D3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076B3E"/>
    <w:multiLevelType w:val="hybridMultilevel"/>
    <w:tmpl w:val="2684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CA6CDC"/>
    <w:multiLevelType w:val="hybridMultilevel"/>
    <w:tmpl w:val="E04A2A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866CDB"/>
    <w:multiLevelType w:val="hybridMultilevel"/>
    <w:tmpl w:val="DF1C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507930"/>
    <w:multiLevelType w:val="hybridMultilevel"/>
    <w:tmpl w:val="25184C54"/>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BB94E89"/>
    <w:multiLevelType w:val="hybridMultilevel"/>
    <w:tmpl w:val="42040E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1103872">
    <w:abstractNumId w:val="12"/>
  </w:num>
  <w:num w:numId="2" w16cid:durableId="2145998687">
    <w:abstractNumId w:val="7"/>
  </w:num>
  <w:num w:numId="3" w16cid:durableId="1020932341">
    <w:abstractNumId w:val="29"/>
  </w:num>
  <w:num w:numId="4" w16cid:durableId="2086295042">
    <w:abstractNumId w:val="18"/>
  </w:num>
  <w:num w:numId="5" w16cid:durableId="144012632">
    <w:abstractNumId w:val="19"/>
  </w:num>
  <w:num w:numId="6" w16cid:durableId="2108231081">
    <w:abstractNumId w:val="16"/>
  </w:num>
  <w:num w:numId="7" w16cid:durableId="261034257">
    <w:abstractNumId w:val="23"/>
  </w:num>
  <w:num w:numId="8" w16cid:durableId="1062363116">
    <w:abstractNumId w:val="25"/>
  </w:num>
  <w:num w:numId="9" w16cid:durableId="1120878787">
    <w:abstractNumId w:val="1"/>
  </w:num>
  <w:num w:numId="10" w16cid:durableId="2088182537">
    <w:abstractNumId w:val="31"/>
  </w:num>
  <w:num w:numId="11" w16cid:durableId="731804905">
    <w:abstractNumId w:val="17"/>
  </w:num>
  <w:num w:numId="12" w16cid:durableId="1071469994">
    <w:abstractNumId w:val="14"/>
  </w:num>
  <w:num w:numId="13" w16cid:durableId="1637448140">
    <w:abstractNumId w:val="2"/>
  </w:num>
  <w:num w:numId="14" w16cid:durableId="761293555">
    <w:abstractNumId w:val="5"/>
  </w:num>
  <w:num w:numId="15" w16cid:durableId="669023782">
    <w:abstractNumId w:val="24"/>
  </w:num>
  <w:num w:numId="16" w16cid:durableId="1560701474">
    <w:abstractNumId w:val="30"/>
  </w:num>
  <w:num w:numId="17" w16cid:durableId="143083911">
    <w:abstractNumId w:val="10"/>
  </w:num>
  <w:num w:numId="18" w16cid:durableId="136264901">
    <w:abstractNumId w:val="32"/>
  </w:num>
  <w:num w:numId="19" w16cid:durableId="149368585">
    <w:abstractNumId w:val="15"/>
  </w:num>
  <w:num w:numId="20" w16cid:durableId="1700349369">
    <w:abstractNumId w:val="11"/>
  </w:num>
  <w:num w:numId="21" w16cid:durableId="736897482">
    <w:abstractNumId w:val="13"/>
  </w:num>
  <w:num w:numId="22" w16cid:durableId="1403216000">
    <w:abstractNumId w:val="9"/>
  </w:num>
  <w:num w:numId="23" w16cid:durableId="891499082">
    <w:abstractNumId w:val="4"/>
  </w:num>
  <w:num w:numId="24" w16cid:durableId="1456942937">
    <w:abstractNumId w:val="35"/>
  </w:num>
  <w:num w:numId="25" w16cid:durableId="1796291942">
    <w:abstractNumId w:val="0"/>
  </w:num>
  <w:num w:numId="26" w16cid:durableId="92556865">
    <w:abstractNumId w:val="20"/>
  </w:num>
  <w:num w:numId="27" w16cid:durableId="58023858">
    <w:abstractNumId w:val="22"/>
  </w:num>
  <w:num w:numId="28" w16cid:durableId="2147311366">
    <w:abstractNumId w:val="33"/>
  </w:num>
  <w:num w:numId="29" w16cid:durableId="1165129708">
    <w:abstractNumId w:val="6"/>
  </w:num>
  <w:num w:numId="30" w16cid:durableId="1509908505">
    <w:abstractNumId w:val="28"/>
  </w:num>
  <w:num w:numId="31" w16cid:durableId="994142718">
    <w:abstractNumId w:val="3"/>
  </w:num>
  <w:num w:numId="32" w16cid:durableId="1767535124">
    <w:abstractNumId w:val="21"/>
  </w:num>
  <w:num w:numId="33" w16cid:durableId="1859810375">
    <w:abstractNumId w:val="8"/>
  </w:num>
  <w:num w:numId="34" w16cid:durableId="1002584347">
    <w:abstractNumId w:val="26"/>
  </w:num>
  <w:num w:numId="35" w16cid:durableId="72435884">
    <w:abstractNumId w:val="34"/>
  </w:num>
  <w:num w:numId="36" w16cid:durableId="2006738533">
    <w:abstractNumId w:val="26"/>
  </w:num>
  <w:num w:numId="37" w16cid:durableId="20130979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A3"/>
    <w:rsid w:val="00020D6C"/>
    <w:rsid w:val="000263A9"/>
    <w:rsid w:val="00027B8F"/>
    <w:rsid w:val="0003619F"/>
    <w:rsid w:val="00054103"/>
    <w:rsid w:val="00062608"/>
    <w:rsid w:val="00064AB5"/>
    <w:rsid w:val="0009724E"/>
    <w:rsid w:val="001106AD"/>
    <w:rsid w:val="00122384"/>
    <w:rsid w:val="00142FDD"/>
    <w:rsid w:val="00177D0F"/>
    <w:rsid w:val="001868EB"/>
    <w:rsid w:val="00186B1E"/>
    <w:rsid w:val="001907A4"/>
    <w:rsid w:val="001B284E"/>
    <w:rsid w:val="001C6F96"/>
    <w:rsid w:val="001E3621"/>
    <w:rsid w:val="001F0A36"/>
    <w:rsid w:val="00202590"/>
    <w:rsid w:val="00220FFA"/>
    <w:rsid w:val="00231ABE"/>
    <w:rsid w:val="002352C3"/>
    <w:rsid w:val="00235CAE"/>
    <w:rsid w:val="00246FF1"/>
    <w:rsid w:val="002535F1"/>
    <w:rsid w:val="00266506"/>
    <w:rsid w:val="002903B3"/>
    <w:rsid w:val="002B5202"/>
    <w:rsid w:val="002D2555"/>
    <w:rsid w:val="002E596D"/>
    <w:rsid w:val="002E5F3A"/>
    <w:rsid w:val="00303EA1"/>
    <w:rsid w:val="00326027"/>
    <w:rsid w:val="0032690E"/>
    <w:rsid w:val="0033404A"/>
    <w:rsid w:val="0034322A"/>
    <w:rsid w:val="003674BE"/>
    <w:rsid w:val="00384B78"/>
    <w:rsid w:val="00397A2F"/>
    <w:rsid w:val="003A4BD8"/>
    <w:rsid w:val="003B3816"/>
    <w:rsid w:val="003D3B97"/>
    <w:rsid w:val="003D725F"/>
    <w:rsid w:val="00411241"/>
    <w:rsid w:val="00417EEA"/>
    <w:rsid w:val="00431138"/>
    <w:rsid w:val="00445CAC"/>
    <w:rsid w:val="00451847"/>
    <w:rsid w:val="00464B53"/>
    <w:rsid w:val="00471BE3"/>
    <w:rsid w:val="00474201"/>
    <w:rsid w:val="00487881"/>
    <w:rsid w:val="004969C0"/>
    <w:rsid w:val="004A144A"/>
    <w:rsid w:val="004B71BF"/>
    <w:rsid w:val="004B79B7"/>
    <w:rsid w:val="004C6663"/>
    <w:rsid w:val="004D047A"/>
    <w:rsid w:val="004D3BFF"/>
    <w:rsid w:val="004D6369"/>
    <w:rsid w:val="004E2374"/>
    <w:rsid w:val="00502B22"/>
    <w:rsid w:val="00511024"/>
    <w:rsid w:val="00521600"/>
    <w:rsid w:val="00535F69"/>
    <w:rsid w:val="00540D66"/>
    <w:rsid w:val="00546579"/>
    <w:rsid w:val="0059126E"/>
    <w:rsid w:val="0059375A"/>
    <w:rsid w:val="005A10C1"/>
    <w:rsid w:val="005B6851"/>
    <w:rsid w:val="005C0885"/>
    <w:rsid w:val="005C5F06"/>
    <w:rsid w:val="005C6C28"/>
    <w:rsid w:val="005D0D15"/>
    <w:rsid w:val="005D501F"/>
    <w:rsid w:val="005D6EF4"/>
    <w:rsid w:val="005E68D9"/>
    <w:rsid w:val="005F2B8E"/>
    <w:rsid w:val="005F5665"/>
    <w:rsid w:val="00604011"/>
    <w:rsid w:val="006134DD"/>
    <w:rsid w:val="00624266"/>
    <w:rsid w:val="006669D1"/>
    <w:rsid w:val="006759B1"/>
    <w:rsid w:val="00687325"/>
    <w:rsid w:val="00690491"/>
    <w:rsid w:val="006919D1"/>
    <w:rsid w:val="006D0C1B"/>
    <w:rsid w:val="006D5584"/>
    <w:rsid w:val="006F033A"/>
    <w:rsid w:val="006F1BFC"/>
    <w:rsid w:val="006F3D6C"/>
    <w:rsid w:val="007122BA"/>
    <w:rsid w:val="0073236E"/>
    <w:rsid w:val="00744F72"/>
    <w:rsid w:val="00750FE2"/>
    <w:rsid w:val="00777508"/>
    <w:rsid w:val="007A13A3"/>
    <w:rsid w:val="007A615C"/>
    <w:rsid w:val="007B09F0"/>
    <w:rsid w:val="007C2A4A"/>
    <w:rsid w:val="00804565"/>
    <w:rsid w:val="0082483E"/>
    <w:rsid w:val="00827665"/>
    <w:rsid w:val="0088637C"/>
    <w:rsid w:val="008A1351"/>
    <w:rsid w:val="008A6188"/>
    <w:rsid w:val="008C5B2C"/>
    <w:rsid w:val="008D666F"/>
    <w:rsid w:val="008E0590"/>
    <w:rsid w:val="008E6AF4"/>
    <w:rsid w:val="008F0E90"/>
    <w:rsid w:val="008F61C3"/>
    <w:rsid w:val="00905698"/>
    <w:rsid w:val="00916C7F"/>
    <w:rsid w:val="00935C9D"/>
    <w:rsid w:val="00951479"/>
    <w:rsid w:val="00951C22"/>
    <w:rsid w:val="00970373"/>
    <w:rsid w:val="00970556"/>
    <w:rsid w:val="00974730"/>
    <w:rsid w:val="00975312"/>
    <w:rsid w:val="00996585"/>
    <w:rsid w:val="00997CF2"/>
    <w:rsid w:val="009B1777"/>
    <w:rsid w:val="009C7762"/>
    <w:rsid w:val="009F0A77"/>
    <w:rsid w:val="00A65610"/>
    <w:rsid w:val="00A708FD"/>
    <w:rsid w:val="00A83366"/>
    <w:rsid w:val="00AC226E"/>
    <w:rsid w:val="00AD1F29"/>
    <w:rsid w:val="00AE078B"/>
    <w:rsid w:val="00AF1F74"/>
    <w:rsid w:val="00B01E6E"/>
    <w:rsid w:val="00B02D7C"/>
    <w:rsid w:val="00B21C8A"/>
    <w:rsid w:val="00B525C3"/>
    <w:rsid w:val="00B75D79"/>
    <w:rsid w:val="00B91D88"/>
    <w:rsid w:val="00BA1866"/>
    <w:rsid w:val="00BC636D"/>
    <w:rsid w:val="00BE3EB6"/>
    <w:rsid w:val="00C03D13"/>
    <w:rsid w:val="00C13407"/>
    <w:rsid w:val="00C154CA"/>
    <w:rsid w:val="00C327BF"/>
    <w:rsid w:val="00C50461"/>
    <w:rsid w:val="00C545A5"/>
    <w:rsid w:val="00C56146"/>
    <w:rsid w:val="00C60877"/>
    <w:rsid w:val="00C63ACF"/>
    <w:rsid w:val="00C90EF1"/>
    <w:rsid w:val="00C9211D"/>
    <w:rsid w:val="00C95294"/>
    <w:rsid w:val="00CC5E98"/>
    <w:rsid w:val="00CD73BF"/>
    <w:rsid w:val="00CF1407"/>
    <w:rsid w:val="00CF6320"/>
    <w:rsid w:val="00D07BEF"/>
    <w:rsid w:val="00D44D5E"/>
    <w:rsid w:val="00DA5CF9"/>
    <w:rsid w:val="00DB7463"/>
    <w:rsid w:val="00DC27E0"/>
    <w:rsid w:val="00DD00B9"/>
    <w:rsid w:val="00DE0950"/>
    <w:rsid w:val="00DE555B"/>
    <w:rsid w:val="00E22DAA"/>
    <w:rsid w:val="00E333F1"/>
    <w:rsid w:val="00E347A7"/>
    <w:rsid w:val="00E374E9"/>
    <w:rsid w:val="00E41C43"/>
    <w:rsid w:val="00E562A9"/>
    <w:rsid w:val="00E966AE"/>
    <w:rsid w:val="00EA6D5F"/>
    <w:rsid w:val="00EB3223"/>
    <w:rsid w:val="00ED2AC8"/>
    <w:rsid w:val="00ED74A3"/>
    <w:rsid w:val="00ED7632"/>
    <w:rsid w:val="00EE3E92"/>
    <w:rsid w:val="00EF1827"/>
    <w:rsid w:val="00F17971"/>
    <w:rsid w:val="00F206BA"/>
    <w:rsid w:val="00F375D6"/>
    <w:rsid w:val="00F749F7"/>
    <w:rsid w:val="00F81057"/>
    <w:rsid w:val="00F92E1D"/>
    <w:rsid w:val="00FA33C1"/>
    <w:rsid w:val="00FA5E55"/>
    <w:rsid w:val="00FB3ECD"/>
    <w:rsid w:val="00FC112B"/>
    <w:rsid w:val="00FF2EBE"/>
    <w:rsid w:val="00FF367E"/>
    <w:rsid w:val="00FF4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8F20"/>
  <w15:chartTrackingRefBased/>
  <w15:docId w15:val="{47A643DE-E5FB-4683-BFFD-A9AB5C7E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A3"/>
    <w:pPr>
      <w:spacing w:line="360" w:lineRule="auto"/>
      <w:contextualSpacing/>
    </w:pPr>
    <w:rPr>
      <w:rFonts w:ascii="Roboto Lt" w:hAnsi="Roboto Lt"/>
      <w:szCs w:val="24"/>
    </w:rPr>
  </w:style>
  <w:style w:type="paragraph" w:styleId="Heading1">
    <w:name w:val="heading 1"/>
    <w:basedOn w:val="Normal"/>
    <w:next w:val="Normal"/>
    <w:link w:val="Heading1Char"/>
    <w:uiPriority w:val="9"/>
    <w:qFormat/>
    <w:rsid w:val="00ED74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626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ED74A3"/>
    <w:pPr>
      <w:numPr>
        <w:numId w:val="34"/>
      </w:numPr>
      <w:pBdr>
        <w:top w:val="single" w:sz="24" w:space="8" w:color="464646"/>
        <w:bottom w:val="single" w:sz="24" w:space="8" w:color="464646"/>
      </w:pBdr>
      <w:jc w:val="right"/>
    </w:pPr>
    <w:rPr>
      <w:rFonts w:ascii="Libre Caslon Display" w:hAnsi="Libre Caslon Display"/>
      <w:color w:val="1F4B18"/>
      <w:sz w:val="40"/>
      <w:szCs w:val="40"/>
    </w:rPr>
  </w:style>
  <w:style w:type="character" w:customStyle="1" w:styleId="Style1Char">
    <w:name w:val="Style1 Char"/>
    <w:basedOn w:val="DefaultParagraphFont"/>
    <w:link w:val="Style1"/>
    <w:rsid w:val="00ED74A3"/>
    <w:rPr>
      <w:rFonts w:ascii="Libre Caslon Display" w:eastAsiaTheme="majorEastAsia" w:hAnsi="Libre Caslon Display" w:cstheme="majorBidi"/>
      <w:color w:val="1F4B18"/>
      <w:sz w:val="40"/>
      <w:szCs w:val="40"/>
    </w:rPr>
  </w:style>
  <w:style w:type="paragraph" w:styleId="ListParagraph">
    <w:name w:val="List Paragraph"/>
    <w:basedOn w:val="Normal"/>
    <w:link w:val="ListParagraphChar"/>
    <w:uiPriority w:val="34"/>
    <w:qFormat/>
    <w:rsid w:val="00ED74A3"/>
    <w:pPr>
      <w:ind w:left="720"/>
    </w:pPr>
  </w:style>
  <w:style w:type="character" w:customStyle="1" w:styleId="ListParagraphChar">
    <w:name w:val="List Paragraph Char"/>
    <w:basedOn w:val="DefaultParagraphFont"/>
    <w:link w:val="ListParagraph"/>
    <w:uiPriority w:val="34"/>
    <w:rsid w:val="00ED74A3"/>
    <w:rPr>
      <w:rFonts w:ascii="Roboto Lt" w:hAnsi="Roboto Lt"/>
      <w:szCs w:val="24"/>
    </w:rPr>
  </w:style>
  <w:style w:type="character" w:customStyle="1" w:styleId="Heading1Char">
    <w:name w:val="Heading 1 Char"/>
    <w:basedOn w:val="DefaultParagraphFont"/>
    <w:link w:val="Heading1"/>
    <w:uiPriority w:val="9"/>
    <w:rsid w:val="00ED74A3"/>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502B22"/>
    <w:rPr>
      <w:color w:val="808080"/>
    </w:rPr>
  </w:style>
  <w:style w:type="table" w:styleId="TableGrid">
    <w:name w:val="Table Grid"/>
    <w:basedOn w:val="TableNormal"/>
    <w:uiPriority w:val="39"/>
    <w:rsid w:val="00546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E68D9"/>
    <w:pPr>
      <w:spacing w:line="259" w:lineRule="auto"/>
      <w:contextualSpacing w:val="0"/>
      <w:outlineLvl w:val="9"/>
    </w:pPr>
    <w:rPr>
      <w:lang w:val="en-US"/>
    </w:rPr>
  </w:style>
  <w:style w:type="paragraph" w:styleId="TOC1">
    <w:name w:val="toc 1"/>
    <w:basedOn w:val="Normal"/>
    <w:next w:val="Normal"/>
    <w:autoRedefine/>
    <w:uiPriority w:val="39"/>
    <w:unhideWhenUsed/>
    <w:rsid w:val="005E68D9"/>
    <w:pPr>
      <w:spacing w:after="100"/>
    </w:pPr>
  </w:style>
  <w:style w:type="character" w:styleId="Hyperlink">
    <w:name w:val="Hyperlink"/>
    <w:basedOn w:val="DefaultParagraphFont"/>
    <w:uiPriority w:val="99"/>
    <w:unhideWhenUsed/>
    <w:rsid w:val="005E68D9"/>
    <w:rPr>
      <w:color w:val="0563C1" w:themeColor="hyperlink"/>
      <w:u w:val="single"/>
    </w:rPr>
  </w:style>
  <w:style w:type="character" w:customStyle="1" w:styleId="indexrich-text-highlighted10wes">
    <w:name w:val="index_rich-text-highlighted_10wes"/>
    <w:basedOn w:val="DefaultParagraphFont"/>
    <w:rsid w:val="006D0C1B"/>
  </w:style>
  <w:style w:type="character" w:customStyle="1" w:styleId="Heading2Char">
    <w:name w:val="Heading 2 Char"/>
    <w:basedOn w:val="DefaultParagraphFont"/>
    <w:link w:val="Heading2"/>
    <w:uiPriority w:val="9"/>
    <w:semiHidden/>
    <w:rsid w:val="00062608"/>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062608"/>
    <w:pPr>
      <w:widowControl w:val="0"/>
      <w:autoSpaceDE w:val="0"/>
      <w:autoSpaceDN w:val="0"/>
      <w:spacing w:after="0"/>
      <w:contextualSpacing w:val="0"/>
    </w:pPr>
    <w:rPr>
      <w:rFonts w:ascii="Arial Nova Light" w:eastAsia="Verdana" w:hAnsi="Arial Nova Light" w:cs="Verdana"/>
      <w:szCs w:val="20"/>
      <w:lang w:val="en-US"/>
    </w:rPr>
  </w:style>
  <w:style w:type="character" w:customStyle="1" w:styleId="BodyTextChar">
    <w:name w:val="Body Text Char"/>
    <w:basedOn w:val="DefaultParagraphFont"/>
    <w:link w:val="BodyText"/>
    <w:uiPriority w:val="1"/>
    <w:rsid w:val="00062608"/>
    <w:rPr>
      <w:rFonts w:ascii="Arial Nova Light" w:eastAsia="Verdana" w:hAnsi="Arial Nova Light" w:cs="Verdana"/>
      <w:szCs w:val="20"/>
      <w:lang w:val="en-US"/>
    </w:rPr>
  </w:style>
  <w:style w:type="paragraph" w:styleId="TOC2">
    <w:name w:val="toc 2"/>
    <w:basedOn w:val="Normal"/>
    <w:next w:val="Normal"/>
    <w:autoRedefine/>
    <w:uiPriority w:val="39"/>
    <w:unhideWhenUsed/>
    <w:rsid w:val="00417EEA"/>
    <w:pPr>
      <w:spacing w:after="100"/>
      <w:ind w:left="220"/>
    </w:pPr>
  </w:style>
  <w:style w:type="paragraph" w:styleId="Revision">
    <w:name w:val="Revision"/>
    <w:hidden/>
    <w:uiPriority w:val="99"/>
    <w:semiHidden/>
    <w:rsid w:val="009C7762"/>
    <w:pPr>
      <w:spacing w:after="0" w:line="240" w:lineRule="auto"/>
    </w:pPr>
    <w:rPr>
      <w:rFonts w:ascii="Roboto Lt" w:hAnsi="Roboto L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18314">
      <w:bodyDiv w:val="1"/>
      <w:marLeft w:val="0"/>
      <w:marRight w:val="0"/>
      <w:marTop w:val="0"/>
      <w:marBottom w:val="0"/>
      <w:divBdr>
        <w:top w:val="none" w:sz="0" w:space="0" w:color="auto"/>
        <w:left w:val="none" w:sz="0" w:space="0" w:color="auto"/>
        <w:bottom w:val="none" w:sz="0" w:space="0" w:color="auto"/>
        <w:right w:val="none" w:sz="0" w:space="0" w:color="auto"/>
      </w:divBdr>
    </w:div>
    <w:div w:id="19002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theme" Target="/word/theme/theme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glossaryDocument" Target="/word/glossary/document.xml" Id="rId6" /><Relationship Type="http://schemas.openxmlformats.org/officeDocument/2006/relationships/fontTable" Target="/word/fontTable.xml" Id="rId5" /><Relationship Type="http://schemas.openxmlformats.org/officeDocument/2006/relationships/webSettings" Target="/word/webSettings.xml" Id="rId4"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0896D8B-7217-4E10-B2B9-3541CB27DB4B}"/>
      </w:docPartPr>
      <w:docPartBody>
        <w:p w:rsidR="00D749AF" w:rsidRDefault="008121CB">
          <w:r w:rsidRPr="00C328B7">
            <w:rPr>
              <w:rStyle w:val="PlaceholderText"/>
            </w:rPr>
            <w:t>Click or tap here to enter text.</w:t>
          </w:r>
        </w:p>
      </w:docPartBody>
    </w:docPart>
    <w:docPart>
      <w:docPartPr>
        <w:name w:val="CEFA658C5E98479BB14EDFF27C9EC858"/>
        <w:category>
          <w:name w:val="General"/>
          <w:gallery w:val="placeholder"/>
        </w:category>
        <w:types>
          <w:type w:val="bbPlcHdr"/>
        </w:types>
        <w:behaviors>
          <w:behavior w:val="content"/>
        </w:behaviors>
        <w:guid w:val="{AE9F6834-D462-4FE0-B493-5DB273FD7F46}"/>
      </w:docPartPr>
      <w:docPartBody>
        <w:p w:rsidR="000F2B10" w:rsidRDefault="00473EAA" w:rsidP="00473EAA">
          <w:pPr>
            <w:pStyle w:val="CEFA658C5E98479BB14EDFF27C9EC858"/>
          </w:pPr>
          <w:r w:rsidRPr="00BD628B">
            <w:rPr>
              <w:rStyle w:val="PlaceholderText"/>
            </w:rPr>
            <w:t>Click or tap here to enter text.</w:t>
          </w:r>
        </w:p>
      </w:docPartBody>
    </w:docPart>
    <w:docPart>
      <w:docPartPr>
        <w:name w:val="B7B8DF9EBC9740A69C3E50FD06B8B8CD"/>
        <w:category>
          <w:name w:val="General"/>
          <w:gallery w:val="placeholder"/>
        </w:category>
        <w:types>
          <w:type w:val="bbPlcHdr"/>
        </w:types>
        <w:behaviors>
          <w:behavior w:val="content"/>
        </w:behaviors>
        <w:guid w:val="{891C367D-FC24-4239-A9AF-FE68311B0A8E}"/>
      </w:docPartPr>
      <w:docPartBody>
        <w:p w:rsidR="000F2B10" w:rsidRDefault="00473EAA" w:rsidP="00473EAA">
          <w:pPr>
            <w:pStyle w:val="B7B8DF9EBC9740A69C3E50FD06B8B8CD"/>
          </w:pPr>
          <w:r w:rsidRPr="00BD62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altName w:val="Century Gothic"/>
    <w:panose1 w:val="020F0502020204030204"/>
    <w:charset w:val="00"/>
    <w:family w:val="swiss"/>
    <w:pitch w:val="variable"/>
    <w:sig w:usb0="E4002EFF" w:usb1="C200247B"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Libre Caslon Display">
    <w:altName w:val="Cambria"/>
    <w:panose1 w:val="00000000000000000000"/>
    <w:charset w:val="00"/>
    <w:family w:val="roman"/>
    <w:notTrueType/>
    <w:pitch w:val="variable"/>
    <w:sig w:usb0="A00000FF" w:usb1="5000205B"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07"/>
    <w:rsid w:val="000F2B10"/>
    <w:rsid w:val="000F6793"/>
    <w:rsid w:val="001100B5"/>
    <w:rsid w:val="001829BD"/>
    <w:rsid w:val="002737E6"/>
    <w:rsid w:val="002E421E"/>
    <w:rsid w:val="003A49F5"/>
    <w:rsid w:val="00473EAA"/>
    <w:rsid w:val="004E748C"/>
    <w:rsid w:val="006B4756"/>
    <w:rsid w:val="006F6307"/>
    <w:rsid w:val="008121CB"/>
    <w:rsid w:val="00A150B4"/>
    <w:rsid w:val="00AF1359"/>
    <w:rsid w:val="00D74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9BD"/>
    <w:rPr>
      <w:color w:val="808080"/>
    </w:rPr>
  </w:style>
  <w:style w:type="paragraph" w:customStyle="1" w:styleId="CEFA658C5E98479BB14EDFF27C9EC858">
    <w:name w:val="CEFA658C5E98479BB14EDFF27C9EC858"/>
    <w:rsid w:val="00473EAA"/>
  </w:style>
  <w:style w:type="paragraph" w:customStyle="1" w:styleId="B7B8DF9EBC9740A69C3E50FD06B8B8CD">
    <w:name w:val="B7B8DF9EBC9740A69C3E50FD06B8B8CD"/>
    <w:rsid w:val="00473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1982</Words>
  <Characters>10963</Characters>
  <Application>Microsoft Office Word</Application>
  <DocSecurity>0</DocSecurity>
  <Lines>378</Lines>
  <Paragraphs>331</Paragraphs>
  <ScaleCrop>false</ScaleCrop>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Cooper</dc:creator>
  <cp:keywords/>
  <dc:description/>
  <cp:lastModifiedBy>Emma Cooper</cp:lastModifiedBy>
  <cp:revision>53</cp:revision>
  <dcterms:created xsi:type="dcterms:W3CDTF">2022-03-07T07:44:00Z</dcterms:created>
  <dcterms:modified xsi:type="dcterms:W3CDTF">2023-04-17T14:40:00Z</dcterms:modified>
</cp:coreProperties>
</file>