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DefaultPlaceholder_-185401344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Upwell Health Centre and Welle Ltd (Pharmacy)</w:t>
              </w:r>
            </w:p>
          </w:sdtContent>
        </w:sdt>
        <w:p w:rsidRPr="00A708FD" w:rsidR="00ED74A3" w:rsidP="00ED74A3" w:rsidRDefault="0095538F" w14:paraId="31130D4B" w14:textId="1587DBD2">
          <w:pPr>
            <w:rPr>
              <w:rFonts w:ascii="Libre Caslon Display" w:hAnsi="Libre Caslon Display" w:eastAsiaTheme="majorEastAsia" w:cstheme="majorBidi"/>
              <w:color w:val="1F4B18"/>
              <w:sz w:val="50"/>
              <w:szCs w:val="50"/>
            </w:rPr>
          </w:pPr>
          <w:r>
            <w:rPr>
              <w:rFonts w:ascii="Libre Caslon Display" w:hAnsi="Libre Caslon Display" w:eastAsiaTheme="majorEastAsia" w:cstheme="majorBidi"/>
              <w:color w:val="1F4B18"/>
              <w:sz w:val="50"/>
              <w:szCs w:val="50"/>
            </w:rPr>
            <w:t>Information Risk and Change Management Protocol</w:t>
          </w:r>
        </w:p>
        <w:p w:rsidR="00546579" w:rsidP="00ED74A3" w:rsidRDefault="00546579" w14:paraId="24EB551E" w14:textId="77777777">
          <w:pPr>
            <w:rPr>
              <w:rFonts w:ascii="Libre Caslon Display" w:hAnsi="Libre Caslon Display" w:eastAsiaTheme="majorEastAsia" w:cstheme="majorBidi"/>
              <w:color w:val="1F4B18"/>
              <w:sz w:val="40"/>
              <w:szCs w:val="40"/>
            </w:rPr>
          </w:pP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555"/>
            <w:gridCol w:w="1984"/>
            <w:gridCol w:w="1559"/>
            <w:gridCol w:w="3918"/>
          </w:tblGrid>
          <w:tr w:rsidR="00546579" w:rsidTr="00815FF1" w14:paraId="3A9EA582" w14:textId="77777777">
            <w:tc>
              <w:tcPr>
                <w:tcW w:w="1555" w:type="dxa"/>
                <w:shd w:val="clear" w:color="auto" w:fill="000000" w:themeFill="text1"/>
              </w:tcPr>
              <w:p w:rsidR="00546579" w:rsidP="00ED74A3" w:rsidRDefault="00546579" w14:paraId="2A919376" w14:textId="7C6F092D">
                <w:pPr>
                  <w:rPr>
                    <w:noProof/>
                    <w:sz w:val="24"/>
                  </w:rPr>
                </w:pPr>
                <w:r>
                  <w:rPr>
                    <w:noProof/>
                    <w:sz w:val="24"/>
                  </w:rPr>
                  <w:t>Version</w:t>
                </w:r>
              </w:p>
            </w:tc>
            <w:tc>
              <w:tcPr>
                <w:tcW w:w="1984" w:type="dxa"/>
                <w:shd w:val="clear" w:color="auto" w:fill="000000" w:themeFill="text1"/>
              </w:tcPr>
              <w:p w:rsidR="00546579" w:rsidP="00ED74A3" w:rsidRDefault="00546579" w14:paraId="2DD2D94E" w14:textId="6E0AA224">
                <w:pPr>
                  <w:rPr>
                    <w:noProof/>
                    <w:sz w:val="24"/>
                  </w:rPr>
                </w:pPr>
                <w:r>
                  <w:rPr>
                    <w:noProof/>
                    <w:sz w:val="24"/>
                  </w:rPr>
                  <w:t>Author</w:t>
                </w:r>
              </w:p>
            </w:tc>
            <w:tc>
              <w:tcPr>
                <w:tcW w:w="1559" w:type="dxa"/>
                <w:shd w:val="clear" w:color="auto" w:fill="000000" w:themeFill="text1"/>
              </w:tcPr>
              <w:p w:rsidR="00546579" w:rsidP="00ED74A3" w:rsidRDefault="00815FF1" w14:paraId="0CE74B19" w14:textId="266D1EE2">
                <w:pPr>
                  <w:rPr>
                    <w:noProof/>
                    <w:sz w:val="24"/>
                  </w:rPr>
                </w:pPr>
                <w:r>
                  <w:rPr>
                    <w:noProof/>
                    <w:sz w:val="24"/>
                  </w:rPr>
                  <w:t>Next Review Date</w:t>
                </w:r>
              </w:p>
            </w:tc>
            <w:tc>
              <w:tcPr>
                <w:tcW w:w="3918" w:type="dxa"/>
                <w:shd w:val="clear" w:color="auto" w:fill="000000" w:themeFill="text1"/>
              </w:tcPr>
              <w:p w:rsidR="00546579" w:rsidP="00ED74A3" w:rsidRDefault="00546579" w14:paraId="2038B5AE" w14:textId="7CD49FE5">
                <w:pPr>
                  <w:rPr>
                    <w:noProof/>
                    <w:sz w:val="24"/>
                  </w:rPr>
                </w:pPr>
                <w:r>
                  <w:rPr>
                    <w:noProof/>
                    <w:sz w:val="24"/>
                  </w:rPr>
                  <w:t>Notes</w:t>
                </w:r>
              </w:p>
            </w:tc>
          </w:tr>
          <w:tr w:rsidR="00546579" w:rsidTr="00815FF1" w14:paraId="74A74198" w14:textId="77777777">
            <w:tc>
              <w:tcPr>
                <w:tcW w:w="1555" w:type="dxa"/>
              </w:tcPr>
              <w:p w:rsidRPr="003D3B97" w:rsidR="00546579" w:rsidP="00ED74A3" w:rsidRDefault="003D3B97" w14:paraId="73404923" w14:textId="23CE0896">
                <w:pPr>
                  <w:rPr>
                    <w:noProof/>
                    <w:sz w:val="20"/>
                    <w:szCs w:val="20"/>
                  </w:rPr>
                </w:pPr>
                <w:r w:rsidRPr="003D3B97">
                  <w:rPr>
                    <w:noProof/>
                    <w:sz w:val="20"/>
                    <w:szCs w:val="20"/>
                  </w:rPr>
                  <w:t>V1</w:t>
                </w:r>
                <w:r>
                  <w:rPr>
                    <w:noProof/>
                    <w:sz w:val="20"/>
                    <w:szCs w:val="20"/>
                  </w:rPr>
                  <w:t xml:space="preserve"> (March 22)</w:t>
                </w:r>
              </w:p>
            </w:tc>
            <w:tc>
              <w:tcPr>
                <w:tcW w:w="1984" w:type="dxa"/>
              </w:tcPr>
              <w:p w:rsidRPr="003D3B97" w:rsidR="00546579" w:rsidP="00ED74A3" w:rsidRDefault="003D3B97" w14:paraId="0442A68D" w14:textId="266923E5">
                <w:pPr>
                  <w:rPr>
                    <w:noProof/>
                    <w:sz w:val="20"/>
                    <w:szCs w:val="20"/>
                  </w:rPr>
                </w:pPr>
                <w:r w:rsidRPr="003D3B97">
                  <w:rPr>
                    <w:noProof/>
                    <w:sz w:val="20"/>
                    <w:szCs w:val="20"/>
                  </w:rPr>
                  <w:t>Emma Kitcher, DPO</w:t>
                </w:r>
              </w:p>
            </w:tc>
            <w:tc>
              <w:tcPr>
                <w:tcW w:w="1559" w:type="dxa"/>
              </w:tcPr>
              <w:p w:rsidRPr="003D3B97" w:rsidR="00546579" w:rsidP="00ED74A3" w:rsidRDefault="00815FF1" w14:paraId="0BFC12D1" w14:textId="7F27B938">
                <w:pPr>
                  <w:rPr>
                    <w:noProof/>
                    <w:sz w:val="20"/>
                    <w:szCs w:val="20"/>
                  </w:rPr>
                </w:pPr>
                <w:r>
                  <w:rPr>
                    <w:noProof/>
                    <w:sz w:val="20"/>
                    <w:szCs w:val="20"/>
                  </w:rPr>
                  <w:t>March 2</w:t>
                </w:r>
                <w:r w:rsidR="001D6D6E">
                  <w:rPr>
                    <w:noProof/>
                    <w:sz w:val="20"/>
                    <w:szCs w:val="20"/>
                  </w:rPr>
                  <w:t>3</w:t>
                </w:r>
              </w:p>
            </w:tc>
            <w:tc>
              <w:tcPr>
                <w:tcW w:w="3918" w:type="dxa"/>
              </w:tcPr>
              <w:p w:rsidRPr="00815FF1" w:rsidR="00815FF1" w:rsidP="00815FF1" w:rsidRDefault="00815FF1" w14:paraId="26AB44B9" w14:textId="5D83E7C5">
                <w:pPr>
                  <w:rPr>
                    <w:noProof/>
                    <w:sz w:val="20"/>
                    <w:szCs w:val="20"/>
                  </w:rPr>
                </w:pPr>
                <w:r>
                  <w:rPr>
                    <w:noProof/>
                    <w:sz w:val="20"/>
                    <w:szCs w:val="20"/>
                  </w:rPr>
                  <w:t xml:space="preserve">New protocol that replaces </w:t>
                </w:r>
                <w:r w:rsidRPr="00815FF1">
                  <w:rPr>
                    <w:noProof/>
                    <w:sz w:val="20"/>
                    <w:szCs w:val="20"/>
                  </w:rPr>
                  <w:t>IG06 (DPIA) and IG07 (Risk)</w:t>
                </w:r>
              </w:p>
              <w:p w:rsidRPr="00815FF1" w:rsidR="00815FF1" w:rsidP="00815FF1" w:rsidRDefault="00815FF1" w14:paraId="137835BE" w14:textId="665037CD">
                <w:pPr>
                  <w:rPr>
                    <w:noProof/>
                    <w:sz w:val="20"/>
                    <w:szCs w:val="20"/>
                  </w:rPr>
                </w:pPr>
                <w:r w:rsidRPr="00815FF1">
                  <w:rPr>
                    <w:noProof/>
                    <w:sz w:val="20"/>
                    <w:szCs w:val="20"/>
                  </w:rPr>
                  <w:t>Provides a more detailed description of a risk with some examples</w:t>
                </w:r>
              </w:p>
              <w:p w:rsidRPr="00815FF1" w:rsidR="00815FF1" w:rsidP="00815FF1" w:rsidRDefault="00815FF1" w14:paraId="05B266E9" w14:textId="496DD233">
                <w:pPr>
                  <w:rPr>
                    <w:noProof/>
                    <w:sz w:val="20"/>
                    <w:szCs w:val="20"/>
                  </w:rPr>
                </w:pPr>
                <w:r w:rsidRPr="00815FF1">
                  <w:rPr>
                    <w:noProof/>
                    <w:sz w:val="20"/>
                    <w:szCs w:val="20"/>
                  </w:rPr>
                  <w:t>Details organisation’s PLAN, DO, CHECK, ACT approach</w:t>
                </w:r>
              </w:p>
              <w:p w:rsidRPr="00815FF1" w:rsidR="00546579" w:rsidP="00815FF1" w:rsidRDefault="00815FF1" w14:paraId="606A9A1D" w14:textId="1EF71B95">
                <w:pPr>
                  <w:spacing w:after="160"/>
                  <w:rPr>
                    <w:noProof/>
                    <w:sz w:val="20"/>
                    <w:szCs w:val="20"/>
                  </w:rPr>
                </w:pPr>
                <w:r w:rsidRPr="00815FF1">
                  <w:rPr>
                    <w:noProof/>
                    <w:sz w:val="20"/>
                    <w:szCs w:val="20"/>
                  </w:rPr>
                  <w:t>Includes DPIA checklist</w:t>
                </w:r>
              </w:p>
            </w:tc>
          </w:tr>
          <w:tr w:rsidR="004E6FBF" w:rsidTr="00815FF1" w14:paraId="03E37FB5" w14:textId="77777777">
            <w:tc>
              <w:tcPr>
                <w:tcW w:w="1555" w:type="dxa"/>
              </w:tcPr>
              <w:p w:rsidRPr="003D3B97" w:rsidR="004E6FBF" w:rsidP="00ED74A3" w:rsidRDefault="004E6FBF" w14:paraId="5B34C154" w14:textId="0704545E">
                <w:pPr>
                  <w:rPr>
                    <w:noProof/>
                    <w:sz w:val="20"/>
                    <w:szCs w:val="20"/>
                  </w:rPr>
                </w:pPr>
                <w:r>
                  <w:rPr>
                    <w:noProof/>
                    <w:sz w:val="20"/>
                    <w:szCs w:val="20"/>
                  </w:rPr>
                  <w:t>V2 March 23</w:t>
                </w:r>
              </w:p>
            </w:tc>
            <w:tc>
              <w:tcPr>
                <w:tcW w:w="1984" w:type="dxa"/>
              </w:tcPr>
              <w:p w:rsidRPr="003D3B97" w:rsidR="004E6FBF" w:rsidP="00ED74A3" w:rsidRDefault="004E6FBF" w14:paraId="11E990CE" w14:textId="7DFB238F">
                <w:pPr>
                  <w:rPr>
                    <w:noProof/>
                    <w:sz w:val="20"/>
                    <w:szCs w:val="20"/>
                  </w:rPr>
                </w:pPr>
                <w:r>
                  <w:rPr>
                    <w:noProof/>
                    <w:sz w:val="20"/>
                    <w:szCs w:val="20"/>
                  </w:rPr>
                  <w:t>Emma Kitcher, DPO</w:t>
                </w:r>
              </w:p>
            </w:tc>
            <w:tc>
              <w:tcPr>
                <w:tcW w:w="1559" w:type="dxa"/>
              </w:tcPr>
              <w:p w:rsidR="004E6FBF" w:rsidP="00ED74A3" w:rsidRDefault="004E6FBF" w14:paraId="4864E7C8" w14:textId="6016C98A">
                <w:pPr>
                  <w:rPr>
                    <w:noProof/>
                    <w:sz w:val="20"/>
                    <w:szCs w:val="20"/>
                  </w:rPr>
                </w:pPr>
                <w:r>
                  <w:rPr>
                    <w:noProof/>
                    <w:sz w:val="20"/>
                    <w:szCs w:val="20"/>
                  </w:rPr>
                  <w:t>March 24</w:t>
                </w:r>
              </w:p>
            </w:tc>
            <w:tc>
              <w:tcPr>
                <w:tcW w:w="3918" w:type="dxa"/>
              </w:tcPr>
              <w:p w:rsidR="004E6FBF" w:rsidP="00815FF1" w:rsidRDefault="004E6FBF" w14:paraId="621CBF4B" w14:textId="65E44A04">
                <w:pPr>
                  <w:rPr>
                    <w:noProof/>
                    <w:sz w:val="20"/>
                    <w:szCs w:val="20"/>
                  </w:rPr>
                </w:pPr>
                <w:r>
                  <w:rPr>
                    <w:noProof/>
                    <w:sz w:val="20"/>
                    <w:szCs w:val="20"/>
                  </w:rPr>
                  <w:t>Added an item under Section 10 (Data Protection Impact Assessments) about ensuring that the SIRO reviews any DPIAs and that recommendations and given due notice</w:t>
                </w:r>
              </w:p>
            </w:tc>
          </w:tr>
        </w:tbl>
        <w:p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5E68D9" w:rsidR="005E68D9" w:rsidRDefault="005E68D9" w14:paraId="123D2B53" w14:textId="47C50E7F">
              <w:pPr>
                <w:pStyle w:val="TOCHeading"/>
                <w:rPr>
                  <w:b/>
                  <w:bCs/>
                  <w:color w:val="auto"/>
                  <w:u w:val="single"/>
                </w:rPr>
              </w:pPr>
              <w:r w:rsidRPr="005E68D9">
                <w:rPr>
                  <w:b/>
                  <w:bCs/>
                  <w:color w:val="auto"/>
                  <w:u w:val="single"/>
                </w:rPr>
                <w:t>Contents</w:t>
              </w:r>
            </w:p>
            <w:p w:rsidR="00173558" w:rsidRDefault="005E68D9" w14:paraId="16CF8C50" w14:textId="71519F73">
              <w:pPr>
                <w:pStyle w:val="TOC1"/>
                <w:tabs>
                  <w:tab w:val="right" w:leader="dot" w:pos="9016"/>
                </w:tabs>
                <w:rPr>
                  <w:rFonts w:asciiTheme="minorHAnsi" w:hAnsiTheme="minorHAnsi" w:eastAsiaTheme="minorEastAsia"/>
                  <w:noProof/>
                  <w:szCs w:val="22"/>
                  <w:lang w:eastAsia="en-GB"/>
                </w:rPr>
              </w:pPr>
              <w:r>
                <w:fldChar w:fldCharType="begin"/>
              </w:r>
              <w:r>
                <w:instrText xml:space="preserve"> TOC \o "1-3" \h \z \u </w:instrText>
              </w:r>
              <w:r>
                <w:fldChar w:fldCharType="separate"/>
              </w:r>
              <w:hyperlink w:history="1" w:anchor="_Toc97453786">
                <w:r w:rsidRPr="00D74D4B" w:rsidR="00173558">
                  <w:rPr>
                    <w:rStyle w:val="Hyperlink"/>
                    <w:noProof/>
                  </w:rPr>
                  <w:t>INTRODUCTION</w:t>
                </w:r>
                <w:r w:rsidR="00173558">
                  <w:rPr>
                    <w:noProof/>
                    <w:webHidden/>
                  </w:rPr>
                  <w:tab/>
                </w:r>
                <w:r w:rsidR="00173558">
                  <w:rPr>
                    <w:noProof/>
                    <w:webHidden/>
                  </w:rPr>
                  <w:fldChar w:fldCharType="begin"/>
                </w:r>
                <w:r w:rsidR="00173558">
                  <w:rPr>
                    <w:noProof/>
                    <w:webHidden/>
                  </w:rPr>
                  <w:instrText xml:space="preserve"> PAGEREF _Toc97453786 \h </w:instrText>
                </w:r>
                <w:r w:rsidR="00173558">
                  <w:rPr>
                    <w:noProof/>
                    <w:webHidden/>
                  </w:rPr>
                </w:r>
                <w:r w:rsidR="00173558">
                  <w:rPr>
                    <w:noProof/>
                    <w:webHidden/>
                  </w:rPr>
                  <w:fldChar w:fldCharType="separate"/>
                </w:r>
                <w:r w:rsidR="00173558">
                  <w:rPr>
                    <w:noProof/>
                    <w:webHidden/>
                  </w:rPr>
                  <w:t>1</w:t>
                </w:r>
                <w:r w:rsidR="00173558">
                  <w:rPr>
                    <w:noProof/>
                    <w:webHidden/>
                  </w:rPr>
                  <w:fldChar w:fldCharType="end"/>
                </w:r>
              </w:hyperlink>
            </w:p>
            <w:p w:rsidR="00173558" w:rsidRDefault="001E00EE" w14:paraId="33468772" w14:textId="07918F71">
              <w:pPr>
                <w:pStyle w:val="TOC1"/>
                <w:tabs>
                  <w:tab w:val="right" w:leader="dot" w:pos="9016"/>
                </w:tabs>
                <w:rPr>
                  <w:rFonts w:asciiTheme="minorHAnsi" w:hAnsiTheme="minorHAnsi" w:eastAsiaTheme="minorEastAsia"/>
                  <w:noProof/>
                  <w:szCs w:val="22"/>
                  <w:lang w:eastAsia="en-GB"/>
                </w:rPr>
              </w:pPr>
              <w:hyperlink w:history="1" w:anchor="_Toc97453787">
                <w:r w:rsidRPr="00D74D4B" w:rsidR="00173558">
                  <w:rPr>
                    <w:rStyle w:val="Hyperlink"/>
                    <w:noProof/>
                  </w:rPr>
                  <w:t>QUICK REFERENCE POINTS</w:t>
                </w:r>
                <w:r w:rsidR="00173558">
                  <w:rPr>
                    <w:noProof/>
                    <w:webHidden/>
                  </w:rPr>
                  <w:tab/>
                </w:r>
                <w:r w:rsidR="00173558">
                  <w:rPr>
                    <w:noProof/>
                    <w:webHidden/>
                  </w:rPr>
                  <w:fldChar w:fldCharType="begin"/>
                </w:r>
                <w:r w:rsidR="00173558">
                  <w:rPr>
                    <w:noProof/>
                    <w:webHidden/>
                  </w:rPr>
                  <w:instrText xml:space="preserve"> PAGEREF _Toc97453787 \h </w:instrText>
                </w:r>
                <w:r w:rsidR="00173558">
                  <w:rPr>
                    <w:noProof/>
                    <w:webHidden/>
                  </w:rPr>
                </w:r>
                <w:r w:rsidR="00173558">
                  <w:rPr>
                    <w:noProof/>
                    <w:webHidden/>
                  </w:rPr>
                  <w:fldChar w:fldCharType="separate"/>
                </w:r>
                <w:r w:rsidR="00173558">
                  <w:rPr>
                    <w:noProof/>
                    <w:webHidden/>
                  </w:rPr>
                  <w:t>2</w:t>
                </w:r>
                <w:r w:rsidR="00173558">
                  <w:rPr>
                    <w:noProof/>
                    <w:webHidden/>
                  </w:rPr>
                  <w:fldChar w:fldCharType="end"/>
                </w:r>
              </w:hyperlink>
            </w:p>
            <w:p w:rsidR="00173558" w:rsidRDefault="001E00EE" w14:paraId="33C6E49A" w14:textId="62B4E7BE">
              <w:pPr>
                <w:pStyle w:val="TOC1"/>
                <w:tabs>
                  <w:tab w:val="right" w:leader="dot" w:pos="9016"/>
                </w:tabs>
                <w:rPr>
                  <w:rFonts w:asciiTheme="minorHAnsi" w:hAnsiTheme="minorHAnsi" w:eastAsiaTheme="minorEastAsia"/>
                  <w:noProof/>
                  <w:szCs w:val="22"/>
                  <w:lang w:eastAsia="en-GB"/>
                </w:rPr>
              </w:pPr>
              <w:hyperlink w:history="1" w:anchor="_Toc97453788">
                <w:r w:rsidRPr="00D74D4B" w:rsidR="00173558">
                  <w:rPr>
                    <w:rStyle w:val="Hyperlink"/>
                    <w:noProof/>
                  </w:rPr>
                  <w:t>KEY DEFINITIONS</w:t>
                </w:r>
                <w:r w:rsidR="00173558">
                  <w:rPr>
                    <w:noProof/>
                    <w:webHidden/>
                  </w:rPr>
                  <w:tab/>
                </w:r>
                <w:r w:rsidR="00173558">
                  <w:rPr>
                    <w:noProof/>
                    <w:webHidden/>
                  </w:rPr>
                  <w:fldChar w:fldCharType="begin"/>
                </w:r>
                <w:r w:rsidR="00173558">
                  <w:rPr>
                    <w:noProof/>
                    <w:webHidden/>
                  </w:rPr>
                  <w:instrText xml:space="preserve"> PAGEREF _Toc97453788 \h </w:instrText>
                </w:r>
                <w:r w:rsidR="00173558">
                  <w:rPr>
                    <w:noProof/>
                    <w:webHidden/>
                  </w:rPr>
                </w:r>
                <w:r w:rsidR="00173558">
                  <w:rPr>
                    <w:noProof/>
                    <w:webHidden/>
                  </w:rPr>
                  <w:fldChar w:fldCharType="separate"/>
                </w:r>
                <w:r w:rsidR="00173558">
                  <w:rPr>
                    <w:noProof/>
                    <w:webHidden/>
                  </w:rPr>
                  <w:t>2</w:t>
                </w:r>
                <w:r w:rsidR="00173558">
                  <w:rPr>
                    <w:noProof/>
                    <w:webHidden/>
                  </w:rPr>
                  <w:fldChar w:fldCharType="end"/>
                </w:r>
              </w:hyperlink>
            </w:p>
            <w:p w:rsidR="00173558" w:rsidRDefault="001E00EE" w14:paraId="703CA6A8" w14:textId="628E0CE1">
              <w:pPr>
                <w:pStyle w:val="TOC1"/>
                <w:tabs>
                  <w:tab w:val="right" w:leader="dot" w:pos="9016"/>
                </w:tabs>
                <w:rPr>
                  <w:rFonts w:asciiTheme="minorHAnsi" w:hAnsiTheme="minorHAnsi" w:eastAsiaTheme="minorEastAsia"/>
                  <w:noProof/>
                  <w:szCs w:val="22"/>
                  <w:lang w:eastAsia="en-GB"/>
                </w:rPr>
              </w:pPr>
              <w:hyperlink w:history="1" w:anchor="_Toc97453789">
                <w:r w:rsidRPr="00D74D4B" w:rsidR="00173558">
                  <w:rPr>
                    <w:rStyle w:val="Hyperlink"/>
                    <w:noProof/>
                  </w:rPr>
                  <w:t>SCOPE</w:t>
                </w:r>
                <w:r w:rsidR="00173558">
                  <w:rPr>
                    <w:noProof/>
                    <w:webHidden/>
                  </w:rPr>
                  <w:tab/>
                </w:r>
                <w:r w:rsidR="00173558">
                  <w:rPr>
                    <w:noProof/>
                    <w:webHidden/>
                  </w:rPr>
                  <w:fldChar w:fldCharType="begin"/>
                </w:r>
                <w:r w:rsidR="00173558">
                  <w:rPr>
                    <w:noProof/>
                    <w:webHidden/>
                  </w:rPr>
                  <w:instrText xml:space="preserve"> PAGEREF _Toc97453789 \h </w:instrText>
                </w:r>
                <w:r w:rsidR="00173558">
                  <w:rPr>
                    <w:noProof/>
                    <w:webHidden/>
                  </w:rPr>
                </w:r>
                <w:r w:rsidR="00173558">
                  <w:rPr>
                    <w:noProof/>
                    <w:webHidden/>
                  </w:rPr>
                  <w:fldChar w:fldCharType="separate"/>
                </w:r>
                <w:r w:rsidR="00173558">
                  <w:rPr>
                    <w:noProof/>
                    <w:webHidden/>
                  </w:rPr>
                  <w:t>2</w:t>
                </w:r>
                <w:r w:rsidR="00173558">
                  <w:rPr>
                    <w:noProof/>
                    <w:webHidden/>
                  </w:rPr>
                  <w:fldChar w:fldCharType="end"/>
                </w:r>
              </w:hyperlink>
            </w:p>
            <w:p w:rsidR="00173558" w:rsidRDefault="001E00EE" w14:paraId="61D27C81" w14:textId="0CF3366E">
              <w:pPr>
                <w:pStyle w:val="TOC1"/>
                <w:tabs>
                  <w:tab w:val="right" w:leader="dot" w:pos="9016"/>
                </w:tabs>
                <w:rPr>
                  <w:rFonts w:asciiTheme="minorHAnsi" w:hAnsiTheme="minorHAnsi" w:eastAsiaTheme="minorEastAsia"/>
                  <w:noProof/>
                  <w:szCs w:val="22"/>
                  <w:lang w:eastAsia="en-GB"/>
                </w:rPr>
              </w:pPr>
              <w:hyperlink w:history="1" w:anchor="_Toc97453790">
                <w:r w:rsidRPr="00D74D4B" w:rsidR="00173558">
                  <w:rPr>
                    <w:rStyle w:val="Hyperlink"/>
                    <w:noProof/>
                  </w:rPr>
                  <w:t>KEY LEGISLATION / FRAMEWORK</w:t>
                </w:r>
                <w:r w:rsidR="00173558">
                  <w:rPr>
                    <w:noProof/>
                    <w:webHidden/>
                  </w:rPr>
                  <w:tab/>
                </w:r>
                <w:r w:rsidR="00173558">
                  <w:rPr>
                    <w:noProof/>
                    <w:webHidden/>
                  </w:rPr>
                  <w:fldChar w:fldCharType="begin"/>
                </w:r>
                <w:r w:rsidR="00173558">
                  <w:rPr>
                    <w:noProof/>
                    <w:webHidden/>
                  </w:rPr>
                  <w:instrText xml:space="preserve"> PAGEREF _Toc97453790 \h </w:instrText>
                </w:r>
                <w:r w:rsidR="00173558">
                  <w:rPr>
                    <w:noProof/>
                    <w:webHidden/>
                  </w:rPr>
                </w:r>
                <w:r w:rsidR="00173558">
                  <w:rPr>
                    <w:noProof/>
                    <w:webHidden/>
                  </w:rPr>
                  <w:fldChar w:fldCharType="separate"/>
                </w:r>
                <w:r w:rsidR="00173558">
                  <w:rPr>
                    <w:noProof/>
                    <w:webHidden/>
                  </w:rPr>
                  <w:t>3</w:t>
                </w:r>
                <w:r w:rsidR="00173558">
                  <w:rPr>
                    <w:noProof/>
                    <w:webHidden/>
                  </w:rPr>
                  <w:fldChar w:fldCharType="end"/>
                </w:r>
              </w:hyperlink>
            </w:p>
            <w:p w:rsidR="00173558" w:rsidRDefault="001E00EE" w14:paraId="62FF5C45" w14:textId="54AE0FE5">
              <w:pPr>
                <w:pStyle w:val="TOC1"/>
                <w:tabs>
                  <w:tab w:val="right" w:leader="dot" w:pos="9016"/>
                </w:tabs>
                <w:rPr>
                  <w:rFonts w:asciiTheme="minorHAnsi" w:hAnsiTheme="minorHAnsi" w:eastAsiaTheme="minorEastAsia"/>
                  <w:noProof/>
                  <w:szCs w:val="22"/>
                  <w:lang w:eastAsia="en-GB"/>
                </w:rPr>
              </w:pPr>
              <w:hyperlink w:history="1" w:anchor="_Toc97453791">
                <w:r w:rsidRPr="00D74D4B" w:rsidR="00173558">
                  <w:rPr>
                    <w:rStyle w:val="Hyperlink"/>
                    <w:noProof/>
                  </w:rPr>
                  <w:t>RISK MANAGEMENT</w:t>
                </w:r>
                <w:r w:rsidR="00173558">
                  <w:rPr>
                    <w:noProof/>
                    <w:webHidden/>
                  </w:rPr>
                  <w:tab/>
                </w:r>
                <w:r w:rsidR="00173558">
                  <w:rPr>
                    <w:noProof/>
                    <w:webHidden/>
                  </w:rPr>
                  <w:fldChar w:fldCharType="begin"/>
                </w:r>
                <w:r w:rsidR="00173558">
                  <w:rPr>
                    <w:noProof/>
                    <w:webHidden/>
                  </w:rPr>
                  <w:instrText xml:space="preserve"> PAGEREF _Toc97453791 \h </w:instrText>
                </w:r>
                <w:r w:rsidR="00173558">
                  <w:rPr>
                    <w:noProof/>
                    <w:webHidden/>
                  </w:rPr>
                </w:r>
                <w:r w:rsidR="00173558">
                  <w:rPr>
                    <w:noProof/>
                    <w:webHidden/>
                  </w:rPr>
                  <w:fldChar w:fldCharType="separate"/>
                </w:r>
                <w:r w:rsidR="00173558">
                  <w:rPr>
                    <w:noProof/>
                    <w:webHidden/>
                  </w:rPr>
                  <w:t>3</w:t>
                </w:r>
                <w:r w:rsidR="00173558">
                  <w:rPr>
                    <w:noProof/>
                    <w:webHidden/>
                  </w:rPr>
                  <w:fldChar w:fldCharType="end"/>
                </w:r>
              </w:hyperlink>
            </w:p>
            <w:p w:rsidR="00173558" w:rsidRDefault="001E00EE" w14:paraId="7983A31F" w14:textId="5542746E">
              <w:pPr>
                <w:pStyle w:val="TOC1"/>
                <w:tabs>
                  <w:tab w:val="right" w:leader="dot" w:pos="9016"/>
                </w:tabs>
                <w:rPr>
                  <w:rFonts w:asciiTheme="minorHAnsi" w:hAnsiTheme="minorHAnsi" w:eastAsiaTheme="minorEastAsia"/>
                  <w:noProof/>
                  <w:szCs w:val="22"/>
                  <w:lang w:eastAsia="en-GB"/>
                </w:rPr>
              </w:pPr>
              <w:hyperlink w:history="1" w:anchor="_Toc97453792">
                <w:r w:rsidRPr="00D74D4B" w:rsidR="00173558">
                  <w:rPr>
                    <w:rStyle w:val="Hyperlink"/>
                    <w:noProof/>
                  </w:rPr>
                  <w:t>PLAN</w:t>
                </w:r>
                <w:r w:rsidR="00173558">
                  <w:rPr>
                    <w:noProof/>
                    <w:webHidden/>
                  </w:rPr>
                  <w:tab/>
                </w:r>
                <w:r w:rsidR="00173558">
                  <w:rPr>
                    <w:noProof/>
                    <w:webHidden/>
                  </w:rPr>
                  <w:fldChar w:fldCharType="begin"/>
                </w:r>
                <w:r w:rsidR="00173558">
                  <w:rPr>
                    <w:noProof/>
                    <w:webHidden/>
                  </w:rPr>
                  <w:instrText xml:space="preserve"> PAGEREF _Toc97453792 \h </w:instrText>
                </w:r>
                <w:r w:rsidR="00173558">
                  <w:rPr>
                    <w:noProof/>
                    <w:webHidden/>
                  </w:rPr>
                </w:r>
                <w:r w:rsidR="00173558">
                  <w:rPr>
                    <w:noProof/>
                    <w:webHidden/>
                  </w:rPr>
                  <w:fldChar w:fldCharType="separate"/>
                </w:r>
                <w:r w:rsidR="00173558">
                  <w:rPr>
                    <w:noProof/>
                    <w:webHidden/>
                  </w:rPr>
                  <w:t>4</w:t>
                </w:r>
                <w:r w:rsidR="00173558">
                  <w:rPr>
                    <w:noProof/>
                    <w:webHidden/>
                  </w:rPr>
                  <w:fldChar w:fldCharType="end"/>
                </w:r>
              </w:hyperlink>
            </w:p>
            <w:p w:rsidR="00173558" w:rsidRDefault="001E00EE" w14:paraId="4A15D738" w14:textId="7BFD8448">
              <w:pPr>
                <w:pStyle w:val="TOC1"/>
                <w:tabs>
                  <w:tab w:val="right" w:leader="dot" w:pos="9016"/>
                </w:tabs>
                <w:rPr>
                  <w:rFonts w:asciiTheme="minorHAnsi" w:hAnsiTheme="minorHAnsi" w:eastAsiaTheme="minorEastAsia"/>
                  <w:noProof/>
                  <w:szCs w:val="22"/>
                  <w:lang w:eastAsia="en-GB"/>
                </w:rPr>
              </w:pPr>
              <w:hyperlink w:history="1" w:anchor="_Toc97453793">
                <w:r w:rsidRPr="00D74D4B" w:rsidR="00173558">
                  <w:rPr>
                    <w:rStyle w:val="Hyperlink"/>
                    <w:noProof/>
                  </w:rPr>
                  <w:t>DO</w:t>
                </w:r>
                <w:r w:rsidR="00173558">
                  <w:rPr>
                    <w:noProof/>
                    <w:webHidden/>
                  </w:rPr>
                  <w:tab/>
                </w:r>
                <w:r w:rsidR="00173558">
                  <w:rPr>
                    <w:noProof/>
                    <w:webHidden/>
                  </w:rPr>
                  <w:fldChar w:fldCharType="begin"/>
                </w:r>
                <w:r w:rsidR="00173558">
                  <w:rPr>
                    <w:noProof/>
                    <w:webHidden/>
                  </w:rPr>
                  <w:instrText xml:space="preserve"> PAGEREF _Toc97453793 \h </w:instrText>
                </w:r>
                <w:r w:rsidR="00173558">
                  <w:rPr>
                    <w:noProof/>
                    <w:webHidden/>
                  </w:rPr>
                </w:r>
                <w:r w:rsidR="00173558">
                  <w:rPr>
                    <w:noProof/>
                    <w:webHidden/>
                  </w:rPr>
                  <w:fldChar w:fldCharType="separate"/>
                </w:r>
                <w:r w:rsidR="00173558">
                  <w:rPr>
                    <w:noProof/>
                    <w:webHidden/>
                  </w:rPr>
                  <w:t>5</w:t>
                </w:r>
                <w:r w:rsidR="00173558">
                  <w:rPr>
                    <w:noProof/>
                    <w:webHidden/>
                  </w:rPr>
                  <w:fldChar w:fldCharType="end"/>
                </w:r>
              </w:hyperlink>
            </w:p>
            <w:p w:rsidR="00173558" w:rsidRDefault="001E00EE" w14:paraId="42EE5C08" w14:textId="60964D0E">
              <w:pPr>
                <w:pStyle w:val="TOC1"/>
                <w:tabs>
                  <w:tab w:val="right" w:leader="dot" w:pos="9016"/>
                </w:tabs>
                <w:rPr>
                  <w:rFonts w:asciiTheme="minorHAnsi" w:hAnsiTheme="minorHAnsi" w:eastAsiaTheme="minorEastAsia"/>
                  <w:noProof/>
                  <w:szCs w:val="22"/>
                  <w:lang w:eastAsia="en-GB"/>
                </w:rPr>
              </w:pPr>
              <w:hyperlink w:history="1" w:anchor="_Toc97453794">
                <w:r w:rsidRPr="00D74D4B" w:rsidR="00173558">
                  <w:rPr>
                    <w:rStyle w:val="Hyperlink"/>
                    <w:noProof/>
                  </w:rPr>
                  <w:t>CHECK / ACT</w:t>
                </w:r>
                <w:r w:rsidR="00173558">
                  <w:rPr>
                    <w:noProof/>
                    <w:webHidden/>
                  </w:rPr>
                  <w:tab/>
                </w:r>
                <w:r w:rsidR="00173558">
                  <w:rPr>
                    <w:noProof/>
                    <w:webHidden/>
                  </w:rPr>
                  <w:fldChar w:fldCharType="begin"/>
                </w:r>
                <w:r w:rsidR="00173558">
                  <w:rPr>
                    <w:noProof/>
                    <w:webHidden/>
                  </w:rPr>
                  <w:instrText xml:space="preserve"> PAGEREF _Toc97453794 \h </w:instrText>
                </w:r>
                <w:r w:rsidR="00173558">
                  <w:rPr>
                    <w:noProof/>
                    <w:webHidden/>
                  </w:rPr>
                </w:r>
                <w:r w:rsidR="00173558">
                  <w:rPr>
                    <w:noProof/>
                    <w:webHidden/>
                  </w:rPr>
                  <w:fldChar w:fldCharType="separate"/>
                </w:r>
                <w:r w:rsidR="00173558">
                  <w:rPr>
                    <w:noProof/>
                    <w:webHidden/>
                  </w:rPr>
                  <w:t>5</w:t>
                </w:r>
                <w:r w:rsidR="00173558">
                  <w:rPr>
                    <w:noProof/>
                    <w:webHidden/>
                  </w:rPr>
                  <w:fldChar w:fldCharType="end"/>
                </w:r>
              </w:hyperlink>
            </w:p>
            <w:p w:rsidR="00173558" w:rsidRDefault="001E00EE" w14:paraId="4D4D6CD5" w14:textId="336B7D14">
              <w:pPr>
                <w:pStyle w:val="TOC1"/>
                <w:tabs>
                  <w:tab w:val="right" w:leader="dot" w:pos="9016"/>
                </w:tabs>
                <w:rPr>
                  <w:rFonts w:asciiTheme="minorHAnsi" w:hAnsiTheme="minorHAnsi" w:eastAsiaTheme="minorEastAsia"/>
                  <w:noProof/>
                  <w:szCs w:val="22"/>
                  <w:lang w:eastAsia="en-GB"/>
                </w:rPr>
              </w:pPr>
              <w:hyperlink w:history="1" w:anchor="_Toc97453795">
                <w:r w:rsidRPr="00D74D4B" w:rsidR="00173558">
                  <w:rPr>
                    <w:rStyle w:val="Hyperlink"/>
                    <w:noProof/>
                  </w:rPr>
                  <w:t>DATA PROTECTION IMPACT ASSESSMENTS</w:t>
                </w:r>
                <w:r w:rsidR="00173558">
                  <w:rPr>
                    <w:noProof/>
                    <w:webHidden/>
                  </w:rPr>
                  <w:tab/>
                </w:r>
                <w:r w:rsidR="00173558">
                  <w:rPr>
                    <w:noProof/>
                    <w:webHidden/>
                  </w:rPr>
                  <w:fldChar w:fldCharType="begin"/>
                </w:r>
                <w:r w:rsidR="00173558">
                  <w:rPr>
                    <w:noProof/>
                    <w:webHidden/>
                  </w:rPr>
                  <w:instrText xml:space="preserve"> PAGEREF _Toc97453795 \h </w:instrText>
                </w:r>
                <w:r w:rsidR="00173558">
                  <w:rPr>
                    <w:noProof/>
                    <w:webHidden/>
                  </w:rPr>
                </w:r>
                <w:r w:rsidR="00173558">
                  <w:rPr>
                    <w:noProof/>
                    <w:webHidden/>
                  </w:rPr>
                  <w:fldChar w:fldCharType="separate"/>
                </w:r>
                <w:r w:rsidR="00173558">
                  <w:rPr>
                    <w:noProof/>
                    <w:webHidden/>
                  </w:rPr>
                  <w:t>7</w:t>
                </w:r>
                <w:r w:rsidR="00173558">
                  <w:rPr>
                    <w:noProof/>
                    <w:webHidden/>
                  </w:rPr>
                  <w:fldChar w:fldCharType="end"/>
                </w:r>
              </w:hyperlink>
            </w:p>
            <w:p w:rsidR="00173558" w:rsidRDefault="001E00EE" w14:paraId="2E54FD9F" w14:textId="6EAD5B96">
              <w:pPr>
                <w:pStyle w:val="TOC1"/>
                <w:tabs>
                  <w:tab w:val="right" w:leader="dot" w:pos="9016"/>
                </w:tabs>
                <w:rPr>
                  <w:rFonts w:asciiTheme="minorHAnsi" w:hAnsiTheme="minorHAnsi" w:eastAsiaTheme="minorEastAsia"/>
                  <w:noProof/>
                  <w:szCs w:val="22"/>
                  <w:lang w:eastAsia="en-GB"/>
                </w:rPr>
              </w:pPr>
              <w:hyperlink w:history="1" w:anchor="_Toc97453796">
                <w:r w:rsidRPr="00D74D4B" w:rsidR="00173558">
                  <w:rPr>
                    <w:rStyle w:val="Hyperlink"/>
                    <w:noProof/>
                  </w:rPr>
                  <w:t>APPLICATION AND AUDIT</w:t>
                </w:r>
                <w:r w:rsidR="00173558">
                  <w:rPr>
                    <w:noProof/>
                    <w:webHidden/>
                  </w:rPr>
                  <w:tab/>
                </w:r>
                <w:r w:rsidR="00173558">
                  <w:rPr>
                    <w:noProof/>
                    <w:webHidden/>
                  </w:rPr>
                  <w:fldChar w:fldCharType="begin"/>
                </w:r>
                <w:r w:rsidR="00173558">
                  <w:rPr>
                    <w:noProof/>
                    <w:webHidden/>
                  </w:rPr>
                  <w:instrText xml:space="preserve"> PAGEREF _Toc97453796 \h </w:instrText>
                </w:r>
                <w:r w:rsidR="00173558">
                  <w:rPr>
                    <w:noProof/>
                    <w:webHidden/>
                  </w:rPr>
                </w:r>
                <w:r w:rsidR="00173558">
                  <w:rPr>
                    <w:noProof/>
                    <w:webHidden/>
                  </w:rPr>
                  <w:fldChar w:fldCharType="separate"/>
                </w:r>
                <w:r w:rsidR="00173558">
                  <w:rPr>
                    <w:noProof/>
                    <w:webHidden/>
                  </w:rPr>
                  <w:t>9</w:t>
                </w:r>
                <w:r w:rsidR="00173558">
                  <w:rPr>
                    <w:noProof/>
                    <w:webHidden/>
                  </w:rPr>
                  <w:fldChar w:fldCharType="end"/>
                </w:r>
              </w:hyperlink>
            </w:p>
            <w:p w:rsidR="005E68D9" w:rsidRDefault="005E68D9" w14:paraId="4FB3BA89" w14:textId="0D92993A">
              <w:r>
                <w:rPr>
                  <w:b/>
                  <w:bCs/>
                  <w:noProof/>
                </w:rPr>
                <w:fldChar w:fldCharType="end"/>
              </w:r>
            </w:p>
          </w:sdtContent>
        </w:sdt>
        <w:p w:rsidRPr="00546579" w:rsidR="003D3B97" w:rsidP="00ED74A3" w:rsidRDefault="003D3B97" w14:paraId="028C8034" w14:textId="77777777">
          <w:pPr>
            <w:rPr>
              <w:noProof/>
              <w:sz w:val="24"/>
            </w:rPr>
          </w:pPr>
        </w:p>
        <w:p w:rsidR="00ED74A3" w:rsidP="005F5665" w:rsidRDefault="006919D1" w14:paraId="42F1BF9A" w14:textId="02AAF3B9">
          <w:pPr>
            <w:pStyle w:val="Style1"/>
            <w:ind w:left="360"/>
            <w:rPr>
              <w:noProof/>
            </w:rPr>
          </w:pPr>
          <w:bookmarkStart w:name="_Toc97453786" w:id="0"/>
          <w:r>
            <w:t>INTRODUCTION</w:t>
          </w:r>
          <w:bookmarkEnd w:id="0"/>
        </w:p>
        <w:p w:rsidR="008F0E90" w:rsidP="00ED74A3" w:rsidRDefault="008F0E90" w14:paraId="0B1F0ABF" w14:textId="77777777">
          <w:pPr>
            <w:rPr>
              <w:noProof/>
            </w:rPr>
          </w:pPr>
        </w:p>
        <w:p w:rsidR="007E4E42" w:rsidP="00ED74A3" w:rsidRDefault="003E39EA" w14:paraId="527A1E4F" w14:textId="77777777">
          <w:pPr>
            <w:rPr>
              <w:noProof/>
            </w:rPr>
          </w:pPr>
          <w:r w:rsidRPr="003E39EA">
            <w:rPr>
              <w:noProof/>
            </w:rPr>
            <w:t xml:space="preserve">This protocol intends to support </w:t>
          </w:r>
          <w:r>
            <w:rPr>
              <w:noProof/>
            </w:rPr>
            <w:t>the organisation and its</w:t>
          </w:r>
          <w:r w:rsidRPr="003E39EA">
            <w:rPr>
              <w:noProof/>
            </w:rPr>
            <w:t xml:space="preserve"> staff in managing information risk to protect the organisation and its stakeholders from the inherent risks associated with processing Personal Confidential Information</w:t>
          </w:r>
          <w:r w:rsidR="00E4283E">
            <w:rPr>
              <w:noProof/>
            </w:rPr>
            <w:t xml:space="preserve"> and managing change that affects information or systems.</w:t>
          </w:r>
        </w:p>
        <w:p w:rsidR="007E4E42" w:rsidP="007E4E42" w:rsidRDefault="007E4E42" w14:paraId="31E996B0" w14:textId="02F1F3EC">
          <w:r>
            <w:t xml:space="preserve">Information Risk and Change Management are disciplines that support the organisation to operate within a complex framework of privacy legislation including Data Protection legislation, Common Law Duty of Confidence, Article 8 European Convention of Human Rights, Computer Misuse Act 1990 as well as </w:t>
          </w:r>
          <w:r w:rsidRPr="00485FFC">
            <w:t>health specific mandatory codes.</w:t>
          </w:r>
          <w:r>
            <w:t xml:space="preserve"> Effective Information Risk Management protects the organisation and its stakeholders and allows for effective risk mitigation, planning and allocation of resources.</w:t>
          </w:r>
        </w:p>
        <w:p w:rsidR="00ED74A3" w:rsidP="00ED74A3" w:rsidRDefault="001E00EE" w14:paraId="05A623F8" w14:textId="34559677">
          <w:pPr>
            <w:rPr>
              <w:noProof/>
            </w:rPr>
          </w:pPr>
        </w:p>
      </w:sdtContent>
    </w:sdt>
    <w:p w:rsidR="006F3D6C" w:rsidP="006F3D6C" w:rsidRDefault="006F3D6C" w14:paraId="3B3A14E4" w14:textId="67156178">
      <w:pPr>
        <w:pStyle w:val="Style1"/>
        <w:ind w:left="360"/>
        <w:rPr>
          <w:noProof/>
        </w:rPr>
      </w:pPr>
      <w:bookmarkStart w:name="_Toc97453787" w:id="1"/>
      <w:r>
        <w:t>QUICK REFERENCE POINTS</w:t>
      </w:r>
      <w:bookmarkEnd w:id="1"/>
    </w:p>
    <w:p w:rsidR="008F0E90" w:rsidP="00C90EF1" w:rsidRDefault="008F0E90" w14:paraId="38D5602C" w14:textId="77777777"/>
    <w:p w:rsidR="00A2502F" w:rsidP="00DC6216" w:rsidRDefault="00A2502F" w14:paraId="02ED433E" w14:textId="4CCCE44A">
      <w:pPr>
        <w:pStyle w:val="ListParagraph"/>
        <w:numPr>
          <w:ilvl w:val="0"/>
          <w:numId w:val="23"/>
        </w:numPr>
      </w:pPr>
      <w:r>
        <w:t xml:space="preserve">It is important that the organisation is able to identify information </w:t>
      </w:r>
      <w:proofErr w:type="gramStart"/>
      <w:r>
        <w:t>risk</w:t>
      </w:r>
      <w:proofErr w:type="gramEnd"/>
      <w:r>
        <w:t xml:space="preserve"> </w:t>
      </w:r>
    </w:p>
    <w:p w:rsidR="00A2502F" w:rsidP="00DC6216" w:rsidRDefault="00A2502F" w14:paraId="2C604DE2" w14:textId="074F2DA6">
      <w:pPr>
        <w:pStyle w:val="ListParagraph"/>
        <w:numPr>
          <w:ilvl w:val="0"/>
          <w:numId w:val="23"/>
        </w:numPr>
      </w:pPr>
      <w:r>
        <w:t xml:space="preserve">Risk can be present when things remain the same as well as well things </w:t>
      </w:r>
      <w:proofErr w:type="gramStart"/>
      <w:r>
        <w:t>change</w:t>
      </w:r>
      <w:proofErr w:type="gramEnd"/>
    </w:p>
    <w:p w:rsidR="00A2502F" w:rsidP="00DC6216" w:rsidRDefault="006A6458" w14:paraId="50EF5BDA" w14:textId="590ACDAF">
      <w:pPr>
        <w:pStyle w:val="ListParagraph"/>
        <w:numPr>
          <w:ilvl w:val="0"/>
          <w:numId w:val="23"/>
        </w:numPr>
      </w:pPr>
      <w:r>
        <w:t xml:space="preserve">Certain tools such as registers, logs and assessments can support the organisation to manage information </w:t>
      </w:r>
      <w:proofErr w:type="gramStart"/>
      <w:r>
        <w:t>risk</w:t>
      </w:r>
      <w:proofErr w:type="gramEnd"/>
    </w:p>
    <w:p w:rsidR="006A6458" w:rsidP="00DC6216" w:rsidRDefault="006A6458" w14:paraId="1C42012E" w14:textId="1CE1DBA7">
      <w:pPr>
        <w:pStyle w:val="ListParagraph"/>
        <w:numPr>
          <w:ilvl w:val="0"/>
          <w:numId w:val="23"/>
        </w:numPr>
      </w:pPr>
      <w:r>
        <w:t>There are key roles involved – including the Data Protection Officer</w:t>
      </w:r>
      <w:r w:rsidR="00123DD7">
        <w:t xml:space="preserve"> </w:t>
      </w:r>
      <w:r>
        <w:t>and Senior Information Risk Officer</w:t>
      </w:r>
    </w:p>
    <w:p w:rsidR="00535F69" w:rsidP="00535F69" w:rsidRDefault="00535F69" w14:paraId="0321AC1A" w14:textId="308D191F">
      <w:pPr>
        <w:pStyle w:val="Style1"/>
        <w:ind w:left="360"/>
        <w:rPr>
          <w:noProof/>
        </w:rPr>
      </w:pPr>
      <w:bookmarkStart w:name="_Toc97453788" w:id="2"/>
      <w:r>
        <w:t>KEY DEFINITIONS</w:t>
      </w:r>
      <w:bookmarkEnd w:id="2"/>
    </w:p>
    <w:p w:rsidR="008F0E90" w:rsidP="00C90EF1" w:rsidRDefault="008F0E90" w14:paraId="18D89AF1" w14:textId="77777777"/>
    <w:p w:rsidR="00535F69" w:rsidP="00C90EF1" w:rsidRDefault="00535F69" w14:paraId="79DFA27C" w14:textId="77777777"/>
    <w:p w:rsidR="00687325" w:rsidP="00687325" w:rsidRDefault="00687325" w14:paraId="5E30E753" w14:textId="77777777">
      <w:pPr>
        <w:ind w:left="4320" w:hanging="4320"/>
      </w:pPr>
      <w:r w:rsidRPr="00687325">
        <w:rPr>
          <w:b/>
          <w:bCs/>
        </w:rPr>
        <w:lastRenderedPageBreak/>
        <w:t>Personal Confidential Information</w:t>
      </w:r>
      <w:r>
        <w:t xml:space="preserve"> </w:t>
      </w:r>
      <w:r>
        <w:tab/>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00535F69" w:rsidP="00C90EF1" w:rsidRDefault="00535F69" w14:paraId="4F81948D" w14:textId="77777777"/>
    <w:p w:rsidR="00BA1866" w:rsidP="00BA1866" w:rsidRDefault="006919D1" w14:paraId="648B500A" w14:textId="53570FE9">
      <w:pPr>
        <w:pStyle w:val="Style1"/>
        <w:ind w:left="360"/>
        <w:rPr>
          <w:noProof/>
        </w:rPr>
      </w:pPr>
      <w:bookmarkStart w:name="_Toc97453789" w:id="3"/>
      <w:r>
        <w:t>SCOPE</w:t>
      </w:r>
      <w:bookmarkEnd w:id="3"/>
    </w:p>
    <w:p w:rsidR="00451847" w:rsidP="00C90EF1" w:rsidRDefault="00451847" w14:paraId="5EE1C09F" w14:textId="36DA8305"/>
    <w:p w:rsidR="00A130DE" w:rsidP="00A130DE" w:rsidRDefault="00A130DE" w14:paraId="4D78448F" w14:textId="77777777">
      <w:pPr>
        <w:tabs>
          <w:tab w:val="left" w:pos="1702"/>
        </w:tabs>
      </w:pPr>
      <w:r>
        <w:t>See Information Governance Policy for key roles.</w:t>
      </w:r>
    </w:p>
    <w:p w:rsidR="006919D1" w:rsidP="00A130DE" w:rsidRDefault="00A130DE" w14:paraId="5E96181F" w14:textId="5EDDCE98">
      <w:pPr>
        <w:tabs>
          <w:tab w:val="left" w:pos="1702"/>
        </w:tabs>
      </w:pPr>
      <w:r>
        <w:t xml:space="preserve">All staff, whether management or administrative, who create, </w:t>
      </w:r>
      <w:proofErr w:type="gramStart"/>
      <w:r>
        <w:t>receive</w:t>
      </w:r>
      <w:proofErr w:type="gramEnd"/>
      <w:r>
        <w:t xml:space="preserve"> and use Personal Confidential Information have responsibilities to ensure effective reporting and management of information risk. Employees have a contractual and legal obligation to read and comply with all company policies and to attend mandatory training to support the appropriate management of information.</w:t>
      </w:r>
    </w:p>
    <w:p w:rsidR="00A130DE" w:rsidP="00A130DE" w:rsidRDefault="00A130DE" w14:paraId="34E3356B" w14:textId="77777777">
      <w:pPr>
        <w:tabs>
          <w:tab w:val="left" w:pos="1702"/>
        </w:tabs>
      </w:pPr>
    </w:p>
    <w:p w:rsidR="006919D1" w:rsidP="006919D1" w:rsidRDefault="00935C9D" w14:paraId="23722E74" w14:textId="0B7ABEC2">
      <w:pPr>
        <w:pStyle w:val="Style1"/>
        <w:ind w:left="360"/>
        <w:rPr>
          <w:noProof/>
        </w:rPr>
      </w:pPr>
      <w:bookmarkStart w:name="_Toc97453790" w:id="4"/>
      <w:r>
        <w:t xml:space="preserve">KEY </w:t>
      </w:r>
      <w:r w:rsidR="006919D1">
        <w:t xml:space="preserve">LEGISLATION </w:t>
      </w:r>
      <w:r w:rsidR="006F3D6C">
        <w:t xml:space="preserve">/ </w:t>
      </w:r>
      <w:r w:rsidR="006919D1">
        <w:t>FRAMEWORK</w:t>
      </w:r>
      <w:bookmarkEnd w:id="4"/>
    </w:p>
    <w:p w:rsidR="006919D1" w:rsidP="00C90EF1" w:rsidRDefault="006919D1" w14:paraId="074955EE" w14:textId="77777777"/>
    <w:p w:rsidR="005C5F06" w:rsidP="00687325" w:rsidRDefault="005C5F06" w14:paraId="71413E81" w14:textId="1C8F8FB5">
      <w:pPr>
        <w:pStyle w:val="ListParagraph"/>
        <w:numPr>
          <w:ilvl w:val="0"/>
          <w:numId w:val="10"/>
        </w:numPr>
      </w:pPr>
      <w:r>
        <w:t xml:space="preserve">UK GDPR / Data Protection Act 2018 </w:t>
      </w:r>
    </w:p>
    <w:p w:rsidR="00DC27E0" w:rsidP="00DC27E0" w:rsidRDefault="00DC27E0" w14:paraId="4D7229E2" w14:textId="56D113FD">
      <w:pPr>
        <w:pStyle w:val="ListParagraph"/>
        <w:numPr>
          <w:ilvl w:val="0"/>
          <w:numId w:val="10"/>
        </w:numPr>
      </w:pPr>
      <w:r>
        <w:t>Caldicott Principles</w:t>
      </w:r>
    </w:p>
    <w:p w:rsidR="00BA1866" w:rsidP="00C90EF1" w:rsidRDefault="00F17971" w14:paraId="77E12770" w14:textId="6977358C">
      <w:pPr>
        <w:pStyle w:val="ListParagraph"/>
        <w:numPr>
          <w:ilvl w:val="0"/>
          <w:numId w:val="10"/>
        </w:numPr>
      </w:pPr>
      <w:r>
        <w:t>Human Rights Act 1998</w:t>
      </w:r>
    </w:p>
    <w:p w:rsidR="007B09F0" w:rsidP="007B09F0" w:rsidRDefault="007B09F0" w14:paraId="565AA6E0" w14:textId="77777777"/>
    <w:p w:rsidR="007B09F0" w:rsidP="007B09F0" w:rsidRDefault="00A33DAB" w14:paraId="4E42EDB9" w14:textId="438AD715">
      <w:pPr>
        <w:pStyle w:val="Style1"/>
        <w:ind w:left="360"/>
        <w:rPr>
          <w:noProof/>
        </w:rPr>
      </w:pPr>
      <w:bookmarkStart w:name="_Toc97453791" w:id="5"/>
      <w:r>
        <w:t>RISK MANAGEMENT</w:t>
      </w:r>
      <w:bookmarkEnd w:id="5"/>
    </w:p>
    <w:p w:rsidR="00827665" w:rsidP="00827665" w:rsidRDefault="00827665" w14:paraId="3E02A63E" w14:textId="77777777"/>
    <w:p w:rsidR="006A40E3" w:rsidP="00C06499" w:rsidRDefault="00DF20D2" w14:paraId="1EE5A19E" w14:textId="6A02D35B">
      <w:pPr>
        <w:pStyle w:val="ListParagraph"/>
        <w:numPr>
          <w:ilvl w:val="0"/>
          <w:numId w:val="23"/>
        </w:numPr>
      </w:pPr>
      <w:r>
        <w:t>A risk is defined as a vulnerability combined with a threat.</w:t>
      </w:r>
    </w:p>
    <w:p w:rsidR="006A40E3" w:rsidP="00DC6216" w:rsidRDefault="006A40E3" w14:paraId="4B233A20" w14:textId="6ADBBFA3">
      <w:pPr>
        <w:pStyle w:val="ListParagraph"/>
        <w:numPr>
          <w:ilvl w:val="0"/>
          <w:numId w:val="23"/>
        </w:numPr>
      </w:pPr>
      <w:r>
        <w:t>Some of these risks are ‘</w:t>
      </w:r>
      <w:r w:rsidR="00B2026C">
        <w:t>inherent</w:t>
      </w:r>
      <w:r>
        <w:t>’ which means that they exist</w:t>
      </w:r>
      <w:r w:rsidR="00B2026C">
        <w:t>, even if there is no change.</w:t>
      </w:r>
    </w:p>
    <w:p w:rsidR="0023219C" w:rsidP="00C06499" w:rsidRDefault="0023219C" w14:paraId="41AFBF8C" w14:textId="77777777"/>
    <w:p w:rsidR="00DF20D2" w:rsidP="00C06499" w:rsidRDefault="00DF20D2" w14:paraId="0F636973" w14:textId="77777777">
      <w:r>
        <w:t>Example</w:t>
      </w:r>
    </w:p>
    <w:p w:rsidR="00DF20D2" w:rsidP="00C06499" w:rsidRDefault="00DF20D2" w14:paraId="3A80CB11" w14:textId="77777777"/>
    <w:p w:rsidR="00DF20D2" w:rsidP="0023219C" w:rsidRDefault="00DF20D2" w14:paraId="5D810949" w14:textId="26375EB5">
      <w:pPr>
        <w:shd w:val="clear" w:color="auto" w:fill="C5E0B3" w:themeFill="accent6" w:themeFillTint="66"/>
      </w:pPr>
      <w:r>
        <w:t xml:space="preserve">There is a constant threat of cyber attack worldwide. Simply having and using computers that access the internet creates a vulnerability. This means there is </w:t>
      </w:r>
      <w:r w:rsidR="00B2026C">
        <w:t>always an inherent</w:t>
      </w:r>
      <w:r>
        <w:t xml:space="preserve"> risk that our systems will be subject to </w:t>
      </w:r>
      <w:r w:rsidR="006A40E3">
        <w:t>cyber-attack. T</w:t>
      </w:r>
      <w:r>
        <w:t xml:space="preserve">his will affect our ability to operate and could </w:t>
      </w:r>
      <w:r w:rsidR="0023219C">
        <w:t xml:space="preserve">compromise the security of </w:t>
      </w:r>
      <w:r>
        <w:t>Personal Confidential Data.</w:t>
      </w:r>
    </w:p>
    <w:p w:rsidR="00DF20D2" w:rsidP="00C06499" w:rsidRDefault="00DF20D2" w14:paraId="3060B7CD" w14:textId="77777777"/>
    <w:p w:rsidR="00B2026C" w:rsidP="004E453A" w:rsidRDefault="00B2026C" w14:paraId="6A8C66C0" w14:textId="00D3863A">
      <w:pPr>
        <w:pStyle w:val="ListParagraph"/>
        <w:numPr>
          <w:ilvl w:val="0"/>
          <w:numId w:val="23"/>
        </w:numPr>
      </w:pPr>
      <w:r>
        <w:t>Some risks are a result of change.</w:t>
      </w:r>
      <w:r w:rsidR="009B2C31">
        <w:t xml:space="preserve"> These ‘reactive’ risks can occur when new projects, systems or suppliers are engaged.</w:t>
      </w:r>
    </w:p>
    <w:p w:rsidR="009B2C31" w:rsidP="00C06499" w:rsidRDefault="009B2C31" w14:paraId="6A28A65D" w14:textId="77777777"/>
    <w:p w:rsidR="009B2C31" w:rsidP="00C06499" w:rsidRDefault="009B2C31" w14:paraId="291EEDE5" w14:textId="0A02E74D">
      <w:r>
        <w:t>Example</w:t>
      </w:r>
    </w:p>
    <w:p w:rsidR="009B2C31" w:rsidP="00C06499" w:rsidRDefault="009B2C31" w14:paraId="657C1911" w14:textId="77777777"/>
    <w:p w:rsidR="009B2C31" w:rsidP="009B2C31" w:rsidRDefault="009B2C31" w14:paraId="5E740B40" w14:textId="4C59A8BB">
      <w:pPr>
        <w:shd w:val="clear" w:color="auto" w:fill="C5E0B3" w:themeFill="accent6" w:themeFillTint="66"/>
      </w:pPr>
      <w:r>
        <w:t>The</w:t>
      </w:r>
      <w:r w:rsidR="00AF44AE">
        <w:t xml:space="preserve"> organisation is planning to </w:t>
      </w:r>
      <w:r w:rsidR="003333A6">
        <w:t xml:space="preserve">engage a new HR system. There is a threat that the new provider is </w:t>
      </w:r>
      <w:r w:rsidR="00AD141D">
        <w:t xml:space="preserve">not of good standing and </w:t>
      </w:r>
      <w:r w:rsidR="00C96D20">
        <w:t>manages</w:t>
      </w:r>
      <w:r w:rsidR="00AD141D">
        <w:t xml:space="preserve"> Personal Confidential Information poorly. The nature of HR information (sensitive information about employees work and home lives) creates a vulnerability. </w:t>
      </w:r>
      <w:r w:rsidR="00D71164">
        <w:t xml:space="preserve">There is a risk that the new HR system does not protect the Personal Confidential Information of </w:t>
      </w:r>
      <w:r w:rsidR="00A20384">
        <w:t>employees,</w:t>
      </w:r>
      <w:r w:rsidR="00D71164">
        <w:t xml:space="preserve"> and this will result in harm to individuals and the reputation of the organisation.</w:t>
      </w:r>
    </w:p>
    <w:p w:rsidR="00B2026C" w:rsidP="00C06499" w:rsidRDefault="00B2026C" w14:paraId="1637488A" w14:textId="77777777"/>
    <w:p w:rsidR="00C06499" w:rsidP="004E453A" w:rsidRDefault="00DF20D2" w14:paraId="65133277" w14:textId="274ED467">
      <w:pPr>
        <w:pStyle w:val="ListParagraph"/>
        <w:numPr>
          <w:ilvl w:val="0"/>
          <w:numId w:val="23"/>
        </w:numPr>
      </w:pPr>
      <w:r>
        <w:t xml:space="preserve">The </w:t>
      </w:r>
      <w:proofErr w:type="gramStart"/>
      <w:r>
        <w:t>organisation</w:t>
      </w:r>
      <w:r w:rsidR="00C06499">
        <w:t>‘</w:t>
      </w:r>
      <w:proofErr w:type="gramEnd"/>
      <w:r w:rsidR="00C06499">
        <w:t>s Information Risk Management takes the form of a Plan, Do, Check, Act cycle as demonstrated in the diagram below.</w:t>
      </w:r>
    </w:p>
    <w:p w:rsidR="00DF20D2" w:rsidP="00C06499" w:rsidRDefault="00DF20D2" w14:paraId="15B89647" w14:textId="77777777"/>
    <w:p w:rsidR="00DF20D2" w:rsidP="00C06499" w:rsidRDefault="00DF20D2" w14:paraId="47F1FE26" w14:textId="6C59B74B">
      <w:r w:rsidRPr="0090114A">
        <w:rPr>
          <w:noProof/>
        </w:rPr>
        <w:drawing>
          <wp:inline distT="0" distB="0" distL="0" distR="0" wp14:anchorId="48D9A03F" wp14:editId="5FE56F38">
            <wp:extent cx="5731249" cy="3225800"/>
            <wp:effectExtent l="0" t="0" r="3175"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26811" t="25161" r="6511" b="8351"/>
                    <a:stretch/>
                  </pic:blipFill>
                  <pic:spPr bwMode="auto">
                    <a:xfrm>
                      <a:off x="0" y="0"/>
                      <a:ext cx="5731510" cy="3225947"/>
                    </a:xfrm>
                    <a:prstGeom prst="rect">
                      <a:avLst/>
                    </a:prstGeom>
                    <a:noFill/>
                    <a:ln>
                      <a:noFill/>
                    </a:ln>
                    <a:extLst>
                      <a:ext uri="{53640926-AAD7-44D8-BBD7-CCE9431645EC}">
                        <a14:shadowObscured xmlns:a14="http://schemas.microsoft.com/office/drawing/2010/main"/>
                      </a:ext>
                    </a:extLst>
                  </pic:spPr>
                </pic:pic>
              </a:graphicData>
            </a:graphic>
          </wp:inline>
        </w:drawing>
      </w:r>
    </w:p>
    <w:p w:rsidR="00C06499" w:rsidP="00C06499" w:rsidRDefault="00C06499" w14:paraId="2C83F94A" w14:textId="77777777">
      <w:r>
        <w:t xml:space="preserve"> </w:t>
      </w:r>
    </w:p>
    <w:p w:rsidR="002C07FA" w:rsidP="004E453A" w:rsidRDefault="002C07FA" w14:paraId="1C52DAC1" w14:textId="77777777">
      <w:pPr>
        <w:pStyle w:val="ListParagraph"/>
        <w:numPr>
          <w:ilvl w:val="0"/>
          <w:numId w:val="23"/>
        </w:numPr>
      </w:pPr>
      <w:r>
        <w:t xml:space="preserve">This can be applied to both inherent and reactive risks. </w:t>
      </w:r>
    </w:p>
    <w:p w:rsidR="00C06499" w:rsidP="004E453A" w:rsidRDefault="00C06499" w14:paraId="5DFF6199" w14:textId="3AC46B3D">
      <w:pPr>
        <w:pStyle w:val="ListParagraph"/>
        <w:numPr>
          <w:ilvl w:val="0"/>
          <w:numId w:val="23"/>
        </w:numPr>
      </w:pPr>
      <w:r>
        <w:t>All audit, review and incident outcomes are fed into senior management where recommendations are made as to how controls can be applied or improved for greater assurance.</w:t>
      </w:r>
    </w:p>
    <w:p w:rsidR="00CF1407" w:rsidP="00CF1407" w:rsidRDefault="002C07FA" w14:paraId="16A19783" w14:textId="73190AB6">
      <w:pPr>
        <w:pStyle w:val="Style1"/>
        <w:ind w:left="360"/>
        <w:rPr>
          <w:noProof/>
        </w:rPr>
      </w:pPr>
      <w:bookmarkStart w:name="_Toc97453792" w:id="6"/>
      <w:r>
        <w:t>PLAN</w:t>
      </w:r>
      <w:bookmarkEnd w:id="6"/>
    </w:p>
    <w:p w:rsidR="0073236E" w:rsidP="0088637C" w:rsidRDefault="0073236E" w14:paraId="0B8A09E1" w14:textId="77777777"/>
    <w:p w:rsidR="005F2080" w:rsidP="004E453A" w:rsidRDefault="005F2080" w14:paraId="074CCF8B" w14:textId="0AF4ADC0">
      <w:pPr>
        <w:pStyle w:val="ListParagraph"/>
        <w:numPr>
          <w:ilvl w:val="0"/>
          <w:numId w:val="23"/>
        </w:numPr>
      </w:pPr>
      <w:r>
        <w:t xml:space="preserve">The following items form the basis for the </w:t>
      </w:r>
      <w:sdt>
        <w:sdtPr>
          <w:alias w:val="practice name"/>
          <w:tag w:val="practice name"/>
          <w:id w:val="2044475943"/>
          <w:placeholder>
            <w:docPart w:val="DefaultPlaceholder_-1854013440"/>
          </w:placeholder>
          <w:showingPlcHdr/>
          <w:text/>
        </w:sdtPr>
        <w:sdtEndPr/>
        <w:sdtContent>
          <w:r w:rsidRPr="004E453A" w:rsidR="004E453A">
            <w:t>Upwell Health Centre and Welle Ltd (Pharmacy)</w:t>
          </w:r>
        </w:sdtContent>
      </w:sdt>
      <w:r w:rsidR="004E453A">
        <w:t xml:space="preserve"> </w:t>
      </w:r>
      <w:r>
        <w:t xml:space="preserve">information risk management </w:t>
      </w:r>
      <w:proofErr w:type="gramStart"/>
      <w:r>
        <w:t>plan;</w:t>
      </w:r>
      <w:proofErr w:type="gramEnd"/>
    </w:p>
    <w:p w:rsidR="002C07FA" w:rsidP="005F2080" w:rsidRDefault="002C07FA" w14:paraId="410A477D" w14:textId="75C12C23">
      <w:pPr>
        <w:pStyle w:val="ListParagraph"/>
        <w:numPr>
          <w:ilvl w:val="0"/>
          <w:numId w:val="19"/>
        </w:numPr>
      </w:pPr>
      <w:r>
        <w:t xml:space="preserve">The organisation will put in place an Information Risk Register which is managed by the Senior Information Risk Officer </w:t>
      </w:r>
    </w:p>
    <w:p w:rsidR="002C07FA" w:rsidP="005F2080" w:rsidRDefault="0024343B" w14:paraId="0D6E0CA3" w14:textId="68C221BD">
      <w:pPr>
        <w:pStyle w:val="ListParagraph"/>
        <w:numPr>
          <w:ilvl w:val="0"/>
          <w:numId w:val="19"/>
        </w:numPr>
      </w:pPr>
      <w:r>
        <w:t>A</w:t>
      </w:r>
      <w:r w:rsidR="002C07FA">
        <w:t xml:space="preserve"> </w:t>
      </w:r>
      <w:r>
        <w:t xml:space="preserve">suitably knowledgeable </w:t>
      </w:r>
      <w:r w:rsidR="002C07FA">
        <w:t xml:space="preserve">Data Protection Officer </w:t>
      </w:r>
      <w:r>
        <w:t xml:space="preserve">has been </w:t>
      </w:r>
      <w:proofErr w:type="gramStart"/>
      <w:r>
        <w:t>appointed</w:t>
      </w:r>
      <w:proofErr w:type="gramEnd"/>
    </w:p>
    <w:p w:rsidR="00DE4993" w:rsidP="005F2080" w:rsidRDefault="00DE4993" w14:paraId="0FD8905F" w14:textId="4711A747">
      <w:pPr>
        <w:pStyle w:val="ListParagraph"/>
        <w:numPr>
          <w:ilvl w:val="0"/>
          <w:numId w:val="19"/>
        </w:numPr>
      </w:pPr>
      <w:r>
        <w:t xml:space="preserve">Policies and protocols are produced as a plan to manage both inherent and reactive </w:t>
      </w:r>
      <w:proofErr w:type="gramStart"/>
      <w:r>
        <w:t>risks</w:t>
      </w:r>
      <w:proofErr w:type="gramEnd"/>
    </w:p>
    <w:p w:rsidR="005D0586" w:rsidP="005F2080" w:rsidRDefault="00DE4993" w14:paraId="14959FC3" w14:textId="4AB01A3B">
      <w:pPr>
        <w:pStyle w:val="ListParagraph"/>
        <w:numPr>
          <w:ilvl w:val="0"/>
          <w:numId w:val="19"/>
        </w:numPr>
      </w:pPr>
      <w:r>
        <w:t>A Processing Activities Log is in place to provide a baseline for activities that use Personal Confidential Information</w:t>
      </w:r>
    </w:p>
    <w:p w:rsidR="005D0586" w:rsidP="0088637C" w:rsidRDefault="005D0586" w14:paraId="3E523CBE" w14:textId="77777777"/>
    <w:p w:rsidR="005D0586" w:rsidP="005D0586" w:rsidRDefault="005D0586" w14:paraId="7530E39C" w14:textId="65C856A7">
      <w:pPr>
        <w:pStyle w:val="Style1"/>
        <w:ind w:left="360"/>
        <w:rPr>
          <w:noProof/>
        </w:rPr>
      </w:pPr>
      <w:bookmarkStart w:name="_Toc97453793" w:id="7"/>
      <w:r>
        <w:t>DO</w:t>
      </w:r>
      <w:bookmarkEnd w:id="7"/>
    </w:p>
    <w:p w:rsidR="005D0586" w:rsidP="0088637C" w:rsidRDefault="005D0586" w14:paraId="75213132" w14:textId="77777777"/>
    <w:p w:rsidR="005F2080" w:rsidP="004E453A" w:rsidRDefault="005F2080" w14:paraId="4FD87C47" w14:textId="46F19369">
      <w:pPr>
        <w:pStyle w:val="ListParagraph"/>
        <w:numPr>
          <w:ilvl w:val="0"/>
          <w:numId w:val="23"/>
        </w:numPr>
      </w:pPr>
      <w:r>
        <w:t>The following items demonstrate how the</w:t>
      </w:r>
      <w:r w:rsidR="00DB5A11">
        <w:t xml:space="preserve"> </w:t>
      </w:r>
      <w:sdt>
        <w:sdtPr>
          <w:alias w:val="practice name"/>
          <w:tag w:val="practice name"/>
          <w:id w:val="587894738"/>
          <w:placeholder>
            <w:docPart w:val="FB71CF09390148EC9ED190704C330C6C"/>
          </w:placeholder>
          <w:showingPlcHdr/>
          <w:text/>
        </w:sdtPr>
        <w:sdtEndPr/>
        <w:sdtContent>
          <w:r w:rsidRPr="004E453A" w:rsidR="004E453A">
            <w:t>Upwell Health Centre and Welle Ltd (Pharmacy)</w:t>
          </w:r>
        </w:sdtContent>
      </w:sdt>
      <w:r w:rsidR="004E453A">
        <w:t xml:space="preserve"> </w:t>
      </w:r>
      <w:r w:rsidR="00DB5A11">
        <w:t>information risk management</w:t>
      </w:r>
      <w:r>
        <w:t xml:space="preserve"> plan will be </w:t>
      </w:r>
      <w:r w:rsidR="00DB5A11">
        <w:t>implemented.</w:t>
      </w:r>
    </w:p>
    <w:p w:rsidR="005F2080" w:rsidP="005F2080" w:rsidRDefault="005F2080" w14:paraId="2445DDAB" w14:textId="17B2BF40">
      <w:pPr>
        <w:pStyle w:val="ListParagraph"/>
        <w:numPr>
          <w:ilvl w:val="0"/>
          <w:numId w:val="19"/>
        </w:numPr>
      </w:pPr>
      <w:r>
        <w:t xml:space="preserve">The Information Risk Register will be regularly reviewed and </w:t>
      </w:r>
      <w:r w:rsidR="0024343B">
        <w:t>updated,</w:t>
      </w:r>
      <w:r>
        <w:t xml:space="preserve"> and key items will be escalated to the most senior members of the organisation by the Senior Information Risk Manager</w:t>
      </w:r>
      <w:r w:rsidR="0024343B">
        <w:t xml:space="preserve"> (SIRO)</w:t>
      </w:r>
    </w:p>
    <w:p w:rsidR="0024343B" w:rsidP="005F2080" w:rsidRDefault="005F2080" w14:paraId="1E3FA7CB" w14:textId="03005028">
      <w:pPr>
        <w:pStyle w:val="ListParagraph"/>
        <w:numPr>
          <w:ilvl w:val="0"/>
          <w:numId w:val="19"/>
        </w:numPr>
      </w:pPr>
      <w:r>
        <w:t>The Data Protection Officer</w:t>
      </w:r>
      <w:r w:rsidR="0024343B">
        <w:t xml:space="preserve"> (DPO)</w:t>
      </w:r>
      <w:r>
        <w:t xml:space="preserve"> will ensure that staff are trained and supported </w:t>
      </w:r>
      <w:r w:rsidR="0024343B">
        <w:t>regarding</w:t>
      </w:r>
      <w:r>
        <w:t xml:space="preserve"> data protection </w:t>
      </w:r>
      <w:proofErr w:type="gramStart"/>
      <w:r>
        <w:t>compliance</w:t>
      </w:r>
      <w:proofErr w:type="gramEnd"/>
      <w:r>
        <w:t xml:space="preserve"> </w:t>
      </w:r>
    </w:p>
    <w:p w:rsidR="005F2080" w:rsidP="005F2080" w:rsidRDefault="0024343B" w14:paraId="00B9B857" w14:textId="42B25C3C">
      <w:pPr>
        <w:pStyle w:val="ListParagraph"/>
        <w:numPr>
          <w:ilvl w:val="0"/>
          <w:numId w:val="19"/>
        </w:numPr>
      </w:pPr>
      <w:r>
        <w:t xml:space="preserve">The DPO will </w:t>
      </w:r>
      <w:r w:rsidR="005F2080">
        <w:t>highlight risks</w:t>
      </w:r>
      <w:r>
        <w:t xml:space="preserve"> to the SIRO</w:t>
      </w:r>
      <w:r w:rsidR="005F2080">
        <w:t xml:space="preserve"> via regular updates, newsletters or </w:t>
      </w:r>
      <w:proofErr w:type="gramStart"/>
      <w:r w:rsidR="005F2080">
        <w:t>meetings</w:t>
      </w:r>
      <w:proofErr w:type="gramEnd"/>
    </w:p>
    <w:p w:rsidR="00274DCC" w:rsidP="00274DCC" w:rsidRDefault="0024343B" w14:paraId="790611C2" w14:textId="2198BC1C">
      <w:pPr>
        <w:pStyle w:val="ListParagraph"/>
        <w:numPr>
          <w:ilvl w:val="0"/>
          <w:numId w:val="19"/>
        </w:numPr>
      </w:pPr>
      <w:r>
        <w:t>Data Protection Impact Assessments will be completed by the DPO</w:t>
      </w:r>
      <w:r w:rsidR="00274DCC">
        <w:t xml:space="preserve"> and reviewed by the </w:t>
      </w:r>
      <w:proofErr w:type="gramStart"/>
      <w:r w:rsidR="00274DCC">
        <w:t>SIRO</w:t>
      </w:r>
      <w:proofErr w:type="gramEnd"/>
    </w:p>
    <w:p w:rsidR="005F2080" w:rsidP="005F2080" w:rsidRDefault="00FC7DD5" w14:paraId="6FE19155" w14:textId="1F124D91">
      <w:pPr>
        <w:pStyle w:val="ListParagraph"/>
        <w:numPr>
          <w:ilvl w:val="0"/>
          <w:numId w:val="19"/>
        </w:numPr>
      </w:pPr>
      <w:r>
        <w:t>Key</w:t>
      </w:r>
      <w:r w:rsidR="00274DCC">
        <w:t xml:space="preserve"> learning will be </w:t>
      </w:r>
      <w:r>
        <w:t xml:space="preserve">shared following information incidents and measures put in place to prevent </w:t>
      </w:r>
      <w:proofErr w:type="gramStart"/>
      <w:r>
        <w:t>recurrence</w:t>
      </w:r>
      <w:proofErr w:type="gramEnd"/>
    </w:p>
    <w:p w:rsidR="005F2080" w:rsidP="005F2080" w:rsidRDefault="005F2080" w14:paraId="3B915EC5" w14:textId="6A4DC1AE">
      <w:pPr>
        <w:pStyle w:val="ListParagraph"/>
        <w:numPr>
          <w:ilvl w:val="0"/>
          <w:numId w:val="19"/>
        </w:numPr>
      </w:pPr>
      <w:r>
        <w:t xml:space="preserve">A Processing Activities Log </w:t>
      </w:r>
      <w:r w:rsidR="00FC7DD5">
        <w:t xml:space="preserve">will be reviewed / submitted by the organisation twice a </w:t>
      </w:r>
      <w:proofErr w:type="gramStart"/>
      <w:r w:rsidR="00FC7DD5">
        <w:t>year</w:t>
      </w:r>
      <w:proofErr w:type="gramEnd"/>
    </w:p>
    <w:p w:rsidR="00FC7DD5" w:rsidP="005F2080" w:rsidRDefault="00DB5A11" w14:paraId="7036BCC8" w14:textId="2D480B45">
      <w:pPr>
        <w:pStyle w:val="ListParagraph"/>
        <w:numPr>
          <w:ilvl w:val="0"/>
          <w:numId w:val="19"/>
        </w:numPr>
      </w:pPr>
      <w:r>
        <w:t xml:space="preserve">New projects, providers and systems will be notified to the DPO for </w:t>
      </w:r>
      <w:proofErr w:type="gramStart"/>
      <w:r>
        <w:t>review</w:t>
      </w:r>
      <w:proofErr w:type="gramEnd"/>
    </w:p>
    <w:p w:rsidR="004D006E" w:rsidP="005F2080" w:rsidRDefault="004D006E" w14:paraId="7253A942" w14:textId="0139418B">
      <w:pPr>
        <w:pStyle w:val="ListParagraph"/>
        <w:numPr>
          <w:ilvl w:val="0"/>
          <w:numId w:val="19"/>
        </w:numPr>
      </w:pPr>
      <w:r>
        <w:t xml:space="preserve">The SIRO and DPO will be suitably trained to ensure that they can fulfil their </w:t>
      </w:r>
      <w:proofErr w:type="gramStart"/>
      <w:r>
        <w:t>responsibilities</w:t>
      </w:r>
      <w:proofErr w:type="gramEnd"/>
    </w:p>
    <w:p w:rsidR="00AC6E2F" w:rsidP="00AC6E2F" w:rsidRDefault="00AC6E2F" w14:paraId="53268FAA" w14:textId="77777777">
      <w:pPr>
        <w:pStyle w:val="ListParagraph"/>
      </w:pPr>
    </w:p>
    <w:p w:rsidR="00AC6E2F" w:rsidP="00AC6E2F" w:rsidRDefault="00AC6E2F" w14:paraId="022FECD7" w14:textId="2D43DD96">
      <w:pPr>
        <w:pStyle w:val="Style1"/>
        <w:rPr>
          <w:noProof/>
        </w:rPr>
      </w:pPr>
      <w:bookmarkStart w:name="_Toc97453794" w:id="8"/>
      <w:r>
        <w:t>CHECK</w:t>
      </w:r>
      <w:r w:rsidR="00223CCD">
        <w:t xml:space="preserve"> / ACT</w:t>
      </w:r>
      <w:bookmarkEnd w:id="8"/>
    </w:p>
    <w:p w:rsidR="00DB1204" w:rsidP="0088637C" w:rsidRDefault="00DB1204" w14:paraId="68BBBDC0" w14:textId="77777777"/>
    <w:p w:rsidR="009F608D" w:rsidP="006B1FFA" w:rsidRDefault="009F608D" w14:paraId="2B1D5B21" w14:textId="00E3A86E">
      <w:pPr>
        <w:pStyle w:val="ListParagraph"/>
        <w:numPr>
          <w:ilvl w:val="0"/>
          <w:numId w:val="23"/>
        </w:numPr>
      </w:pPr>
      <w:r>
        <w:t>The following items demonstrate how the</w:t>
      </w:r>
      <w:r w:rsidR="004E453A">
        <w:t xml:space="preserve"> </w:t>
      </w:r>
      <w:sdt>
        <w:sdtPr>
          <w:alias w:val="practice name"/>
          <w:tag w:val="practice name"/>
          <w:id w:val="71789457"/>
          <w:placeholder>
            <w:docPart w:val="6F6F89CED01A49388FD499E651FF3B84"/>
          </w:placeholder>
          <w:showingPlcHdr/>
          <w:text/>
        </w:sdtPr>
        <w:sdtEndPr/>
        <w:sdtContent>
          <w:r w:rsidRPr="004E453A" w:rsidR="004E453A">
            <w:t>Upwell Health Centre and Welle Ltd (Pharmacy)</w:t>
          </w:r>
        </w:sdtContent>
      </w:sdt>
      <w:r>
        <w:t xml:space="preserve"> information risk management plan will be checked.</w:t>
      </w:r>
    </w:p>
    <w:p w:rsidR="00C863E6" w:rsidP="006B1FFA" w:rsidRDefault="009F608D" w14:paraId="796D1E67" w14:textId="77777777">
      <w:pPr>
        <w:pStyle w:val="ListParagraph"/>
        <w:numPr>
          <w:ilvl w:val="1"/>
          <w:numId w:val="24"/>
        </w:numPr>
      </w:pPr>
      <w:r>
        <w:t xml:space="preserve">The </w:t>
      </w:r>
      <w:r w:rsidR="00604AD1">
        <w:t xml:space="preserve">Senior Information Risk Officer (SIRO) will ensure that data protection and security policies and protocols are up </w:t>
      </w:r>
      <w:r w:rsidR="00C863E6">
        <w:t xml:space="preserve">to date and have been circulated to all staff, including new </w:t>
      </w:r>
      <w:proofErr w:type="gramStart"/>
      <w:r w:rsidR="00C863E6">
        <w:t>starters</w:t>
      </w:r>
      <w:proofErr w:type="gramEnd"/>
    </w:p>
    <w:p w:rsidR="009F608D" w:rsidP="006B1FFA" w:rsidRDefault="00C863E6" w14:paraId="4543E85A" w14:textId="71D2A02B">
      <w:pPr>
        <w:pStyle w:val="ListParagraph"/>
        <w:numPr>
          <w:ilvl w:val="1"/>
          <w:numId w:val="24"/>
        </w:numPr>
      </w:pPr>
      <w:r>
        <w:t xml:space="preserve">The organisation will submit an NHS Data Protection and Security Toolkit each year as a </w:t>
      </w:r>
      <w:r w:rsidR="003D586E">
        <w:t>self-assessment</w:t>
      </w:r>
      <w:r>
        <w:t>. It provides an opportunity to reflect on the information risk management plan.</w:t>
      </w:r>
    </w:p>
    <w:p w:rsidR="00791811" w:rsidP="006B1FFA" w:rsidRDefault="009F608D" w14:paraId="2C9F595E" w14:textId="1E8DF266">
      <w:pPr>
        <w:pStyle w:val="ListParagraph"/>
        <w:numPr>
          <w:ilvl w:val="1"/>
          <w:numId w:val="24"/>
        </w:numPr>
      </w:pPr>
      <w:r>
        <w:t xml:space="preserve">Data Protection Impact Assessments will be </w:t>
      </w:r>
      <w:r w:rsidR="00C863E6">
        <w:t>revisited</w:t>
      </w:r>
      <w:r w:rsidR="00791811">
        <w:t xml:space="preserve"> by the DPO</w:t>
      </w:r>
      <w:r w:rsidR="00C863E6">
        <w:t xml:space="preserve"> after 12 months to ensure that the identified risks are still being </w:t>
      </w:r>
      <w:r w:rsidR="00791811">
        <w:t>mitigated.</w:t>
      </w:r>
    </w:p>
    <w:p w:rsidR="00307D3C" w:rsidP="006B1FFA" w:rsidRDefault="00307D3C" w14:paraId="5BE9EAA9" w14:textId="6A800BE7">
      <w:pPr>
        <w:pStyle w:val="ListParagraph"/>
        <w:numPr>
          <w:ilvl w:val="1"/>
          <w:numId w:val="24"/>
        </w:numPr>
      </w:pPr>
      <w:r>
        <w:t xml:space="preserve">The DPO will make a Compliance Spot Check template available or organise an audit to provide a view on risk across the </w:t>
      </w:r>
      <w:proofErr w:type="gramStart"/>
      <w:r>
        <w:t>organisation</w:t>
      </w:r>
      <w:proofErr w:type="gramEnd"/>
    </w:p>
    <w:p w:rsidR="00307D3C" w:rsidP="006B1FFA" w:rsidRDefault="00CB2138" w14:paraId="6520E679" w14:textId="05EEEC96">
      <w:pPr>
        <w:pStyle w:val="ListParagraph"/>
        <w:numPr>
          <w:ilvl w:val="1"/>
          <w:numId w:val="24"/>
        </w:numPr>
      </w:pPr>
      <w:r>
        <w:t xml:space="preserve">The SIRO will ensure that </w:t>
      </w:r>
      <w:r w:rsidR="00297717">
        <w:t>audits of how, when and why people are accessing systems</w:t>
      </w:r>
      <w:r>
        <w:t xml:space="preserve"> are happening regularly for </w:t>
      </w:r>
      <w:proofErr w:type="gramStart"/>
      <w:r>
        <w:t>high risk</w:t>
      </w:r>
      <w:proofErr w:type="gramEnd"/>
      <w:r>
        <w:t xml:space="preserve"> systems such as clinical or HR systems</w:t>
      </w:r>
    </w:p>
    <w:p w:rsidR="001477BD" w:rsidP="006B1FFA" w:rsidRDefault="001477BD" w14:paraId="3EF51B87" w14:textId="0E2465EA">
      <w:pPr>
        <w:pStyle w:val="ListParagraph"/>
        <w:numPr>
          <w:ilvl w:val="1"/>
          <w:numId w:val="24"/>
        </w:numPr>
      </w:pPr>
      <w:r>
        <w:t xml:space="preserve">System Administrators will be allocated to key systems to monitor risk associated with those systems such as shared logins or poor quality </w:t>
      </w:r>
      <w:proofErr w:type="gramStart"/>
      <w:r>
        <w:t>data</w:t>
      </w:r>
      <w:proofErr w:type="gramEnd"/>
    </w:p>
    <w:p w:rsidR="009F608D" w:rsidP="006B1FFA" w:rsidRDefault="00791811" w14:paraId="790FBF70" w14:textId="3895B64E">
      <w:pPr>
        <w:pStyle w:val="ListParagraph"/>
        <w:numPr>
          <w:ilvl w:val="1"/>
          <w:numId w:val="24"/>
        </w:numPr>
      </w:pPr>
      <w:r>
        <w:t xml:space="preserve">Incident trends will be monitored by the DPO and SIRO to ensure that mitigations are being put in place prior to significant events </w:t>
      </w:r>
      <w:proofErr w:type="gramStart"/>
      <w:r>
        <w:t>occurring</w:t>
      </w:r>
      <w:proofErr w:type="gramEnd"/>
    </w:p>
    <w:p w:rsidR="009F608D" w:rsidP="006B1FFA" w:rsidRDefault="00970E91" w14:paraId="6C302B70" w14:textId="2C62F3D0">
      <w:pPr>
        <w:pStyle w:val="ListParagraph"/>
        <w:numPr>
          <w:ilvl w:val="1"/>
          <w:numId w:val="24"/>
        </w:numPr>
      </w:pPr>
      <w:r>
        <w:t xml:space="preserve">The DPO will undertake due diligence on new providers that </w:t>
      </w:r>
      <w:proofErr w:type="gramStart"/>
      <w:r>
        <w:t>includes</w:t>
      </w:r>
      <w:proofErr w:type="gramEnd"/>
    </w:p>
    <w:p w:rsidR="00C03540" w:rsidP="006B1FFA" w:rsidRDefault="00C03540" w14:paraId="459BD491" w14:textId="35462895">
      <w:pPr>
        <w:pStyle w:val="ListParagraph"/>
        <w:numPr>
          <w:ilvl w:val="2"/>
          <w:numId w:val="19"/>
        </w:numPr>
      </w:pPr>
      <w:r>
        <w:t>Checking ICO registration</w:t>
      </w:r>
    </w:p>
    <w:p w:rsidR="00C03540" w:rsidP="006B1FFA" w:rsidRDefault="00C03540" w14:paraId="2376489C" w14:textId="72D5DF0D">
      <w:pPr>
        <w:pStyle w:val="ListParagraph"/>
        <w:numPr>
          <w:ilvl w:val="2"/>
          <w:numId w:val="19"/>
        </w:numPr>
      </w:pPr>
      <w:r>
        <w:t>Checking for data breaches</w:t>
      </w:r>
    </w:p>
    <w:p w:rsidR="00C03540" w:rsidP="006B1FFA" w:rsidRDefault="00C03540" w14:paraId="7D11F6EF" w14:textId="31B8B65A">
      <w:pPr>
        <w:pStyle w:val="ListParagraph"/>
        <w:numPr>
          <w:ilvl w:val="2"/>
          <w:numId w:val="19"/>
        </w:numPr>
      </w:pPr>
      <w:r>
        <w:t>Checking international transfers</w:t>
      </w:r>
    </w:p>
    <w:p w:rsidR="00C03540" w:rsidP="006B1FFA" w:rsidRDefault="00C03540" w14:paraId="0FA1D485" w14:textId="34711300">
      <w:pPr>
        <w:pStyle w:val="ListParagraph"/>
        <w:numPr>
          <w:ilvl w:val="2"/>
          <w:numId w:val="19"/>
        </w:numPr>
      </w:pPr>
      <w:r>
        <w:t>Reviewing for lawful contracts</w:t>
      </w:r>
      <w:r w:rsidR="00062D5D">
        <w:t xml:space="preserve"> against UK GDPR Art 28</w:t>
      </w:r>
    </w:p>
    <w:p w:rsidR="004079AC" w:rsidP="004079AC" w:rsidRDefault="004079AC" w14:paraId="73A88728" w14:textId="77777777">
      <w:pPr>
        <w:pStyle w:val="ListParagraph"/>
        <w:ind w:left="1440"/>
      </w:pPr>
    </w:p>
    <w:p w:rsidR="009F608D" w:rsidP="006B1FFA" w:rsidRDefault="004079AC" w14:paraId="0EFF5C5B" w14:textId="34E408DA">
      <w:pPr>
        <w:pStyle w:val="ListParagraph"/>
        <w:numPr>
          <w:ilvl w:val="1"/>
          <w:numId w:val="19"/>
        </w:numPr>
      </w:pPr>
      <w:r>
        <w:t xml:space="preserve">The DPO will undertake due diligence on new systems that </w:t>
      </w:r>
      <w:proofErr w:type="gramStart"/>
      <w:r>
        <w:t>includes</w:t>
      </w:r>
      <w:proofErr w:type="gramEnd"/>
    </w:p>
    <w:p w:rsidR="004079AC" w:rsidP="006B1FFA" w:rsidRDefault="004079AC" w14:paraId="157B819E" w14:textId="2E3BFFE5">
      <w:pPr>
        <w:pStyle w:val="ListParagraph"/>
        <w:numPr>
          <w:ilvl w:val="2"/>
          <w:numId w:val="19"/>
        </w:numPr>
      </w:pPr>
      <w:r>
        <w:t>Checking the system provider as above</w:t>
      </w:r>
    </w:p>
    <w:p w:rsidR="004079AC" w:rsidP="006B1FFA" w:rsidRDefault="004079AC" w14:paraId="5410A4AA" w14:textId="4EBEC230">
      <w:pPr>
        <w:pStyle w:val="ListParagraph"/>
        <w:numPr>
          <w:ilvl w:val="2"/>
          <w:numId w:val="19"/>
        </w:numPr>
      </w:pPr>
      <w:r>
        <w:t>Checking security measures</w:t>
      </w:r>
    </w:p>
    <w:p w:rsidR="00223CCD" w:rsidP="006B1FFA" w:rsidRDefault="00223CCD" w14:paraId="7D01C63C" w14:textId="209FF37B">
      <w:pPr>
        <w:pStyle w:val="ListParagraph"/>
        <w:numPr>
          <w:ilvl w:val="1"/>
          <w:numId w:val="19"/>
        </w:numPr>
      </w:pPr>
      <w:r>
        <w:t>Providers or systems that do not pass due diligence will be notified to the SIRO by the DPO</w:t>
      </w:r>
    </w:p>
    <w:p w:rsidR="00223CCD" w:rsidP="006B1FFA" w:rsidRDefault="00223CCD" w14:paraId="42DC4272" w14:textId="77777777">
      <w:pPr>
        <w:pStyle w:val="ListParagraph"/>
        <w:numPr>
          <w:ilvl w:val="1"/>
          <w:numId w:val="19"/>
        </w:numPr>
      </w:pPr>
      <w:r>
        <w:t xml:space="preserve">If there are signs that staff are not understanding or following policy or protocol, the SIRO will escalate to the DPO for </w:t>
      </w:r>
      <w:proofErr w:type="gramStart"/>
      <w:r>
        <w:t>amendment</w:t>
      </w:r>
      <w:proofErr w:type="gramEnd"/>
    </w:p>
    <w:p w:rsidR="00223CCD" w:rsidP="006B1FFA" w:rsidRDefault="004D006E" w14:paraId="172007E9" w14:textId="2B482BF3">
      <w:pPr>
        <w:pStyle w:val="ListParagraph"/>
        <w:numPr>
          <w:ilvl w:val="1"/>
          <w:numId w:val="19"/>
        </w:numPr>
      </w:pPr>
      <w:r>
        <w:t xml:space="preserve">The SIRO and DPO will be </w:t>
      </w:r>
      <w:r w:rsidR="0078460D">
        <w:t>renew their training regularly</w:t>
      </w:r>
      <w:r>
        <w:t xml:space="preserve"> to ensure that they can fulfil their </w:t>
      </w:r>
      <w:proofErr w:type="gramStart"/>
      <w:r>
        <w:t>responsibilities</w:t>
      </w:r>
      <w:proofErr w:type="gramEnd"/>
    </w:p>
    <w:p w:rsidR="00062D5D" w:rsidP="00062D5D" w:rsidRDefault="00062D5D" w14:paraId="7C9F7B25" w14:textId="77777777"/>
    <w:p w:rsidR="00062D5D" w:rsidP="00062D5D" w:rsidRDefault="00062D5D" w14:paraId="1A3969F8" w14:textId="2F6ED95C">
      <w:pPr>
        <w:pStyle w:val="Style1"/>
        <w:ind w:left="360"/>
        <w:rPr>
          <w:noProof/>
        </w:rPr>
      </w:pPr>
      <w:bookmarkStart w:name="_Toc97453795" w:id="9"/>
      <w:r>
        <w:t>DATA PROTECTION IMPACT ASSESSMENTS</w:t>
      </w:r>
      <w:bookmarkEnd w:id="9"/>
    </w:p>
    <w:p w:rsidR="00062D5D" w:rsidP="00062D5D" w:rsidRDefault="00062D5D" w14:paraId="21DF9A91" w14:textId="77777777"/>
    <w:p w:rsidR="006B1FFA" w:rsidP="006B1FFA" w:rsidRDefault="00BE00B2" w14:paraId="404E5F29" w14:textId="77777777">
      <w:pPr>
        <w:pStyle w:val="ListParagraph"/>
        <w:numPr>
          <w:ilvl w:val="0"/>
          <w:numId w:val="23"/>
        </w:numPr>
      </w:pPr>
      <w:r w:rsidRPr="00BE00B2">
        <w:t xml:space="preserve">The process of completing a DPIA can be complex and require specialist skills and so will usually be completed by the Data Protection Officer. </w:t>
      </w:r>
    </w:p>
    <w:p w:rsidR="006B1FFA" w:rsidP="0088637C" w:rsidRDefault="00BE00B2" w14:paraId="19708211" w14:textId="77777777">
      <w:pPr>
        <w:pStyle w:val="ListParagraph"/>
        <w:numPr>
          <w:ilvl w:val="0"/>
          <w:numId w:val="23"/>
        </w:numPr>
      </w:pPr>
      <w:r w:rsidRPr="00BE00B2">
        <w:t xml:space="preserve">This </w:t>
      </w:r>
      <w:r>
        <w:t>section</w:t>
      </w:r>
      <w:r w:rsidRPr="00BE00B2">
        <w:t xml:space="preserve"> acts as a precursor to a full DPIA and allows</w:t>
      </w:r>
      <w:r>
        <w:t xml:space="preserve"> the organisation to</w:t>
      </w:r>
      <w:r w:rsidRPr="00BE00B2">
        <w:t xml:space="preserve"> determine whether the change being considered warrants a full DPIA and gives an indication of the types of risks involved and mitigations to be put in place.</w:t>
      </w:r>
    </w:p>
    <w:p w:rsidR="006B1FFA" w:rsidP="0088637C" w:rsidRDefault="009F3F6B" w14:paraId="210284D7" w14:textId="77777777">
      <w:pPr>
        <w:pStyle w:val="ListParagraph"/>
        <w:numPr>
          <w:ilvl w:val="0"/>
          <w:numId w:val="23"/>
        </w:numPr>
      </w:pPr>
      <w:r w:rsidRPr="009F3F6B">
        <w:t>A Data Protection Impact Assessment (DPIA for short) is used as a living document that ensures any new process being considered that is likely to result in a high risk to the rights of data subjects has gone through a thorough screening that aids in mitigating risks and weighing the risks against the outcome.</w:t>
      </w:r>
    </w:p>
    <w:p w:rsidR="006B1FFA" w:rsidP="0088637C" w:rsidRDefault="000667DF" w14:paraId="78571547" w14:textId="77777777">
      <w:pPr>
        <w:pStyle w:val="ListParagraph"/>
        <w:numPr>
          <w:ilvl w:val="0"/>
          <w:numId w:val="23"/>
        </w:numPr>
      </w:pPr>
      <w:r w:rsidRPr="000667DF">
        <w:t xml:space="preserve">There are different times when a DPIA is needed. </w:t>
      </w:r>
      <w:r>
        <w:t>T</w:t>
      </w:r>
      <w:r w:rsidRPr="000667DF">
        <w:t>he ICO</w:t>
      </w:r>
      <w:r>
        <w:t xml:space="preserve"> </w:t>
      </w:r>
      <w:r w:rsidRPr="000667DF">
        <w:t>ha</w:t>
      </w:r>
      <w:r>
        <w:t>s</w:t>
      </w:r>
      <w:r w:rsidRPr="000667DF">
        <w:t xml:space="preserve"> issued guidance on this. </w:t>
      </w:r>
      <w:r>
        <w:t>The table will be used by the DPO</w:t>
      </w:r>
      <w:r w:rsidRPr="000667DF">
        <w:t xml:space="preserve"> as an initial determination of whether a DPIA is needed. If the answers are inconclusive</w:t>
      </w:r>
      <w:r>
        <w:t>,</w:t>
      </w:r>
      <w:r w:rsidRPr="000667DF">
        <w:t xml:space="preserve"> an initial DPIA should be conducted to make a </w:t>
      </w:r>
      <w:proofErr w:type="gramStart"/>
      <w:r w:rsidRPr="000667DF">
        <w:t>determination</w:t>
      </w:r>
      <w:proofErr w:type="gramEnd"/>
    </w:p>
    <w:p w:rsidR="006B1FFA" w:rsidP="0088637C" w:rsidRDefault="00540693" w14:paraId="07C774D6" w14:textId="77777777">
      <w:pPr>
        <w:pStyle w:val="ListParagraph"/>
        <w:numPr>
          <w:ilvl w:val="0"/>
          <w:numId w:val="23"/>
        </w:numPr>
      </w:pPr>
      <w:r w:rsidRPr="00540693">
        <w:t xml:space="preserve">A DPIA must start </w:t>
      </w:r>
      <w:r w:rsidRPr="006B1FFA">
        <w:rPr>
          <w:b/>
          <w:bCs/>
        </w:rPr>
        <w:t>before</w:t>
      </w:r>
      <w:r w:rsidRPr="00540693">
        <w:t xml:space="preserve"> the processing begins to ensure there is a legitimate gateway to be able to process the data. </w:t>
      </w:r>
    </w:p>
    <w:p w:rsidR="006B1FFA" w:rsidP="0088637C" w:rsidRDefault="00F0455A" w14:paraId="37795486" w14:textId="77777777">
      <w:pPr>
        <w:pStyle w:val="ListParagraph"/>
        <w:numPr>
          <w:ilvl w:val="0"/>
          <w:numId w:val="23"/>
        </w:numPr>
      </w:pPr>
      <w:r>
        <w:t>Send all new projects or changes to the DPO to be reviewed.</w:t>
      </w:r>
    </w:p>
    <w:p w:rsidR="000667DF" w:rsidP="0088637C" w:rsidRDefault="00540693" w14:paraId="3898C533" w14:textId="62216DAC">
      <w:pPr>
        <w:pStyle w:val="ListParagraph"/>
        <w:numPr>
          <w:ilvl w:val="0"/>
          <w:numId w:val="23"/>
        </w:numPr>
      </w:pPr>
      <w:r>
        <w:t xml:space="preserve">The </w:t>
      </w:r>
      <w:r w:rsidRPr="00540693">
        <w:t>DPO</w:t>
      </w:r>
      <w:r>
        <w:t xml:space="preserve"> </w:t>
      </w:r>
      <w:r w:rsidRPr="006B1FFA">
        <w:rPr>
          <w:b/>
          <w:bCs/>
        </w:rPr>
        <w:t>must</w:t>
      </w:r>
      <w:r w:rsidRPr="00540693">
        <w:t xml:space="preserve"> be involved in the DPIA and even once the project is up and running the DPIA should sit beside it and update as the project updates to ensure continuous compliance with the data protection legislation and ICO guidance.</w:t>
      </w:r>
    </w:p>
    <w:p w:rsidR="004E6FBF" w:rsidP="004E6FBF" w:rsidRDefault="004E6FBF" w14:paraId="2876C905" w14:textId="6914D013">
      <w:pPr>
        <w:pStyle w:val="ListParagraph"/>
        <w:numPr>
          <w:ilvl w:val="0"/>
          <w:numId w:val="23"/>
        </w:numPr>
      </w:pPr>
      <w:r>
        <w:t xml:space="preserve">DPIAs approved by the </w:t>
      </w:r>
      <w:r w:rsidR="00672D32">
        <w:t>DPO</w:t>
      </w:r>
      <w:r>
        <w:t xml:space="preserve"> should be shared with the SIRO. Any recommendations should be noted and built into processes.</w:t>
      </w:r>
    </w:p>
    <w:p w:rsidR="004E6FBF" w:rsidP="004E6FBF" w:rsidRDefault="004E6FBF" w14:paraId="0E473B68" w14:textId="77777777">
      <w:pPr>
        <w:pStyle w:val="ListParagraph"/>
      </w:pPr>
    </w:p>
    <w:p w:rsidR="0088187D" w:rsidP="0088187D" w:rsidRDefault="0088187D" w14:paraId="7BE0752A" w14:textId="606A4275">
      <w:r>
        <w:t>The grids below will be used to determine whether a DPIA is required in each instance.</w:t>
      </w:r>
    </w:p>
    <w:p w:rsidR="000667DF" w:rsidP="0088637C" w:rsidRDefault="000667DF" w14:paraId="74277C6A" w14:textId="77777777"/>
    <w:tbl>
      <w:tblPr>
        <w:tblStyle w:val="TableGrid"/>
        <w:tblW w:w="9209" w:type="dxa"/>
        <w:tblLook w:val="04A0" w:firstRow="1" w:lastRow="0" w:firstColumn="1" w:lastColumn="0" w:noHBand="0" w:noVBand="1"/>
      </w:tblPr>
      <w:tblGrid>
        <w:gridCol w:w="8075"/>
        <w:gridCol w:w="1134"/>
      </w:tblGrid>
      <w:tr w:rsidR="009B2B9B" w:rsidTr="008815BD" w14:paraId="48AEE728" w14:textId="77777777">
        <w:trPr>
          <w:trHeight w:val="567" w:hRule="exact"/>
        </w:trPr>
        <w:tc>
          <w:tcPr>
            <w:tcW w:w="9209" w:type="dxa"/>
            <w:gridSpan w:val="2"/>
            <w:vAlign w:val="center"/>
          </w:tcPr>
          <w:p w:rsidRPr="00F0455A" w:rsidR="009B2B9B" w:rsidP="008815BD" w:rsidRDefault="009B2B9B" w14:paraId="205DC72E" w14:textId="77777777">
            <w:pPr>
              <w:spacing w:before="240" w:after="240"/>
              <w:textAlignment w:val="baseline"/>
              <w:rPr>
                <w:color w:val="000000" w:themeColor="text1"/>
                <w:sz w:val="20"/>
                <w:szCs w:val="20"/>
              </w:rPr>
            </w:pPr>
            <w:r w:rsidRPr="00F0455A">
              <w:rPr>
                <w:color w:val="000000" w:themeColor="text1"/>
                <w:sz w:val="20"/>
                <w:szCs w:val="20"/>
              </w:rPr>
              <w:t xml:space="preserve">If you tick </w:t>
            </w:r>
            <w:r w:rsidRPr="00F0455A">
              <w:rPr>
                <w:b/>
                <w:color w:val="000000" w:themeColor="text1"/>
                <w:sz w:val="20"/>
                <w:szCs w:val="20"/>
              </w:rPr>
              <w:t>any</w:t>
            </w:r>
            <w:r w:rsidRPr="00F0455A">
              <w:rPr>
                <w:color w:val="000000" w:themeColor="text1"/>
                <w:sz w:val="20"/>
                <w:szCs w:val="20"/>
              </w:rPr>
              <w:t xml:space="preserve"> of the sections below, the DPO should </w:t>
            </w:r>
            <w:r w:rsidRPr="00F0455A">
              <w:rPr>
                <w:b/>
                <w:i/>
                <w:color w:val="000000" w:themeColor="text1"/>
                <w:sz w:val="20"/>
                <w:szCs w:val="20"/>
              </w:rPr>
              <w:t>consider</w:t>
            </w:r>
            <w:r w:rsidRPr="00F0455A">
              <w:rPr>
                <w:color w:val="000000" w:themeColor="text1"/>
                <w:sz w:val="20"/>
                <w:szCs w:val="20"/>
              </w:rPr>
              <w:t xml:space="preserve"> a DPIA.</w:t>
            </w:r>
          </w:p>
        </w:tc>
      </w:tr>
      <w:tr w:rsidR="009B2B9B" w:rsidTr="008815BD" w14:paraId="1271C670" w14:textId="77777777">
        <w:trPr>
          <w:trHeight w:val="567" w:hRule="exact"/>
        </w:trPr>
        <w:tc>
          <w:tcPr>
            <w:tcW w:w="8075" w:type="dxa"/>
            <w:vAlign w:val="center"/>
          </w:tcPr>
          <w:p w:rsidRPr="00EE4D67" w:rsidR="009B2B9B" w:rsidP="008815BD" w:rsidRDefault="009B2B9B" w14:paraId="78E6D340" w14:textId="77777777">
            <w:pPr>
              <w:spacing w:before="240" w:after="240"/>
              <w:textAlignment w:val="baseline"/>
              <w:rPr>
                <w:color w:val="000000" w:themeColor="text1"/>
                <w:sz w:val="20"/>
                <w:szCs w:val="20"/>
              </w:rPr>
            </w:pPr>
            <w:r w:rsidRPr="00EE4D67">
              <w:rPr>
                <w:rFonts w:cs="Segoe UI Symbol"/>
                <w:color w:val="000000" w:themeColor="text1"/>
                <w:sz w:val="20"/>
                <w:szCs w:val="20"/>
              </w:rPr>
              <w:t>E</w:t>
            </w:r>
            <w:r w:rsidRPr="00EE4D67">
              <w:rPr>
                <w:color w:val="000000" w:themeColor="text1"/>
                <w:sz w:val="20"/>
                <w:szCs w:val="20"/>
              </w:rPr>
              <w:t>valuation or scoring</w:t>
            </w:r>
          </w:p>
        </w:tc>
        <w:tc>
          <w:tcPr>
            <w:tcW w:w="1134" w:type="dxa"/>
            <w:vAlign w:val="center"/>
          </w:tcPr>
          <w:p w:rsidRPr="00EE4D67" w:rsidR="009B2B9B" w:rsidP="008815BD" w:rsidRDefault="009B2B9B" w14:paraId="4A4349C4" w14:textId="77777777">
            <w:pPr>
              <w:spacing w:before="240" w:after="240"/>
              <w:textAlignment w:val="baseline"/>
              <w:rPr>
                <w:color w:val="000000" w:themeColor="text1"/>
                <w:sz w:val="20"/>
                <w:szCs w:val="20"/>
              </w:rPr>
            </w:pPr>
          </w:p>
        </w:tc>
      </w:tr>
      <w:tr w:rsidR="009B2B9B" w:rsidTr="008815BD" w14:paraId="2752A087" w14:textId="77777777">
        <w:trPr>
          <w:trHeight w:val="567" w:hRule="exact"/>
        </w:trPr>
        <w:tc>
          <w:tcPr>
            <w:tcW w:w="8075" w:type="dxa"/>
            <w:vAlign w:val="center"/>
          </w:tcPr>
          <w:p w:rsidRPr="00EE4D67" w:rsidR="009B2B9B" w:rsidP="008815BD" w:rsidRDefault="009B2B9B" w14:paraId="31D66F2F" w14:textId="77777777">
            <w:pPr>
              <w:spacing w:before="240" w:after="240"/>
              <w:textAlignment w:val="baseline"/>
              <w:rPr>
                <w:color w:val="000000" w:themeColor="text1"/>
                <w:sz w:val="20"/>
                <w:szCs w:val="20"/>
              </w:rPr>
            </w:pPr>
            <w:r w:rsidRPr="00EE4D67">
              <w:rPr>
                <w:rFonts w:cs="Segoe UI Symbol"/>
                <w:color w:val="000000" w:themeColor="text1"/>
                <w:sz w:val="20"/>
                <w:szCs w:val="20"/>
              </w:rPr>
              <w:t>A</w:t>
            </w:r>
            <w:r w:rsidRPr="00EE4D67">
              <w:rPr>
                <w:color w:val="000000" w:themeColor="text1"/>
                <w:sz w:val="20"/>
                <w:szCs w:val="20"/>
              </w:rPr>
              <w:t>utomated decision-making with significant effects</w:t>
            </w:r>
          </w:p>
        </w:tc>
        <w:tc>
          <w:tcPr>
            <w:tcW w:w="1134" w:type="dxa"/>
            <w:vAlign w:val="center"/>
          </w:tcPr>
          <w:p w:rsidRPr="00EE4D67" w:rsidR="009B2B9B" w:rsidP="008815BD" w:rsidRDefault="009B2B9B" w14:paraId="0A743645" w14:textId="77777777">
            <w:pPr>
              <w:spacing w:before="240" w:after="240"/>
              <w:textAlignment w:val="baseline"/>
              <w:rPr>
                <w:color w:val="000000" w:themeColor="text1"/>
                <w:sz w:val="20"/>
                <w:szCs w:val="20"/>
              </w:rPr>
            </w:pPr>
          </w:p>
        </w:tc>
      </w:tr>
      <w:tr w:rsidR="009B2B9B" w:rsidTr="008815BD" w14:paraId="3C22989F" w14:textId="77777777">
        <w:trPr>
          <w:trHeight w:val="567" w:hRule="exact"/>
        </w:trPr>
        <w:tc>
          <w:tcPr>
            <w:tcW w:w="8075" w:type="dxa"/>
            <w:vAlign w:val="center"/>
          </w:tcPr>
          <w:p w:rsidRPr="00EE4D67" w:rsidR="009B2B9B" w:rsidP="008815BD" w:rsidRDefault="009B2B9B" w14:paraId="27E51C02" w14:textId="77777777">
            <w:pPr>
              <w:spacing w:before="240" w:after="240"/>
              <w:textAlignment w:val="baseline"/>
              <w:rPr>
                <w:color w:val="000000" w:themeColor="text1"/>
                <w:sz w:val="20"/>
                <w:szCs w:val="20"/>
              </w:rPr>
            </w:pPr>
            <w:r w:rsidRPr="00EE4D67">
              <w:rPr>
                <w:rFonts w:cs="Segoe UI Symbol"/>
                <w:color w:val="000000" w:themeColor="text1"/>
                <w:sz w:val="20"/>
                <w:szCs w:val="20"/>
              </w:rPr>
              <w:t>S</w:t>
            </w:r>
            <w:r w:rsidRPr="00EE4D67">
              <w:rPr>
                <w:color w:val="000000" w:themeColor="text1"/>
                <w:sz w:val="20"/>
                <w:szCs w:val="20"/>
              </w:rPr>
              <w:t>ystematic monitoring</w:t>
            </w:r>
          </w:p>
        </w:tc>
        <w:tc>
          <w:tcPr>
            <w:tcW w:w="1134" w:type="dxa"/>
            <w:vAlign w:val="center"/>
          </w:tcPr>
          <w:p w:rsidRPr="00EE4D67" w:rsidR="009B2B9B" w:rsidP="008815BD" w:rsidRDefault="009B2B9B" w14:paraId="1B703EB6" w14:textId="77777777">
            <w:pPr>
              <w:spacing w:before="240" w:after="240"/>
              <w:textAlignment w:val="baseline"/>
              <w:rPr>
                <w:color w:val="000000" w:themeColor="text1"/>
                <w:sz w:val="20"/>
                <w:szCs w:val="20"/>
              </w:rPr>
            </w:pPr>
          </w:p>
        </w:tc>
      </w:tr>
      <w:tr w:rsidR="009B2B9B" w:rsidTr="008815BD" w14:paraId="0E611D4C" w14:textId="77777777">
        <w:trPr>
          <w:trHeight w:val="567" w:hRule="exact"/>
        </w:trPr>
        <w:tc>
          <w:tcPr>
            <w:tcW w:w="8075" w:type="dxa"/>
            <w:vAlign w:val="center"/>
          </w:tcPr>
          <w:p w:rsidRPr="00EE4D67" w:rsidR="009B2B9B" w:rsidP="008815BD" w:rsidRDefault="009B2B9B" w14:paraId="1645D0B3" w14:textId="77777777">
            <w:pPr>
              <w:spacing w:before="240" w:after="240"/>
              <w:textAlignment w:val="baseline"/>
              <w:rPr>
                <w:color w:val="000000" w:themeColor="text1"/>
                <w:sz w:val="20"/>
                <w:szCs w:val="20"/>
              </w:rPr>
            </w:pPr>
            <w:r w:rsidRPr="00EE4D67">
              <w:rPr>
                <w:rFonts w:cs="Segoe UI Symbol"/>
                <w:color w:val="000000" w:themeColor="text1"/>
                <w:sz w:val="20"/>
                <w:szCs w:val="20"/>
              </w:rPr>
              <w:t>P</w:t>
            </w:r>
            <w:r w:rsidRPr="00EE4D67">
              <w:rPr>
                <w:color w:val="000000" w:themeColor="text1"/>
                <w:sz w:val="20"/>
                <w:szCs w:val="20"/>
              </w:rPr>
              <w:t>rocessing of sensitive data or data of a highly personal nature</w:t>
            </w:r>
          </w:p>
        </w:tc>
        <w:tc>
          <w:tcPr>
            <w:tcW w:w="1134" w:type="dxa"/>
            <w:vAlign w:val="center"/>
          </w:tcPr>
          <w:p w:rsidRPr="00EE4D67" w:rsidR="009B2B9B" w:rsidP="008815BD" w:rsidRDefault="009B2B9B" w14:paraId="0F641AB4" w14:textId="77777777">
            <w:pPr>
              <w:spacing w:before="240" w:after="240"/>
              <w:textAlignment w:val="baseline"/>
              <w:rPr>
                <w:color w:val="000000" w:themeColor="text1"/>
                <w:sz w:val="20"/>
                <w:szCs w:val="20"/>
              </w:rPr>
            </w:pPr>
          </w:p>
        </w:tc>
      </w:tr>
      <w:tr w:rsidR="009B2B9B" w:rsidTr="008815BD" w14:paraId="11E7B1AE" w14:textId="77777777">
        <w:trPr>
          <w:trHeight w:val="567" w:hRule="exact"/>
        </w:trPr>
        <w:tc>
          <w:tcPr>
            <w:tcW w:w="8075" w:type="dxa"/>
            <w:vAlign w:val="center"/>
          </w:tcPr>
          <w:p w:rsidRPr="00EE4D67" w:rsidR="009B2B9B" w:rsidP="008815BD" w:rsidRDefault="009B2B9B" w14:paraId="3EAD9F09" w14:textId="77777777">
            <w:pPr>
              <w:spacing w:before="240" w:after="240"/>
              <w:textAlignment w:val="baseline"/>
              <w:rPr>
                <w:color w:val="000000" w:themeColor="text1"/>
                <w:sz w:val="20"/>
                <w:szCs w:val="20"/>
              </w:rPr>
            </w:pPr>
            <w:r w:rsidRPr="00EE4D67">
              <w:rPr>
                <w:rFonts w:cs="Segoe UI Symbol"/>
                <w:color w:val="000000" w:themeColor="text1"/>
                <w:sz w:val="20"/>
                <w:szCs w:val="20"/>
              </w:rPr>
              <w:t>P</w:t>
            </w:r>
            <w:r w:rsidRPr="00EE4D67">
              <w:rPr>
                <w:color w:val="000000" w:themeColor="text1"/>
                <w:sz w:val="20"/>
                <w:szCs w:val="20"/>
              </w:rPr>
              <w:t>rocessing on a large scale</w:t>
            </w:r>
          </w:p>
        </w:tc>
        <w:tc>
          <w:tcPr>
            <w:tcW w:w="1134" w:type="dxa"/>
            <w:vAlign w:val="center"/>
          </w:tcPr>
          <w:p w:rsidRPr="00EE4D67" w:rsidR="009B2B9B" w:rsidP="008815BD" w:rsidRDefault="009B2B9B" w14:paraId="25BAFF7A" w14:textId="77777777">
            <w:pPr>
              <w:spacing w:before="240" w:after="240"/>
              <w:textAlignment w:val="baseline"/>
              <w:rPr>
                <w:color w:val="000000" w:themeColor="text1"/>
                <w:sz w:val="20"/>
                <w:szCs w:val="20"/>
              </w:rPr>
            </w:pPr>
          </w:p>
        </w:tc>
      </w:tr>
      <w:tr w:rsidR="009B2B9B" w:rsidTr="008815BD" w14:paraId="5505A8AF" w14:textId="77777777">
        <w:trPr>
          <w:trHeight w:val="567" w:hRule="exact"/>
        </w:trPr>
        <w:tc>
          <w:tcPr>
            <w:tcW w:w="8075" w:type="dxa"/>
            <w:vAlign w:val="center"/>
          </w:tcPr>
          <w:p w:rsidRPr="00EE4D67" w:rsidR="009B2B9B" w:rsidP="008815BD" w:rsidRDefault="009B2B9B" w14:paraId="00982932" w14:textId="77777777">
            <w:pPr>
              <w:spacing w:before="240" w:after="240"/>
              <w:textAlignment w:val="baseline"/>
              <w:rPr>
                <w:color w:val="000000" w:themeColor="text1"/>
                <w:sz w:val="20"/>
                <w:szCs w:val="20"/>
              </w:rPr>
            </w:pPr>
            <w:r w:rsidRPr="00EE4D67">
              <w:rPr>
                <w:rFonts w:cs="Segoe UI Symbol"/>
                <w:color w:val="000000" w:themeColor="text1"/>
                <w:sz w:val="20"/>
                <w:szCs w:val="20"/>
              </w:rPr>
              <w:t>P</w:t>
            </w:r>
            <w:r w:rsidRPr="00EE4D67">
              <w:rPr>
                <w:color w:val="000000" w:themeColor="text1"/>
                <w:sz w:val="20"/>
                <w:szCs w:val="20"/>
              </w:rPr>
              <w:t>rocessing of data concerning vulnerable data subjects</w:t>
            </w:r>
          </w:p>
        </w:tc>
        <w:tc>
          <w:tcPr>
            <w:tcW w:w="1134" w:type="dxa"/>
            <w:vAlign w:val="center"/>
          </w:tcPr>
          <w:p w:rsidRPr="00EE4D67" w:rsidR="009B2B9B" w:rsidP="008815BD" w:rsidRDefault="009B2B9B" w14:paraId="6871137E" w14:textId="77777777">
            <w:pPr>
              <w:spacing w:before="240" w:after="240"/>
              <w:textAlignment w:val="baseline"/>
              <w:rPr>
                <w:color w:val="000000" w:themeColor="text1"/>
                <w:sz w:val="20"/>
                <w:szCs w:val="20"/>
              </w:rPr>
            </w:pPr>
          </w:p>
        </w:tc>
      </w:tr>
      <w:tr w:rsidR="009B2B9B" w:rsidTr="008815BD" w14:paraId="3CF5BA5D" w14:textId="77777777">
        <w:trPr>
          <w:trHeight w:val="567" w:hRule="exact"/>
        </w:trPr>
        <w:tc>
          <w:tcPr>
            <w:tcW w:w="8075" w:type="dxa"/>
            <w:vAlign w:val="center"/>
          </w:tcPr>
          <w:p w:rsidRPr="00EE4D67" w:rsidR="009B2B9B" w:rsidP="008815BD" w:rsidRDefault="009B2B9B" w14:paraId="552513B2" w14:textId="77777777">
            <w:pPr>
              <w:spacing w:before="240" w:after="240"/>
              <w:textAlignment w:val="baseline"/>
              <w:rPr>
                <w:color w:val="000000" w:themeColor="text1"/>
                <w:sz w:val="20"/>
                <w:szCs w:val="20"/>
              </w:rPr>
            </w:pPr>
            <w:r w:rsidRPr="00EE4D67">
              <w:rPr>
                <w:rFonts w:cs="Segoe UI Symbol"/>
                <w:color w:val="000000" w:themeColor="text1"/>
                <w:sz w:val="20"/>
                <w:szCs w:val="20"/>
              </w:rPr>
              <w:t>I</w:t>
            </w:r>
            <w:r w:rsidRPr="00EE4D67">
              <w:rPr>
                <w:color w:val="000000" w:themeColor="text1"/>
                <w:sz w:val="20"/>
                <w:szCs w:val="20"/>
              </w:rPr>
              <w:t>nnovative technological or organisational solutions</w:t>
            </w:r>
          </w:p>
        </w:tc>
        <w:tc>
          <w:tcPr>
            <w:tcW w:w="1134" w:type="dxa"/>
            <w:vAlign w:val="center"/>
          </w:tcPr>
          <w:p w:rsidRPr="00EE4D67" w:rsidR="009B2B9B" w:rsidP="008815BD" w:rsidRDefault="009B2B9B" w14:paraId="0A717081" w14:textId="77777777">
            <w:pPr>
              <w:spacing w:before="240" w:after="240"/>
              <w:textAlignment w:val="baseline"/>
              <w:rPr>
                <w:color w:val="000000" w:themeColor="text1"/>
                <w:sz w:val="20"/>
                <w:szCs w:val="20"/>
              </w:rPr>
            </w:pPr>
          </w:p>
        </w:tc>
      </w:tr>
      <w:tr w:rsidR="009B2B9B" w:rsidTr="008815BD" w14:paraId="5BBF42C6" w14:textId="77777777">
        <w:trPr>
          <w:trHeight w:val="567" w:hRule="exact"/>
        </w:trPr>
        <w:tc>
          <w:tcPr>
            <w:tcW w:w="8075" w:type="dxa"/>
            <w:vAlign w:val="center"/>
          </w:tcPr>
          <w:p w:rsidRPr="00EE4D67" w:rsidR="009B2B9B" w:rsidP="008815BD" w:rsidRDefault="009B2B9B" w14:paraId="39FB4FC9" w14:textId="77777777">
            <w:pPr>
              <w:spacing w:before="240" w:after="240"/>
              <w:textAlignment w:val="baseline"/>
              <w:rPr>
                <w:color w:val="000000" w:themeColor="text1"/>
                <w:sz w:val="20"/>
                <w:szCs w:val="20"/>
              </w:rPr>
            </w:pPr>
            <w:r w:rsidRPr="00EE4D67">
              <w:rPr>
                <w:rFonts w:cs="Segoe UI Symbol"/>
                <w:color w:val="000000" w:themeColor="text1"/>
                <w:sz w:val="20"/>
                <w:szCs w:val="20"/>
              </w:rPr>
              <w:t>P</w:t>
            </w:r>
            <w:r w:rsidRPr="00EE4D67">
              <w:rPr>
                <w:color w:val="000000" w:themeColor="text1"/>
                <w:sz w:val="20"/>
                <w:szCs w:val="20"/>
              </w:rPr>
              <w:t>rocessing that involves preventing data subjects from exercising a right or using a service or contract</w:t>
            </w:r>
          </w:p>
        </w:tc>
        <w:tc>
          <w:tcPr>
            <w:tcW w:w="1134" w:type="dxa"/>
            <w:vAlign w:val="center"/>
          </w:tcPr>
          <w:p w:rsidRPr="00EE4D67" w:rsidR="009B2B9B" w:rsidP="008815BD" w:rsidRDefault="009B2B9B" w14:paraId="7930AF3A" w14:textId="77777777">
            <w:pPr>
              <w:spacing w:before="240" w:after="240"/>
              <w:textAlignment w:val="baseline"/>
              <w:rPr>
                <w:color w:val="000000" w:themeColor="text1"/>
                <w:sz w:val="20"/>
                <w:szCs w:val="20"/>
              </w:rPr>
            </w:pPr>
          </w:p>
        </w:tc>
      </w:tr>
    </w:tbl>
    <w:p w:rsidR="009B2B9B" w:rsidP="0088637C" w:rsidRDefault="009B2B9B" w14:paraId="2E76D889" w14:textId="77777777"/>
    <w:tbl>
      <w:tblPr>
        <w:tblStyle w:val="TableGrid"/>
        <w:tblW w:w="9209" w:type="dxa"/>
        <w:tblLook w:val="04A0" w:firstRow="1" w:lastRow="0" w:firstColumn="1" w:lastColumn="0" w:noHBand="0" w:noVBand="1"/>
      </w:tblPr>
      <w:tblGrid>
        <w:gridCol w:w="8075"/>
        <w:gridCol w:w="1134"/>
      </w:tblGrid>
      <w:tr w:rsidR="008C1D13" w:rsidTr="008815BD" w14:paraId="7BC8BB44" w14:textId="77777777">
        <w:tc>
          <w:tcPr>
            <w:tcW w:w="9209" w:type="dxa"/>
            <w:gridSpan w:val="2"/>
          </w:tcPr>
          <w:p w:rsidRPr="00F0455A" w:rsidR="008C1D13" w:rsidP="008815BD" w:rsidRDefault="008C1D13" w14:paraId="01A39646" w14:textId="77777777">
            <w:pPr>
              <w:spacing w:before="240" w:after="240"/>
              <w:textAlignment w:val="baseline"/>
              <w:rPr>
                <w:color w:val="000000" w:themeColor="text1"/>
                <w:sz w:val="20"/>
                <w:szCs w:val="20"/>
              </w:rPr>
            </w:pPr>
            <w:r w:rsidRPr="00F0455A">
              <w:rPr>
                <w:color w:val="000000" w:themeColor="text1"/>
                <w:sz w:val="20"/>
                <w:szCs w:val="20"/>
              </w:rPr>
              <w:t xml:space="preserve">If you tick </w:t>
            </w:r>
            <w:r w:rsidRPr="00F0455A">
              <w:rPr>
                <w:b/>
                <w:color w:val="000000" w:themeColor="text1"/>
                <w:sz w:val="20"/>
                <w:szCs w:val="20"/>
              </w:rPr>
              <w:t>any</w:t>
            </w:r>
            <w:r w:rsidRPr="00F0455A">
              <w:rPr>
                <w:color w:val="000000" w:themeColor="text1"/>
                <w:sz w:val="20"/>
                <w:szCs w:val="20"/>
              </w:rPr>
              <w:t xml:space="preserve"> of the sections below, the project </w:t>
            </w:r>
            <w:r w:rsidRPr="00F0455A">
              <w:rPr>
                <w:b/>
                <w:bCs/>
                <w:color w:val="000000" w:themeColor="text1"/>
                <w:sz w:val="20"/>
                <w:szCs w:val="20"/>
              </w:rPr>
              <w:t>requires</w:t>
            </w:r>
            <w:r w:rsidRPr="00F0455A">
              <w:rPr>
                <w:color w:val="000000" w:themeColor="text1"/>
                <w:sz w:val="20"/>
                <w:szCs w:val="20"/>
              </w:rPr>
              <w:t xml:space="preserve"> a DPIA.</w:t>
            </w:r>
          </w:p>
        </w:tc>
      </w:tr>
      <w:tr w:rsidR="008C1D13" w:rsidTr="008815BD" w14:paraId="34E3238B" w14:textId="77777777">
        <w:trPr>
          <w:trHeight w:val="1701" w:hRule="exact"/>
        </w:trPr>
        <w:tc>
          <w:tcPr>
            <w:tcW w:w="8075" w:type="dxa"/>
          </w:tcPr>
          <w:p w:rsidRPr="00EE4D67" w:rsidR="008C1D13" w:rsidP="008815BD" w:rsidRDefault="008C1D13" w14:paraId="5EC5169D" w14:textId="77777777">
            <w:pPr>
              <w:spacing w:before="240" w:after="240"/>
              <w:textAlignment w:val="baseline"/>
              <w:rPr>
                <w:color w:val="000000" w:themeColor="text1"/>
                <w:sz w:val="20"/>
                <w:szCs w:val="20"/>
              </w:rPr>
            </w:pPr>
            <w:r w:rsidRPr="00EE4D67">
              <w:rPr>
                <w:color w:val="000000" w:themeColor="text1"/>
                <w:sz w:val="20"/>
                <w:szCs w:val="20"/>
              </w:rPr>
              <w:t>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w:t>
            </w:r>
          </w:p>
        </w:tc>
        <w:tc>
          <w:tcPr>
            <w:tcW w:w="1134" w:type="dxa"/>
          </w:tcPr>
          <w:p w:rsidRPr="00EE4D67" w:rsidR="008C1D13" w:rsidP="008815BD" w:rsidRDefault="008C1D13" w14:paraId="4A01749A" w14:textId="77777777">
            <w:pPr>
              <w:spacing w:before="240" w:after="240"/>
              <w:textAlignment w:val="baseline"/>
              <w:rPr>
                <w:color w:val="000000" w:themeColor="text1"/>
                <w:sz w:val="20"/>
                <w:szCs w:val="20"/>
              </w:rPr>
            </w:pPr>
          </w:p>
        </w:tc>
      </w:tr>
      <w:tr w:rsidR="008C1D13" w:rsidTr="008815BD" w14:paraId="66D2DC94" w14:textId="77777777">
        <w:trPr>
          <w:trHeight w:val="851" w:hRule="exact"/>
        </w:trPr>
        <w:tc>
          <w:tcPr>
            <w:tcW w:w="8075" w:type="dxa"/>
          </w:tcPr>
          <w:p w:rsidRPr="00EE4D67" w:rsidR="008C1D13" w:rsidP="008815BD" w:rsidRDefault="008C1D13" w14:paraId="08D75F0B" w14:textId="77777777">
            <w:pPr>
              <w:spacing w:before="240" w:after="240"/>
              <w:textAlignment w:val="baseline"/>
              <w:rPr>
                <w:color w:val="000000" w:themeColor="text1"/>
                <w:sz w:val="20"/>
                <w:szCs w:val="20"/>
              </w:rPr>
            </w:pPr>
            <w:r w:rsidRPr="00EE4D67">
              <w:rPr>
                <w:color w:val="000000" w:themeColor="text1"/>
                <w:sz w:val="20"/>
                <w:szCs w:val="20"/>
              </w:rPr>
              <w:t>Processing on a large scale of special categories of data or of personal data relating to criminal convictions and offences</w:t>
            </w:r>
          </w:p>
        </w:tc>
        <w:tc>
          <w:tcPr>
            <w:tcW w:w="1134" w:type="dxa"/>
          </w:tcPr>
          <w:p w:rsidRPr="00EE4D67" w:rsidR="008C1D13" w:rsidP="008815BD" w:rsidRDefault="008C1D13" w14:paraId="4965F0C7" w14:textId="77777777">
            <w:pPr>
              <w:spacing w:before="240" w:after="240"/>
              <w:textAlignment w:val="baseline"/>
              <w:rPr>
                <w:color w:val="000000" w:themeColor="text1"/>
                <w:sz w:val="20"/>
                <w:szCs w:val="20"/>
              </w:rPr>
            </w:pPr>
          </w:p>
        </w:tc>
      </w:tr>
      <w:tr w:rsidR="008C1D13" w:rsidTr="008815BD" w14:paraId="3015F97B" w14:textId="77777777">
        <w:trPr>
          <w:trHeight w:val="567" w:hRule="exact"/>
        </w:trPr>
        <w:tc>
          <w:tcPr>
            <w:tcW w:w="8075" w:type="dxa"/>
          </w:tcPr>
          <w:p w:rsidRPr="00EE4D67" w:rsidR="008C1D13" w:rsidP="008815BD" w:rsidRDefault="008C1D13" w14:paraId="4265153F" w14:textId="77777777">
            <w:pPr>
              <w:spacing w:before="240" w:after="240"/>
              <w:textAlignment w:val="baseline"/>
              <w:rPr>
                <w:color w:val="000000" w:themeColor="text1"/>
                <w:sz w:val="20"/>
                <w:szCs w:val="20"/>
              </w:rPr>
            </w:pPr>
            <w:r w:rsidRPr="00EE4D67">
              <w:rPr>
                <w:color w:val="000000" w:themeColor="text1"/>
                <w:sz w:val="20"/>
                <w:szCs w:val="20"/>
              </w:rPr>
              <w:t>Systematic monitoring of a publicly accessible area on a large scale</w:t>
            </w:r>
          </w:p>
        </w:tc>
        <w:tc>
          <w:tcPr>
            <w:tcW w:w="1134" w:type="dxa"/>
          </w:tcPr>
          <w:p w:rsidRPr="00EE4D67" w:rsidR="008C1D13" w:rsidP="008815BD" w:rsidRDefault="008C1D13" w14:paraId="3AECF8EA" w14:textId="77777777">
            <w:pPr>
              <w:spacing w:before="240" w:after="240"/>
              <w:textAlignment w:val="baseline"/>
              <w:rPr>
                <w:color w:val="000000" w:themeColor="text1"/>
                <w:sz w:val="20"/>
                <w:szCs w:val="20"/>
              </w:rPr>
            </w:pPr>
          </w:p>
        </w:tc>
      </w:tr>
      <w:tr w:rsidR="008C1D13" w:rsidTr="008815BD" w14:paraId="616CA87E" w14:textId="77777777">
        <w:trPr>
          <w:trHeight w:val="851" w:hRule="exact"/>
        </w:trPr>
        <w:tc>
          <w:tcPr>
            <w:tcW w:w="8075" w:type="dxa"/>
          </w:tcPr>
          <w:p w:rsidRPr="00EE4D67" w:rsidR="008C1D13" w:rsidP="008815BD" w:rsidRDefault="008C1D13" w14:paraId="5610C0AB" w14:textId="77777777">
            <w:pPr>
              <w:spacing w:before="240" w:after="240"/>
              <w:textAlignment w:val="baseline"/>
              <w:rPr>
                <w:color w:val="000000" w:themeColor="text1"/>
                <w:sz w:val="20"/>
                <w:szCs w:val="20"/>
              </w:rPr>
            </w:pPr>
            <w:r w:rsidRPr="00EE4D67">
              <w:rPr>
                <w:color w:val="000000" w:themeColor="text1"/>
                <w:sz w:val="20"/>
                <w:szCs w:val="20"/>
              </w:rPr>
              <w:t xml:space="preserve">Use profiling, automated decision-making or special category data to help make decisions on someone’s access to a service, </w:t>
            </w:r>
            <w:proofErr w:type="gramStart"/>
            <w:r w:rsidRPr="00EE4D67">
              <w:rPr>
                <w:color w:val="000000" w:themeColor="text1"/>
                <w:sz w:val="20"/>
                <w:szCs w:val="20"/>
              </w:rPr>
              <w:t>opportunity</w:t>
            </w:r>
            <w:proofErr w:type="gramEnd"/>
            <w:r w:rsidRPr="00EE4D67">
              <w:rPr>
                <w:color w:val="000000" w:themeColor="text1"/>
                <w:sz w:val="20"/>
                <w:szCs w:val="20"/>
              </w:rPr>
              <w:t xml:space="preserve"> or benefit</w:t>
            </w:r>
          </w:p>
        </w:tc>
        <w:tc>
          <w:tcPr>
            <w:tcW w:w="1134" w:type="dxa"/>
          </w:tcPr>
          <w:p w:rsidRPr="00EE4D67" w:rsidR="008C1D13" w:rsidP="008815BD" w:rsidRDefault="008C1D13" w14:paraId="5BBC49EB" w14:textId="77777777">
            <w:pPr>
              <w:spacing w:before="240" w:after="240"/>
              <w:textAlignment w:val="baseline"/>
              <w:rPr>
                <w:color w:val="000000" w:themeColor="text1"/>
                <w:sz w:val="20"/>
                <w:szCs w:val="20"/>
              </w:rPr>
            </w:pPr>
          </w:p>
        </w:tc>
      </w:tr>
      <w:tr w:rsidR="008C1D13" w:rsidTr="008815BD" w14:paraId="0DE4CC22" w14:textId="77777777">
        <w:trPr>
          <w:trHeight w:val="567" w:hRule="exact"/>
        </w:trPr>
        <w:tc>
          <w:tcPr>
            <w:tcW w:w="8075" w:type="dxa"/>
          </w:tcPr>
          <w:p w:rsidRPr="00EE4D67" w:rsidR="008C1D13" w:rsidP="008815BD" w:rsidRDefault="008C1D13" w14:paraId="2088C7BC" w14:textId="77777777">
            <w:pPr>
              <w:spacing w:before="240" w:after="240"/>
              <w:textAlignment w:val="baseline"/>
              <w:rPr>
                <w:color w:val="000000" w:themeColor="text1"/>
                <w:sz w:val="20"/>
                <w:szCs w:val="20"/>
              </w:rPr>
            </w:pPr>
            <w:r w:rsidRPr="00EE4D67">
              <w:rPr>
                <w:color w:val="000000" w:themeColor="text1"/>
                <w:sz w:val="20"/>
                <w:szCs w:val="20"/>
              </w:rPr>
              <w:t xml:space="preserve">Combine, </w:t>
            </w:r>
            <w:proofErr w:type="gramStart"/>
            <w:r w:rsidRPr="00EE4D67">
              <w:rPr>
                <w:color w:val="000000" w:themeColor="text1"/>
                <w:sz w:val="20"/>
                <w:szCs w:val="20"/>
              </w:rPr>
              <w:t>compare</w:t>
            </w:r>
            <w:proofErr w:type="gramEnd"/>
            <w:r w:rsidRPr="00EE4D67">
              <w:rPr>
                <w:color w:val="000000" w:themeColor="text1"/>
                <w:sz w:val="20"/>
                <w:szCs w:val="20"/>
              </w:rPr>
              <w:t xml:space="preserve"> or match data from multiple sources</w:t>
            </w:r>
          </w:p>
        </w:tc>
        <w:tc>
          <w:tcPr>
            <w:tcW w:w="1134" w:type="dxa"/>
          </w:tcPr>
          <w:p w:rsidRPr="00EE4D67" w:rsidR="008C1D13" w:rsidP="008815BD" w:rsidRDefault="008C1D13" w14:paraId="3A634898" w14:textId="77777777">
            <w:pPr>
              <w:spacing w:before="240" w:after="240"/>
              <w:textAlignment w:val="baseline"/>
              <w:rPr>
                <w:color w:val="000000" w:themeColor="text1"/>
                <w:sz w:val="20"/>
                <w:szCs w:val="20"/>
              </w:rPr>
            </w:pPr>
          </w:p>
        </w:tc>
      </w:tr>
      <w:tr w:rsidR="008C1D13" w:rsidTr="008815BD" w14:paraId="4B4EB935" w14:textId="77777777">
        <w:trPr>
          <w:trHeight w:val="851" w:hRule="exact"/>
        </w:trPr>
        <w:tc>
          <w:tcPr>
            <w:tcW w:w="8075" w:type="dxa"/>
          </w:tcPr>
          <w:p w:rsidRPr="00EE4D67" w:rsidR="008C1D13" w:rsidP="008815BD" w:rsidRDefault="008C1D13" w14:paraId="1D77F0D2" w14:textId="77777777">
            <w:pPr>
              <w:spacing w:before="240" w:after="240"/>
              <w:textAlignment w:val="baseline"/>
              <w:rPr>
                <w:color w:val="000000" w:themeColor="text1"/>
                <w:sz w:val="20"/>
                <w:szCs w:val="20"/>
              </w:rPr>
            </w:pPr>
            <w:r w:rsidRPr="00EE4D67">
              <w:rPr>
                <w:color w:val="000000" w:themeColor="text1"/>
                <w:sz w:val="20"/>
                <w:szCs w:val="20"/>
              </w:rPr>
              <w:t>Process children’s personal data for profiling or automated decision-making or for marketing purposes, or offer online services directly to them</w:t>
            </w:r>
          </w:p>
        </w:tc>
        <w:tc>
          <w:tcPr>
            <w:tcW w:w="1134" w:type="dxa"/>
          </w:tcPr>
          <w:p w:rsidRPr="00EE4D67" w:rsidR="008C1D13" w:rsidP="008815BD" w:rsidRDefault="008C1D13" w14:paraId="1D5E722C" w14:textId="77777777">
            <w:pPr>
              <w:spacing w:before="240" w:after="240"/>
              <w:textAlignment w:val="baseline"/>
              <w:rPr>
                <w:color w:val="000000" w:themeColor="text1"/>
                <w:sz w:val="20"/>
                <w:szCs w:val="20"/>
              </w:rPr>
            </w:pPr>
          </w:p>
        </w:tc>
      </w:tr>
      <w:tr w:rsidR="008C1D13" w:rsidTr="008815BD" w14:paraId="09A4A10C" w14:textId="77777777">
        <w:trPr>
          <w:trHeight w:val="851" w:hRule="exact"/>
        </w:trPr>
        <w:tc>
          <w:tcPr>
            <w:tcW w:w="8075" w:type="dxa"/>
          </w:tcPr>
          <w:p w:rsidRPr="00EE4D67" w:rsidR="008C1D13" w:rsidP="008815BD" w:rsidRDefault="008C1D13" w14:paraId="2623FB13" w14:textId="77777777">
            <w:pPr>
              <w:spacing w:before="240" w:after="240"/>
              <w:textAlignment w:val="baseline"/>
              <w:rPr>
                <w:color w:val="000000" w:themeColor="text1"/>
                <w:sz w:val="20"/>
                <w:szCs w:val="20"/>
              </w:rPr>
            </w:pPr>
            <w:r w:rsidRPr="00EE4D67">
              <w:rPr>
                <w:color w:val="000000" w:themeColor="text1"/>
                <w:sz w:val="20"/>
                <w:szCs w:val="20"/>
              </w:rPr>
              <w:t>Process personal data that could result in a risk of physical harm in the event of a security breach</w:t>
            </w:r>
          </w:p>
        </w:tc>
        <w:tc>
          <w:tcPr>
            <w:tcW w:w="1134" w:type="dxa"/>
          </w:tcPr>
          <w:p w:rsidRPr="00EE4D67" w:rsidR="008C1D13" w:rsidP="008815BD" w:rsidRDefault="008C1D13" w14:paraId="4D63D30E" w14:textId="77777777">
            <w:pPr>
              <w:spacing w:before="240" w:after="240"/>
              <w:textAlignment w:val="baseline"/>
              <w:rPr>
                <w:color w:val="000000" w:themeColor="text1"/>
                <w:sz w:val="20"/>
                <w:szCs w:val="20"/>
              </w:rPr>
            </w:pPr>
          </w:p>
        </w:tc>
      </w:tr>
    </w:tbl>
    <w:p w:rsidR="008C1D13" w:rsidP="0088637C" w:rsidRDefault="008C1D13" w14:paraId="387F2B0E" w14:textId="77777777"/>
    <w:tbl>
      <w:tblPr>
        <w:tblStyle w:val="TableGrid"/>
        <w:tblW w:w="9209" w:type="dxa"/>
        <w:tblLook w:val="04A0" w:firstRow="1" w:lastRow="0" w:firstColumn="1" w:lastColumn="0" w:noHBand="0" w:noVBand="1"/>
      </w:tblPr>
      <w:tblGrid>
        <w:gridCol w:w="8075"/>
        <w:gridCol w:w="1134"/>
      </w:tblGrid>
      <w:tr w:rsidRPr="00F0455A" w:rsidR="0041214D" w:rsidTr="008815BD" w14:paraId="49D69CF8" w14:textId="77777777">
        <w:trPr>
          <w:trHeight w:val="567" w:hRule="exact"/>
        </w:trPr>
        <w:tc>
          <w:tcPr>
            <w:tcW w:w="9209" w:type="dxa"/>
            <w:gridSpan w:val="2"/>
            <w:vAlign w:val="center"/>
          </w:tcPr>
          <w:p w:rsidRPr="00F0455A" w:rsidR="0041214D" w:rsidP="008815BD" w:rsidRDefault="0041214D" w14:paraId="6816B2CF" w14:textId="77777777">
            <w:pPr>
              <w:spacing w:before="240" w:after="240"/>
              <w:textAlignment w:val="baseline"/>
              <w:rPr>
                <w:color w:val="000000" w:themeColor="text1"/>
                <w:sz w:val="20"/>
                <w:szCs w:val="20"/>
              </w:rPr>
            </w:pPr>
            <w:r w:rsidRPr="00F0455A">
              <w:rPr>
                <w:color w:val="000000" w:themeColor="text1"/>
                <w:sz w:val="20"/>
                <w:szCs w:val="20"/>
              </w:rPr>
              <w:t xml:space="preserve">If you tick </w:t>
            </w:r>
            <w:r w:rsidRPr="00F0455A">
              <w:rPr>
                <w:b/>
                <w:color w:val="000000" w:themeColor="text1"/>
                <w:sz w:val="20"/>
                <w:szCs w:val="20"/>
              </w:rPr>
              <w:t>TWO</w:t>
            </w:r>
            <w:r w:rsidRPr="00F0455A">
              <w:rPr>
                <w:color w:val="000000" w:themeColor="text1"/>
                <w:sz w:val="20"/>
                <w:szCs w:val="20"/>
              </w:rPr>
              <w:t xml:space="preserve"> of the sections below, the project </w:t>
            </w:r>
            <w:r w:rsidRPr="00F0455A">
              <w:rPr>
                <w:b/>
                <w:bCs/>
                <w:color w:val="000000" w:themeColor="text1"/>
                <w:sz w:val="20"/>
                <w:szCs w:val="20"/>
              </w:rPr>
              <w:t>requires</w:t>
            </w:r>
            <w:r w:rsidRPr="00F0455A">
              <w:rPr>
                <w:color w:val="000000" w:themeColor="text1"/>
                <w:sz w:val="20"/>
                <w:szCs w:val="20"/>
              </w:rPr>
              <w:t xml:space="preserve"> a DPIA.</w:t>
            </w:r>
          </w:p>
        </w:tc>
      </w:tr>
      <w:tr w:rsidRPr="00F0455A" w:rsidR="0041214D" w:rsidTr="008815BD" w14:paraId="3AF70EBB" w14:textId="77777777">
        <w:trPr>
          <w:trHeight w:val="567" w:hRule="exact"/>
        </w:trPr>
        <w:tc>
          <w:tcPr>
            <w:tcW w:w="8075" w:type="dxa"/>
          </w:tcPr>
          <w:p w:rsidRPr="00F0455A" w:rsidR="0041214D" w:rsidP="008815BD" w:rsidRDefault="0041214D" w14:paraId="4950B3E7" w14:textId="77777777">
            <w:pPr>
              <w:spacing w:before="240" w:after="240"/>
              <w:textAlignment w:val="baseline"/>
              <w:rPr>
                <w:color w:val="000000" w:themeColor="text1"/>
                <w:sz w:val="20"/>
                <w:szCs w:val="20"/>
              </w:rPr>
            </w:pPr>
            <w:r w:rsidRPr="00F0455A">
              <w:rPr>
                <w:sz w:val="20"/>
                <w:szCs w:val="20"/>
              </w:rPr>
              <w:t>Processing biometric or genetic data</w:t>
            </w:r>
            <w:r w:rsidRPr="00F0455A">
              <w:rPr>
                <w:rStyle w:val="FootnoteReference"/>
                <w:sz w:val="20"/>
                <w:szCs w:val="20"/>
              </w:rPr>
              <w:footnoteReference w:id="1"/>
            </w:r>
            <w:r w:rsidRPr="00F0455A">
              <w:rPr>
                <w:sz w:val="20"/>
                <w:szCs w:val="20"/>
              </w:rPr>
              <w:t xml:space="preserve"> </w:t>
            </w:r>
          </w:p>
        </w:tc>
        <w:tc>
          <w:tcPr>
            <w:tcW w:w="1134" w:type="dxa"/>
            <w:vAlign w:val="center"/>
          </w:tcPr>
          <w:p w:rsidRPr="00F0455A" w:rsidR="0041214D" w:rsidP="008815BD" w:rsidRDefault="0041214D" w14:paraId="38128EA5" w14:textId="77777777">
            <w:pPr>
              <w:spacing w:before="240" w:after="240"/>
              <w:textAlignment w:val="baseline"/>
              <w:rPr>
                <w:color w:val="000000" w:themeColor="text1"/>
                <w:sz w:val="20"/>
                <w:szCs w:val="20"/>
              </w:rPr>
            </w:pPr>
          </w:p>
        </w:tc>
      </w:tr>
      <w:tr w:rsidRPr="00F0455A" w:rsidR="0041214D" w:rsidTr="008815BD" w14:paraId="3EE0334F" w14:textId="77777777">
        <w:trPr>
          <w:trHeight w:val="567" w:hRule="exact"/>
        </w:trPr>
        <w:tc>
          <w:tcPr>
            <w:tcW w:w="8075" w:type="dxa"/>
          </w:tcPr>
          <w:p w:rsidRPr="00F0455A" w:rsidR="0041214D" w:rsidP="008815BD" w:rsidRDefault="0041214D" w14:paraId="32FCFE04" w14:textId="77777777">
            <w:pPr>
              <w:spacing w:before="240" w:after="240"/>
              <w:textAlignment w:val="baseline"/>
              <w:rPr>
                <w:color w:val="000000" w:themeColor="text1"/>
                <w:sz w:val="20"/>
                <w:szCs w:val="20"/>
              </w:rPr>
            </w:pPr>
            <w:r w:rsidRPr="00F0455A">
              <w:rPr>
                <w:sz w:val="20"/>
                <w:szCs w:val="20"/>
              </w:rPr>
              <w:t>Use of innovative technology</w:t>
            </w:r>
            <w:r w:rsidRPr="00F0455A">
              <w:rPr>
                <w:rStyle w:val="FootnoteReference"/>
                <w:sz w:val="20"/>
                <w:szCs w:val="20"/>
              </w:rPr>
              <w:footnoteReference w:id="2"/>
            </w:r>
          </w:p>
        </w:tc>
        <w:tc>
          <w:tcPr>
            <w:tcW w:w="1134" w:type="dxa"/>
            <w:vAlign w:val="center"/>
          </w:tcPr>
          <w:p w:rsidRPr="00F0455A" w:rsidR="0041214D" w:rsidP="008815BD" w:rsidRDefault="0041214D" w14:paraId="2EA9B061" w14:textId="77777777">
            <w:pPr>
              <w:spacing w:before="240" w:after="240"/>
              <w:textAlignment w:val="baseline"/>
              <w:rPr>
                <w:color w:val="000000" w:themeColor="text1"/>
                <w:sz w:val="20"/>
                <w:szCs w:val="20"/>
              </w:rPr>
            </w:pPr>
          </w:p>
        </w:tc>
      </w:tr>
      <w:tr w:rsidRPr="00F0455A" w:rsidR="0041214D" w:rsidTr="008815BD" w14:paraId="448DA505" w14:textId="77777777">
        <w:trPr>
          <w:trHeight w:val="567" w:hRule="exact"/>
        </w:trPr>
        <w:tc>
          <w:tcPr>
            <w:tcW w:w="8075" w:type="dxa"/>
          </w:tcPr>
          <w:p w:rsidRPr="00F0455A" w:rsidR="0041214D" w:rsidP="008815BD" w:rsidRDefault="0041214D" w14:paraId="3A1D2EC6" w14:textId="77777777">
            <w:pPr>
              <w:spacing w:before="240" w:after="240"/>
              <w:textAlignment w:val="baseline"/>
              <w:rPr>
                <w:color w:val="000000" w:themeColor="text1"/>
                <w:sz w:val="20"/>
                <w:szCs w:val="20"/>
              </w:rPr>
            </w:pPr>
            <w:r w:rsidRPr="00F0455A">
              <w:rPr>
                <w:sz w:val="20"/>
                <w:szCs w:val="20"/>
              </w:rPr>
              <w:t xml:space="preserve">Processing personal data without providing a privacy notice directly to the individual </w:t>
            </w:r>
          </w:p>
        </w:tc>
        <w:tc>
          <w:tcPr>
            <w:tcW w:w="1134" w:type="dxa"/>
            <w:vAlign w:val="center"/>
          </w:tcPr>
          <w:p w:rsidRPr="00F0455A" w:rsidR="0041214D" w:rsidP="008815BD" w:rsidRDefault="0041214D" w14:paraId="0C9829F0" w14:textId="77777777">
            <w:pPr>
              <w:spacing w:before="240" w:after="240"/>
              <w:textAlignment w:val="baseline"/>
              <w:rPr>
                <w:color w:val="000000" w:themeColor="text1"/>
                <w:sz w:val="20"/>
                <w:szCs w:val="20"/>
              </w:rPr>
            </w:pPr>
          </w:p>
        </w:tc>
      </w:tr>
      <w:tr w:rsidRPr="00F0455A" w:rsidR="0041214D" w:rsidTr="00F0455A" w14:paraId="524123B5" w14:textId="77777777">
        <w:trPr>
          <w:trHeight w:val="851" w:hRule="exact"/>
        </w:trPr>
        <w:tc>
          <w:tcPr>
            <w:tcW w:w="8075" w:type="dxa"/>
          </w:tcPr>
          <w:p w:rsidRPr="00F0455A" w:rsidR="0041214D" w:rsidP="008815BD" w:rsidRDefault="0041214D" w14:paraId="09007993" w14:textId="77777777">
            <w:pPr>
              <w:spacing w:before="240" w:after="240"/>
              <w:textAlignment w:val="baseline"/>
              <w:rPr>
                <w:color w:val="000000" w:themeColor="text1"/>
                <w:sz w:val="20"/>
                <w:szCs w:val="20"/>
              </w:rPr>
            </w:pPr>
            <w:r w:rsidRPr="00F0455A">
              <w:rPr>
                <w:sz w:val="20"/>
                <w:szCs w:val="20"/>
              </w:rPr>
              <w:t>Processing personal data in a way that involves tracking individuals’ online or offline location or behaviour</w:t>
            </w:r>
          </w:p>
        </w:tc>
        <w:tc>
          <w:tcPr>
            <w:tcW w:w="1134" w:type="dxa"/>
            <w:vAlign w:val="center"/>
          </w:tcPr>
          <w:p w:rsidRPr="00F0455A" w:rsidR="0041214D" w:rsidP="008815BD" w:rsidRDefault="0041214D" w14:paraId="7244BE30" w14:textId="77777777">
            <w:pPr>
              <w:spacing w:before="240" w:after="240"/>
              <w:textAlignment w:val="baseline"/>
              <w:rPr>
                <w:color w:val="000000" w:themeColor="text1"/>
                <w:sz w:val="20"/>
                <w:szCs w:val="20"/>
              </w:rPr>
            </w:pPr>
          </w:p>
        </w:tc>
      </w:tr>
    </w:tbl>
    <w:p w:rsidR="0041214D" w:rsidP="0088637C" w:rsidRDefault="0041214D" w14:paraId="19577DD5" w14:textId="77777777"/>
    <w:p w:rsidR="000667DF" w:rsidP="0088187D" w:rsidRDefault="00F0455A" w14:paraId="6AD2738F" w14:textId="06B18688">
      <w:pPr>
        <w:pStyle w:val="ListParagraph"/>
        <w:numPr>
          <w:ilvl w:val="0"/>
          <w:numId w:val="23"/>
        </w:numPr>
      </w:pPr>
      <w:r>
        <w:t xml:space="preserve">If threshold is met, the DPO will complete a DPIA that </w:t>
      </w:r>
      <w:proofErr w:type="gramStart"/>
      <w:r>
        <w:t>includes;</w:t>
      </w:r>
      <w:proofErr w:type="gramEnd"/>
    </w:p>
    <w:p w:rsidR="008C1877" w:rsidP="0088637C" w:rsidRDefault="008C1877" w14:paraId="201D40F0" w14:textId="77777777"/>
    <w:p w:rsidR="00F0455A" w:rsidP="004F5088" w:rsidRDefault="008C1877" w14:paraId="2AD165E5" w14:textId="3DD499CE">
      <w:pPr>
        <w:pStyle w:val="ListParagraph"/>
        <w:numPr>
          <w:ilvl w:val="0"/>
          <w:numId w:val="20"/>
        </w:numPr>
      </w:pPr>
      <w:r>
        <w:t>Data Flow Map</w:t>
      </w:r>
    </w:p>
    <w:p w:rsidR="008C1877" w:rsidP="004F5088" w:rsidRDefault="008C1877" w14:paraId="0B1761CB" w14:textId="25CBB64E">
      <w:pPr>
        <w:pStyle w:val="ListParagraph"/>
        <w:numPr>
          <w:ilvl w:val="0"/>
          <w:numId w:val="20"/>
        </w:numPr>
      </w:pPr>
      <w:r>
        <w:t>Controllers and Processors</w:t>
      </w:r>
    </w:p>
    <w:p w:rsidR="008C1877" w:rsidP="004F5088" w:rsidRDefault="008C1877" w14:paraId="497FF14B" w14:textId="51F4958F">
      <w:pPr>
        <w:pStyle w:val="ListParagraph"/>
        <w:numPr>
          <w:ilvl w:val="0"/>
          <w:numId w:val="20"/>
        </w:numPr>
      </w:pPr>
      <w:r>
        <w:t>Lawful Basis</w:t>
      </w:r>
    </w:p>
    <w:p w:rsidR="008C1877" w:rsidP="004F5088" w:rsidRDefault="008C1877" w14:paraId="23020141" w14:textId="2ECAB855">
      <w:pPr>
        <w:pStyle w:val="ListParagraph"/>
        <w:numPr>
          <w:ilvl w:val="0"/>
          <w:numId w:val="20"/>
        </w:numPr>
      </w:pPr>
      <w:r>
        <w:t>Transparency</w:t>
      </w:r>
    </w:p>
    <w:p w:rsidR="008C1877" w:rsidP="004F5088" w:rsidRDefault="008C1877" w14:paraId="6B940ECA" w14:textId="67993475">
      <w:pPr>
        <w:pStyle w:val="ListParagraph"/>
        <w:numPr>
          <w:ilvl w:val="0"/>
          <w:numId w:val="20"/>
        </w:numPr>
      </w:pPr>
      <w:r>
        <w:t>Information Rights</w:t>
      </w:r>
    </w:p>
    <w:p w:rsidR="008C1877" w:rsidP="004F5088" w:rsidRDefault="008C1877" w14:paraId="3A3A4327" w14:textId="0B97E7E1">
      <w:pPr>
        <w:pStyle w:val="ListParagraph"/>
        <w:numPr>
          <w:ilvl w:val="0"/>
          <w:numId w:val="20"/>
        </w:numPr>
      </w:pPr>
      <w:r>
        <w:t>Technical and Organisation Measures to Protect Personal Data</w:t>
      </w:r>
    </w:p>
    <w:p w:rsidR="00384B78" w:rsidP="00384B78" w:rsidRDefault="00384B78" w14:paraId="15A70F98" w14:textId="6293DAA4">
      <w:pPr>
        <w:pStyle w:val="Style1"/>
        <w:ind w:left="360"/>
        <w:rPr>
          <w:noProof/>
        </w:rPr>
      </w:pPr>
      <w:bookmarkStart w:name="_Toc97453796" w:id="10"/>
      <w:r>
        <w:t>APPLICATION AND AUDIT</w:t>
      </w:r>
      <w:bookmarkEnd w:id="10"/>
    </w:p>
    <w:p w:rsidR="00384B78" w:rsidP="00D07BEF" w:rsidRDefault="00384B78" w14:paraId="72847DFB" w14:textId="77777777"/>
    <w:p w:rsidR="00FF4FB7" w:rsidP="00974730" w:rsidRDefault="00FF4FB7" w14:paraId="7E4C7B50" w14:textId="69844E06">
      <w:pPr>
        <w:pStyle w:val="ListParagraph"/>
        <w:numPr>
          <w:ilvl w:val="0"/>
          <w:numId w:val="18"/>
        </w:numPr>
      </w:pPr>
      <w:r>
        <w:t xml:space="preserve">Staff must confirm that they have read and understood this </w:t>
      </w:r>
      <w:proofErr w:type="gramStart"/>
      <w:r>
        <w:t>protocol</w:t>
      </w:r>
      <w:proofErr w:type="gramEnd"/>
    </w:p>
    <w:p w:rsidR="00431138" w:rsidP="00974730" w:rsidRDefault="00431138" w14:paraId="6D9FB78F" w14:textId="2EF791A9">
      <w:pPr>
        <w:pStyle w:val="ListParagraph"/>
        <w:numPr>
          <w:ilvl w:val="0"/>
          <w:numId w:val="18"/>
        </w:numPr>
      </w:pPr>
      <w:r>
        <w:t xml:space="preserve">This protocol will be </w:t>
      </w:r>
      <w:r w:rsidR="003B3816">
        <w:t xml:space="preserve">reviewed annually or sooner in the event of significant learning or </w:t>
      </w:r>
      <w:proofErr w:type="gramStart"/>
      <w:r w:rsidR="003B3816">
        <w:t>change</w:t>
      </w:r>
      <w:proofErr w:type="gramEnd"/>
    </w:p>
    <w:p w:rsidR="007122BA" w:rsidP="00974730" w:rsidRDefault="007122BA" w14:paraId="7DC58BC8" w14:textId="6683665B">
      <w:pPr>
        <w:pStyle w:val="ListParagraph"/>
        <w:numPr>
          <w:ilvl w:val="0"/>
          <w:numId w:val="18"/>
        </w:numPr>
      </w:pPr>
      <w:r>
        <w:t xml:space="preserve">This protocol should be read in conjunction with the other protocols in the Data Protection and Security </w:t>
      </w:r>
      <w:r w:rsidR="006F1BFC">
        <w:t xml:space="preserve">policy </w:t>
      </w:r>
      <w:proofErr w:type="gramStart"/>
      <w:r w:rsidR="006F1BFC">
        <w:t>suite</w:t>
      </w:r>
      <w:proofErr w:type="gramEnd"/>
    </w:p>
    <w:p w:rsidR="006F1BFC" w:rsidP="005B2961" w:rsidRDefault="006F1BFC" w14:paraId="7F2A8322" w14:textId="39F7AD66">
      <w:pPr>
        <w:pStyle w:val="ListParagraph"/>
      </w:pPr>
    </w:p>
    <w:sectPr w:rsidR="006F1B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A2AF" w14:textId="77777777" w:rsidR="00AC46EC" w:rsidRDefault="00AC46EC" w:rsidP="0041214D">
      <w:pPr>
        <w:spacing w:after="0" w:line="240" w:lineRule="auto"/>
      </w:pPr>
      <w:r>
        <w:separator/>
      </w:r>
    </w:p>
  </w:endnote>
  <w:endnote w:type="continuationSeparator" w:id="0">
    <w:p w14:paraId="6B20FEF4" w14:textId="77777777" w:rsidR="00AC46EC" w:rsidRDefault="00AC46EC" w:rsidP="0041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B6DC" w14:textId="77777777" w:rsidR="00AC46EC" w:rsidRDefault="00AC46EC" w:rsidP="0041214D">
      <w:pPr>
        <w:spacing w:after="0" w:line="240" w:lineRule="auto"/>
      </w:pPr>
      <w:r>
        <w:separator/>
      </w:r>
    </w:p>
  </w:footnote>
  <w:footnote w:type="continuationSeparator" w:id="0">
    <w:p w14:paraId="035C04C6" w14:textId="77777777" w:rsidR="00AC46EC" w:rsidRDefault="00AC46EC" w:rsidP="0041214D">
      <w:pPr>
        <w:spacing w:after="0" w:line="240" w:lineRule="auto"/>
      </w:pPr>
      <w:r>
        <w:continuationSeparator/>
      </w:r>
    </w:p>
  </w:footnote>
  <w:footnote w:id="1">
    <w:p w14:paraId="2803C2BA" w14:textId="77777777" w:rsidR="0041214D" w:rsidRDefault="0041214D" w:rsidP="0041214D">
      <w:pPr>
        <w:pStyle w:val="FootnoteText"/>
      </w:pPr>
      <w:r>
        <w:rPr>
          <w:rStyle w:val="FootnoteReference"/>
        </w:rPr>
        <w:footnoteRef/>
      </w:r>
      <w:r>
        <w:t xml:space="preserve"> </w:t>
      </w:r>
      <w:r w:rsidRPr="004B3623">
        <w:rPr>
          <w:sz w:val="18"/>
          <w:szCs w:val="18"/>
        </w:rPr>
        <w:t>DNA, facial images, fingerprints</w:t>
      </w:r>
      <w:r>
        <w:rPr>
          <w:sz w:val="18"/>
          <w:szCs w:val="18"/>
        </w:rPr>
        <w:t>, tissue samples</w:t>
      </w:r>
    </w:p>
  </w:footnote>
  <w:footnote w:id="2">
    <w:p w14:paraId="33522998" w14:textId="77777777" w:rsidR="0041214D" w:rsidRDefault="0041214D" w:rsidP="0041214D">
      <w:pPr>
        <w:pStyle w:val="FootnoteText"/>
      </w:pPr>
      <w:r>
        <w:rPr>
          <w:rStyle w:val="FootnoteReference"/>
        </w:rPr>
        <w:footnoteRef/>
      </w:r>
      <w:r>
        <w:t xml:space="preserve"> </w:t>
      </w:r>
      <w:r w:rsidRPr="0083024D">
        <w:rPr>
          <w:sz w:val="18"/>
          <w:szCs w:val="18"/>
        </w:rPr>
        <w:t>Artificial intelligence, machine learning and deep learning; connected and autonomous vehicles; intelligent transport systems; smart technologies (including wearables); market research involving neuro-measurement (e.g. emotional response analysis and brain activity); some ‘internet of things’ applications, depending on the specific circumstances of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732D2"/>
    <w:multiLevelType w:val="hybridMultilevel"/>
    <w:tmpl w:val="D8A84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10CE6"/>
    <w:multiLevelType w:val="hybridMultilevel"/>
    <w:tmpl w:val="0706C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03841"/>
    <w:multiLevelType w:val="hybridMultilevel"/>
    <w:tmpl w:val="9C24B538"/>
    <w:lvl w:ilvl="0" w:tplc="FFFFFFFF">
      <w:start w:val="1"/>
      <w:numFmt w:val="bullet"/>
      <w:lvlText w:val=""/>
      <w:lvlJc w:val="left"/>
      <w:pPr>
        <w:ind w:left="1080" w:hanging="360"/>
      </w:pPr>
      <w:rPr>
        <w:rFonts w:ascii="Wingdings" w:hAnsi="Wingdings" w:hint="default"/>
      </w:rPr>
    </w:lvl>
    <w:lvl w:ilvl="1" w:tplc="0809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5F26523"/>
    <w:multiLevelType w:val="hybridMultilevel"/>
    <w:tmpl w:val="52F6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01AA"/>
    <w:multiLevelType w:val="hybridMultilevel"/>
    <w:tmpl w:val="223A845E"/>
    <w:lvl w:ilvl="0" w:tplc="2A74EA8A">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8F3D46"/>
    <w:multiLevelType w:val="hybridMultilevel"/>
    <w:tmpl w:val="E35AA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114C0"/>
    <w:multiLevelType w:val="hybridMultilevel"/>
    <w:tmpl w:val="995A9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91269"/>
    <w:multiLevelType w:val="hybridMultilevel"/>
    <w:tmpl w:val="352401C2"/>
    <w:lvl w:ilvl="0" w:tplc="0809000D">
      <w:start w:val="1"/>
      <w:numFmt w:val="bullet"/>
      <w:lvlText w:val=""/>
      <w:lvlJc w:val="left"/>
      <w:pPr>
        <w:ind w:left="1080" w:hanging="360"/>
      </w:pPr>
      <w:rPr>
        <w:rFonts w:ascii="Wingdings" w:hAnsi="Wingdings" w:hint="default"/>
      </w:rPr>
    </w:lvl>
    <w:lvl w:ilvl="1" w:tplc="0809000D">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D70177"/>
    <w:multiLevelType w:val="hybridMultilevel"/>
    <w:tmpl w:val="CB92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93C1B"/>
    <w:multiLevelType w:val="hybridMultilevel"/>
    <w:tmpl w:val="3724D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530623">
    <w:abstractNumId w:val="9"/>
  </w:num>
  <w:num w:numId="2" w16cid:durableId="1958949669">
    <w:abstractNumId w:val="6"/>
  </w:num>
  <w:num w:numId="3" w16cid:durableId="815297128">
    <w:abstractNumId w:val="19"/>
  </w:num>
  <w:num w:numId="4" w16cid:durableId="1055742734">
    <w:abstractNumId w:val="13"/>
  </w:num>
  <w:num w:numId="5" w16cid:durableId="1170021816">
    <w:abstractNumId w:val="14"/>
  </w:num>
  <w:num w:numId="6" w16cid:durableId="963851834">
    <w:abstractNumId w:val="11"/>
  </w:num>
  <w:num w:numId="7" w16cid:durableId="999698902">
    <w:abstractNumId w:val="16"/>
  </w:num>
  <w:num w:numId="8" w16cid:durableId="1344867318">
    <w:abstractNumId w:val="18"/>
  </w:num>
  <w:num w:numId="9" w16cid:durableId="1675916043">
    <w:abstractNumId w:val="0"/>
  </w:num>
  <w:num w:numId="10" w16cid:durableId="987973209">
    <w:abstractNumId w:val="22"/>
  </w:num>
  <w:num w:numId="11" w16cid:durableId="1527138073">
    <w:abstractNumId w:val="12"/>
  </w:num>
  <w:num w:numId="12" w16cid:durableId="549075756">
    <w:abstractNumId w:val="10"/>
  </w:num>
  <w:num w:numId="13" w16cid:durableId="2067794206">
    <w:abstractNumId w:val="1"/>
  </w:num>
  <w:num w:numId="14" w16cid:durableId="630094960">
    <w:abstractNumId w:val="5"/>
  </w:num>
  <w:num w:numId="15" w16cid:durableId="526453072">
    <w:abstractNumId w:val="17"/>
  </w:num>
  <w:num w:numId="16" w16cid:durableId="1555703061">
    <w:abstractNumId w:val="21"/>
  </w:num>
  <w:num w:numId="17" w16cid:durableId="321590872">
    <w:abstractNumId w:val="7"/>
  </w:num>
  <w:num w:numId="18" w16cid:durableId="997466940">
    <w:abstractNumId w:val="23"/>
  </w:num>
  <w:num w:numId="19" w16cid:durableId="904921855">
    <w:abstractNumId w:val="15"/>
  </w:num>
  <w:num w:numId="20" w16cid:durableId="1787891891">
    <w:abstractNumId w:val="2"/>
  </w:num>
  <w:num w:numId="21" w16cid:durableId="1691836219">
    <w:abstractNumId w:val="8"/>
  </w:num>
  <w:num w:numId="22" w16cid:durableId="1536238514">
    <w:abstractNumId w:val="4"/>
  </w:num>
  <w:num w:numId="23" w16cid:durableId="1876379604">
    <w:abstractNumId w:val="20"/>
  </w:num>
  <w:num w:numId="24" w16cid:durableId="281500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27B8F"/>
    <w:rsid w:val="0003619F"/>
    <w:rsid w:val="0003733E"/>
    <w:rsid w:val="00054103"/>
    <w:rsid w:val="00062D5D"/>
    <w:rsid w:val="00064AB5"/>
    <w:rsid w:val="000667DF"/>
    <w:rsid w:val="00122384"/>
    <w:rsid w:val="00123DD7"/>
    <w:rsid w:val="001477BD"/>
    <w:rsid w:val="00173558"/>
    <w:rsid w:val="00177D0F"/>
    <w:rsid w:val="001868EB"/>
    <w:rsid w:val="00196301"/>
    <w:rsid w:val="001B284E"/>
    <w:rsid w:val="001C6F96"/>
    <w:rsid w:val="001D6D6E"/>
    <w:rsid w:val="001D783A"/>
    <w:rsid w:val="001E00EE"/>
    <w:rsid w:val="00202590"/>
    <w:rsid w:val="00220FFA"/>
    <w:rsid w:val="00223CCD"/>
    <w:rsid w:val="00231ABE"/>
    <w:rsid w:val="0023219C"/>
    <w:rsid w:val="002352C3"/>
    <w:rsid w:val="00235CAE"/>
    <w:rsid w:val="0024343B"/>
    <w:rsid w:val="00246FF1"/>
    <w:rsid w:val="002535F1"/>
    <w:rsid w:val="00266506"/>
    <w:rsid w:val="00274DCC"/>
    <w:rsid w:val="002903B3"/>
    <w:rsid w:val="00297717"/>
    <w:rsid w:val="002B5202"/>
    <w:rsid w:val="002C07FA"/>
    <w:rsid w:val="002D2555"/>
    <w:rsid w:val="002E596D"/>
    <w:rsid w:val="002F0914"/>
    <w:rsid w:val="00303EA1"/>
    <w:rsid w:val="00307D3C"/>
    <w:rsid w:val="003220E3"/>
    <w:rsid w:val="00326027"/>
    <w:rsid w:val="0032690E"/>
    <w:rsid w:val="003333A6"/>
    <w:rsid w:val="00384B78"/>
    <w:rsid w:val="00397A2F"/>
    <w:rsid w:val="003A4BD8"/>
    <w:rsid w:val="003B3816"/>
    <w:rsid w:val="003D3B97"/>
    <w:rsid w:val="003D586E"/>
    <w:rsid w:val="003E39EA"/>
    <w:rsid w:val="004079AC"/>
    <w:rsid w:val="0041214D"/>
    <w:rsid w:val="00431138"/>
    <w:rsid w:val="00445CAC"/>
    <w:rsid w:val="00451847"/>
    <w:rsid w:val="00464B53"/>
    <w:rsid w:val="00471BE3"/>
    <w:rsid w:val="00474201"/>
    <w:rsid w:val="00486D6E"/>
    <w:rsid w:val="00487881"/>
    <w:rsid w:val="004969C0"/>
    <w:rsid w:val="004A144A"/>
    <w:rsid w:val="004B71BF"/>
    <w:rsid w:val="004B79B7"/>
    <w:rsid w:val="004D006E"/>
    <w:rsid w:val="004D047A"/>
    <w:rsid w:val="004D3BFF"/>
    <w:rsid w:val="004D6369"/>
    <w:rsid w:val="004E2374"/>
    <w:rsid w:val="004E453A"/>
    <w:rsid w:val="004E6FBF"/>
    <w:rsid w:val="004F5088"/>
    <w:rsid w:val="00502B22"/>
    <w:rsid w:val="00511024"/>
    <w:rsid w:val="00521600"/>
    <w:rsid w:val="00535F69"/>
    <w:rsid w:val="00540693"/>
    <w:rsid w:val="00540D66"/>
    <w:rsid w:val="00546579"/>
    <w:rsid w:val="0059126E"/>
    <w:rsid w:val="005A10C1"/>
    <w:rsid w:val="005B2961"/>
    <w:rsid w:val="005B6851"/>
    <w:rsid w:val="005C0885"/>
    <w:rsid w:val="005C5F06"/>
    <w:rsid w:val="005C6C28"/>
    <w:rsid w:val="005D0586"/>
    <w:rsid w:val="005D0D15"/>
    <w:rsid w:val="005D501F"/>
    <w:rsid w:val="005D6EF4"/>
    <w:rsid w:val="005E68D9"/>
    <w:rsid w:val="005F2080"/>
    <w:rsid w:val="005F2B8E"/>
    <w:rsid w:val="005F5665"/>
    <w:rsid w:val="00604011"/>
    <w:rsid w:val="00604AD1"/>
    <w:rsid w:val="006134DD"/>
    <w:rsid w:val="00624266"/>
    <w:rsid w:val="006669D1"/>
    <w:rsid w:val="00672D32"/>
    <w:rsid w:val="00687325"/>
    <w:rsid w:val="006919D1"/>
    <w:rsid w:val="006A40E3"/>
    <w:rsid w:val="006A6458"/>
    <w:rsid w:val="006B1FFA"/>
    <w:rsid w:val="006D0C1B"/>
    <w:rsid w:val="006F033A"/>
    <w:rsid w:val="006F1BFC"/>
    <w:rsid w:val="006F3D6C"/>
    <w:rsid w:val="007122BA"/>
    <w:rsid w:val="0073044C"/>
    <w:rsid w:val="0073236E"/>
    <w:rsid w:val="00744F72"/>
    <w:rsid w:val="00750FE2"/>
    <w:rsid w:val="00777508"/>
    <w:rsid w:val="0078460D"/>
    <w:rsid w:val="00791811"/>
    <w:rsid w:val="007A13A3"/>
    <w:rsid w:val="007A615C"/>
    <w:rsid w:val="007B09F0"/>
    <w:rsid w:val="007C2A4A"/>
    <w:rsid w:val="007E4E42"/>
    <w:rsid w:val="00815FF1"/>
    <w:rsid w:val="00827665"/>
    <w:rsid w:val="0088187D"/>
    <w:rsid w:val="0088637C"/>
    <w:rsid w:val="008C1877"/>
    <w:rsid w:val="008C1D13"/>
    <w:rsid w:val="008D666F"/>
    <w:rsid w:val="008E0590"/>
    <w:rsid w:val="008E6AF4"/>
    <w:rsid w:val="008F0E90"/>
    <w:rsid w:val="008F61C3"/>
    <w:rsid w:val="00935C9D"/>
    <w:rsid w:val="00951479"/>
    <w:rsid w:val="0095538F"/>
    <w:rsid w:val="00970373"/>
    <w:rsid w:val="00970E91"/>
    <w:rsid w:val="00974730"/>
    <w:rsid w:val="00997CF2"/>
    <w:rsid w:val="009B1777"/>
    <w:rsid w:val="009B2B9B"/>
    <w:rsid w:val="009B2C31"/>
    <w:rsid w:val="009F0A77"/>
    <w:rsid w:val="009F3F6B"/>
    <w:rsid w:val="009F608D"/>
    <w:rsid w:val="00A130DE"/>
    <w:rsid w:val="00A20384"/>
    <w:rsid w:val="00A2502F"/>
    <w:rsid w:val="00A33DAB"/>
    <w:rsid w:val="00A65610"/>
    <w:rsid w:val="00A708FD"/>
    <w:rsid w:val="00A83366"/>
    <w:rsid w:val="00AC46EC"/>
    <w:rsid w:val="00AC6E2F"/>
    <w:rsid w:val="00AD141D"/>
    <w:rsid w:val="00AD1F29"/>
    <w:rsid w:val="00AE078B"/>
    <w:rsid w:val="00AF44AE"/>
    <w:rsid w:val="00B01E6E"/>
    <w:rsid w:val="00B02D7C"/>
    <w:rsid w:val="00B2026C"/>
    <w:rsid w:val="00B525C3"/>
    <w:rsid w:val="00B75D79"/>
    <w:rsid w:val="00B91D88"/>
    <w:rsid w:val="00BA1866"/>
    <w:rsid w:val="00BE00B2"/>
    <w:rsid w:val="00BE3EB6"/>
    <w:rsid w:val="00C03540"/>
    <w:rsid w:val="00C06499"/>
    <w:rsid w:val="00C13407"/>
    <w:rsid w:val="00C154CA"/>
    <w:rsid w:val="00C50461"/>
    <w:rsid w:val="00C545A5"/>
    <w:rsid w:val="00C56146"/>
    <w:rsid w:val="00C60877"/>
    <w:rsid w:val="00C63ACF"/>
    <w:rsid w:val="00C863E6"/>
    <w:rsid w:val="00C90EF1"/>
    <w:rsid w:val="00C95294"/>
    <w:rsid w:val="00C96D20"/>
    <w:rsid w:val="00CB2138"/>
    <w:rsid w:val="00CC5E98"/>
    <w:rsid w:val="00CF1407"/>
    <w:rsid w:val="00CF6320"/>
    <w:rsid w:val="00D07BEF"/>
    <w:rsid w:val="00D71164"/>
    <w:rsid w:val="00DA5CF9"/>
    <w:rsid w:val="00DB1204"/>
    <w:rsid w:val="00DB5A11"/>
    <w:rsid w:val="00DC27E0"/>
    <w:rsid w:val="00DC6216"/>
    <w:rsid w:val="00DD00B9"/>
    <w:rsid w:val="00DE0950"/>
    <w:rsid w:val="00DE4993"/>
    <w:rsid w:val="00DF20D2"/>
    <w:rsid w:val="00E22DAA"/>
    <w:rsid w:val="00E333F1"/>
    <w:rsid w:val="00E374E9"/>
    <w:rsid w:val="00E41C43"/>
    <w:rsid w:val="00E4283E"/>
    <w:rsid w:val="00EA6D5F"/>
    <w:rsid w:val="00ED2AC8"/>
    <w:rsid w:val="00ED74A3"/>
    <w:rsid w:val="00ED7632"/>
    <w:rsid w:val="00EE3E92"/>
    <w:rsid w:val="00EF1827"/>
    <w:rsid w:val="00F0455A"/>
    <w:rsid w:val="00F17971"/>
    <w:rsid w:val="00F206BA"/>
    <w:rsid w:val="00F73A3B"/>
    <w:rsid w:val="00F81057"/>
    <w:rsid w:val="00FA33C1"/>
    <w:rsid w:val="00FA5E55"/>
    <w:rsid w:val="00FB3ECD"/>
    <w:rsid w:val="00FC7DD5"/>
    <w:rsid w:val="00FF367E"/>
    <w:rsid w:val="00FF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21"/>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E68D9"/>
    <w:pPr>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paragraph" w:styleId="FootnoteText">
    <w:name w:val="footnote text"/>
    <w:basedOn w:val="Normal"/>
    <w:link w:val="FootnoteTextChar"/>
    <w:uiPriority w:val="99"/>
    <w:semiHidden/>
    <w:unhideWhenUsed/>
    <w:rsid w:val="0041214D"/>
    <w:pPr>
      <w:spacing w:after="0" w:line="240" w:lineRule="auto"/>
      <w:contextualSpacing w:val="0"/>
    </w:pPr>
    <w:rPr>
      <w:rFonts w:ascii="Tahoma" w:eastAsia="Times New Roman" w:hAnsi="Tahoma" w:cs="Times New Roman"/>
      <w:sz w:val="20"/>
      <w:szCs w:val="20"/>
    </w:rPr>
  </w:style>
  <w:style w:type="character" w:customStyle="1" w:styleId="FootnoteTextChar">
    <w:name w:val="Footnote Text Char"/>
    <w:basedOn w:val="DefaultParagraphFont"/>
    <w:link w:val="FootnoteText"/>
    <w:uiPriority w:val="99"/>
    <w:semiHidden/>
    <w:rsid w:val="0041214D"/>
    <w:rPr>
      <w:rFonts w:ascii="Tahoma" w:eastAsia="Times New Roman" w:hAnsi="Tahoma" w:cs="Times New Roman"/>
      <w:sz w:val="20"/>
      <w:szCs w:val="20"/>
    </w:rPr>
  </w:style>
  <w:style w:type="character" w:styleId="FootnoteReference">
    <w:name w:val="footnote reference"/>
    <w:uiPriority w:val="99"/>
    <w:semiHidden/>
    <w:unhideWhenUsed/>
    <w:rsid w:val="0041214D"/>
    <w:rPr>
      <w:vertAlign w:val="superscript"/>
    </w:rPr>
  </w:style>
  <w:style w:type="paragraph" w:styleId="Revision">
    <w:name w:val="Revision"/>
    <w:hidden/>
    <w:uiPriority w:val="99"/>
    <w:semiHidden/>
    <w:rsid w:val="004E6FBF"/>
    <w:pPr>
      <w:spacing w:after="0" w:line="240" w:lineRule="auto"/>
    </w:pPr>
    <w:rPr>
      <w:rFonts w:ascii="Roboto Lt" w:hAnsi="Roboto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FB71CF09390148EC9ED190704C330C6C"/>
        <w:category>
          <w:name w:val="General"/>
          <w:gallery w:val="placeholder"/>
        </w:category>
        <w:types>
          <w:type w:val="bbPlcHdr"/>
        </w:types>
        <w:behaviors>
          <w:behavior w:val="content"/>
        </w:behaviors>
        <w:guid w:val="{CDAD4F86-5B3A-4172-902D-CE5286145BE6}"/>
      </w:docPartPr>
      <w:docPartBody>
        <w:p w:rsidR="00706C5E" w:rsidRDefault="001A13B2" w:rsidP="001A13B2">
          <w:pPr>
            <w:pStyle w:val="FB71CF09390148EC9ED190704C330C6C"/>
          </w:pPr>
          <w:r w:rsidRPr="00C328B7">
            <w:rPr>
              <w:rStyle w:val="PlaceholderText"/>
            </w:rPr>
            <w:t>Click or tap here to enter text.</w:t>
          </w:r>
        </w:p>
      </w:docPartBody>
    </w:docPart>
    <w:docPart>
      <w:docPartPr>
        <w:name w:val="6F6F89CED01A49388FD499E651FF3B84"/>
        <w:category>
          <w:name w:val="General"/>
          <w:gallery w:val="placeholder"/>
        </w:category>
        <w:types>
          <w:type w:val="bbPlcHdr"/>
        </w:types>
        <w:behaviors>
          <w:behavior w:val="content"/>
        </w:behaviors>
        <w:guid w:val="{F76E41C7-6D53-49BE-BF49-BB81C681AF02}"/>
      </w:docPartPr>
      <w:docPartBody>
        <w:p w:rsidR="00706C5E" w:rsidRDefault="001A13B2" w:rsidP="001A13B2">
          <w:pPr>
            <w:pStyle w:val="6F6F89CED01A49388FD499E651FF3B84"/>
          </w:pPr>
          <w:r w:rsidRPr="00C32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1A13B2"/>
    <w:rsid w:val="002E421E"/>
    <w:rsid w:val="0038244E"/>
    <w:rsid w:val="003A49F5"/>
    <w:rsid w:val="004E748C"/>
    <w:rsid w:val="006B4756"/>
    <w:rsid w:val="006F6307"/>
    <w:rsid w:val="00706C5E"/>
    <w:rsid w:val="008121CB"/>
    <w:rsid w:val="00A150B4"/>
    <w:rsid w:val="00AF1359"/>
    <w:rsid w:val="00CD7CAC"/>
    <w:rsid w:val="00D7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3B2"/>
    <w:rPr>
      <w:color w:val="808080"/>
    </w:rPr>
  </w:style>
  <w:style w:type="paragraph" w:customStyle="1" w:styleId="FB71CF09390148EC9ED190704C330C6C">
    <w:name w:val="FB71CF09390148EC9ED190704C330C6C"/>
    <w:rsid w:val="001A13B2"/>
  </w:style>
  <w:style w:type="paragraph" w:customStyle="1" w:styleId="6F6F89CED01A49388FD499E651FF3B84">
    <w:name w:val="6F6F89CED01A49388FD499E651FF3B84"/>
    <w:rsid w:val="001A1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1910</Words>
  <Characters>10568</Characters>
  <Application>Microsoft Office Word</Application>
  <DocSecurity>0</DocSecurity>
  <Lines>364</Lines>
  <Paragraphs>319</Paragraphs>
  <ScaleCrop>false</ScaleCrop>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78</cp:revision>
  <dcterms:created xsi:type="dcterms:W3CDTF">2022-03-06T09:06:00Z</dcterms:created>
  <dcterms:modified xsi:type="dcterms:W3CDTF">2023-04-17T14:41:00Z</dcterms:modified>
</cp:coreProperties>
</file>