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ibre Caslon Display" w:hAnsi="Libre Caslon Display" w:eastAsiaTheme="majorEastAsia" w:cstheme="majorBidi"/>
          <w:color w:val="1F4B18"/>
          <w:sz w:val="50"/>
          <w:szCs w:val="50"/>
        </w:rPr>
        <w:id w:val="2114783370"/>
        <w:docPartObj>
          <w:docPartGallery w:val="Cover Pages"/>
          <w:docPartUnique/>
        </w:docPartObj>
      </w:sdtPr>
      <w:sdtEndPr>
        <w:rPr>
          <w:rFonts w:ascii="Roboto Lt" w:hAnsi="Roboto Lt" w:eastAsiaTheme="minorHAnsi" w:cstheme="minorBidi"/>
          <w:noProof/>
          <w:color w:val="auto"/>
          <w:sz w:val="22"/>
          <w:szCs w:val="24"/>
        </w:rPr>
      </w:sdtEndPr>
      <w:sdtContent>
        <w:sdt>
          <w:sdtPr>
            <w:rPr>
              <w:rFonts w:ascii="Libre Caslon Display" w:hAnsi="Libre Caslon Display" w:eastAsiaTheme="majorEastAsia" w:cstheme="majorBidi"/>
              <w:color w:val="1F4B18"/>
              <w:sz w:val="50"/>
              <w:szCs w:val="50"/>
            </w:rPr>
            <w:alias w:val="Customer Name"/>
            <w:tag w:val="Customer Name"/>
            <w:id w:val="-2104867031"/>
            <w:placeholder>
              <w:docPart w:val="DefaultPlaceholder_-1854013440"/>
            </w:placeholder>
            <w:showingPlcHdr/>
            <w:text/>
          </w:sdtPr>
          <w:sdtEndPr/>
          <w:sdtContent>
            <w:p w:rsidR="00445CAC" w:rsidP="00ED74A3" w:rsidRDefault="00445CAC" w14:paraId="60D4A330" w14:textId="212D393A">
              <w:pPr>
                <w:rPr>
                  <w:rFonts w:ascii="Libre Caslon Display" w:hAnsi="Libre Caslon Display" w:eastAsiaTheme="majorEastAsia" w:cstheme="majorBidi"/>
                  <w:color w:val="1F4B18"/>
                  <w:sz w:val="50"/>
                  <w:szCs w:val="50"/>
                </w:rPr>
              </w:pPr>
              <w:r w:rsidRPr="00445CAC">
                <w:rPr>
                  <w:rFonts w:ascii="Libre Caslon Display" w:hAnsi="Libre Caslon Display" w:eastAsiaTheme="majorEastAsia" w:cstheme="majorBidi"/>
                  <w:color w:val="1F4B18"/>
                  <w:sz w:val="36"/>
                  <w:szCs w:val="36"/>
                </w:rPr>
                <w:t>Upwell Health Centre and Welle Ltd (Pharmacy)</w:t>
              </w:r>
            </w:p>
          </w:sdtContent>
        </w:sdt>
        <w:p w:rsidRPr="00A708FD" w:rsidR="00ED74A3" w:rsidP="00ED74A3" w:rsidRDefault="00A708FD" w14:paraId="31130D4B" w14:textId="79A8EE8D">
          <w:pPr>
            <w:rPr>
              <w:rFonts w:ascii="Libre Caslon Display" w:hAnsi="Libre Caslon Display" w:eastAsiaTheme="majorEastAsia" w:cstheme="majorBidi"/>
              <w:color w:val="1F4B18"/>
              <w:sz w:val="50"/>
              <w:szCs w:val="50"/>
            </w:rPr>
          </w:pPr>
          <w:r w:rsidRPr="00A708FD">
            <w:rPr>
              <w:rFonts w:ascii="Libre Caslon Display" w:hAnsi="Libre Caslon Display" w:eastAsiaTheme="majorEastAsia" w:cstheme="majorBidi"/>
              <w:color w:val="1F4B18"/>
              <w:sz w:val="50"/>
              <w:szCs w:val="50"/>
            </w:rPr>
            <w:t xml:space="preserve">National Data </w:t>
          </w:r>
          <w:proofErr w:type="spellStart"/>
          <w:r w:rsidRPr="00A708FD">
            <w:rPr>
              <w:rFonts w:ascii="Libre Caslon Display" w:hAnsi="Libre Caslon Display" w:eastAsiaTheme="majorEastAsia" w:cstheme="majorBidi"/>
              <w:color w:val="1F4B18"/>
              <w:sz w:val="50"/>
              <w:szCs w:val="50"/>
            </w:rPr>
            <w:t>Opt</w:t>
          </w:r>
          <w:proofErr w:type="spellEnd"/>
          <w:r w:rsidRPr="00A708FD">
            <w:rPr>
              <w:rFonts w:ascii="Libre Caslon Display" w:hAnsi="Libre Caslon Display" w:eastAsiaTheme="majorEastAsia" w:cstheme="majorBidi"/>
              <w:color w:val="1F4B18"/>
              <w:sz w:val="50"/>
              <w:szCs w:val="50"/>
            </w:rPr>
            <w:t xml:space="preserve"> Out Protocol</w:t>
          </w:r>
        </w:p>
        <w:p w:rsidR="00546579" w:rsidP="00ED74A3" w:rsidRDefault="00546579" w14:paraId="24EB551E" w14:textId="77777777">
          <w:pPr>
            <w:rPr>
              <w:rFonts w:ascii="Libre Caslon Display" w:hAnsi="Libre Caslon Display" w:eastAsiaTheme="majorEastAsia" w:cstheme="majorBidi"/>
              <w:color w:val="1F4B18"/>
              <w:sz w:val="40"/>
              <w:szCs w:val="40"/>
            </w:rPr>
          </w:pPr>
        </w:p>
        <w:p w:rsidR="00546579" w:rsidP="00ED74A3" w:rsidRDefault="00546579" w14:paraId="5CE28CE1" w14:textId="77777777">
          <w:pPr>
            <w:rPr>
              <w:noProof/>
              <w:sz w:val="4"/>
              <w:szCs w:val="4"/>
            </w:rPr>
          </w:pPr>
        </w:p>
        <w:p w:rsidR="00546579" w:rsidP="00ED74A3" w:rsidRDefault="00546579" w14:paraId="64645E84" w14:textId="77777777">
          <w:pPr>
            <w:rPr>
              <w:noProof/>
              <w:sz w:val="4"/>
              <w:szCs w:val="4"/>
            </w:rPr>
          </w:pPr>
        </w:p>
        <w:p w:rsidR="00546579" w:rsidP="00ED74A3" w:rsidRDefault="00546579" w14:paraId="5F3604DA" w14:textId="77777777">
          <w:pPr>
            <w:rPr>
              <w:noProof/>
              <w:sz w:val="4"/>
              <w:szCs w:val="4"/>
            </w:rPr>
          </w:pPr>
        </w:p>
        <w:p w:rsidR="00546579" w:rsidP="00ED74A3" w:rsidRDefault="00546579" w14:paraId="5D47C232" w14:textId="77777777">
          <w:pPr>
            <w:rPr>
              <w:noProof/>
              <w:sz w:val="4"/>
              <w:szCs w:val="4"/>
            </w:rPr>
          </w:pPr>
        </w:p>
        <w:p w:rsidR="00546579" w:rsidP="00ED74A3" w:rsidRDefault="00546579" w14:paraId="6DB02F69" w14:textId="77777777">
          <w:pPr>
            <w:rPr>
              <w:noProof/>
              <w:sz w:val="4"/>
              <w:szCs w:val="4"/>
            </w:rPr>
          </w:pPr>
        </w:p>
        <w:p w:rsidR="00546579" w:rsidP="00ED74A3" w:rsidRDefault="00546579" w14:paraId="78B73AE4" w14:textId="77777777">
          <w:pPr>
            <w:rPr>
              <w:noProof/>
              <w:sz w:val="4"/>
              <w:szCs w:val="4"/>
            </w:rPr>
          </w:pPr>
        </w:p>
        <w:tbl>
          <w:tblPr>
            <w:tblStyle w:val="TableGrid"/>
            <w:tblW w:w="0" w:type="auto"/>
            <w:tblLook w:val="04A0" w:firstRow="1" w:lastRow="0" w:firstColumn="1" w:lastColumn="0" w:noHBand="0" w:noVBand="1"/>
          </w:tblPr>
          <w:tblGrid>
            <w:gridCol w:w="1129"/>
            <w:gridCol w:w="2127"/>
            <w:gridCol w:w="2268"/>
            <w:gridCol w:w="3492"/>
          </w:tblGrid>
          <w:tr w:rsidR="00546579" w:rsidTr="00A6547B" w14:paraId="3A9EA582" w14:textId="77777777">
            <w:tc>
              <w:tcPr>
                <w:tcW w:w="1129" w:type="dxa"/>
                <w:shd w:val="clear" w:color="auto" w:fill="000000" w:themeFill="text1"/>
              </w:tcPr>
              <w:p w:rsidR="00546579" w:rsidP="00ED74A3" w:rsidRDefault="00546579" w14:paraId="2A919376" w14:textId="7C6F092D">
                <w:pPr>
                  <w:rPr>
                    <w:noProof/>
                    <w:sz w:val="24"/>
                  </w:rPr>
                </w:pPr>
                <w:r>
                  <w:rPr>
                    <w:noProof/>
                    <w:sz w:val="24"/>
                  </w:rPr>
                  <w:t>Version</w:t>
                </w:r>
              </w:p>
            </w:tc>
            <w:tc>
              <w:tcPr>
                <w:tcW w:w="2127" w:type="dxa"/>
                <w:shd w:val="clear" w:color="auto" w:fill="000000" w:themeFill="text1"/>
              </w:tcPr>
              <w:p w:rsidR="00546579" w:rsidP="00ED74A3" w:rsidRDefault="00546579" w14:paraId="2DD2D94E" w14:textId="6E0AA224">
                <w:pPr>
                  <w:rPr>
                    <w:noProof/>
                    <w:sz w:val="24"/>
                  </w:rPr>
                </w:pPr>
                <w:r>
                  <w:rPr>
                    <w:noProof/>
                    <w:sz w:val="24"/>
                  </w:rPr>
                  <w:t>Author</w:t>
                </w:r>
              </w:p>
            </w:tc>
            <w:tc>
              <w:tcPr>
                <w:tcW w:w="2268" w:type="dxa"/>
                <w:shd w:val="clear" w:color="auto" w:fill="000000" w:themeFill="text1"/>
              </w:tcPr>
              <w:p w:rsidR="00546579" w:rsidP="00ED74A3" w:rsidRDefault="00546579" w14:paraId="0CE74B19" w14:textId="60496B02">
                <w:pPr>
                  <w:rPr>
                    <w:noProof/>
                    <w:sz w:val="24"/>
                  </w:rPr>
                </w:pPr>
                <w:r>
                  <w:rPr>
                    <w:noProof/>
                    <w:sz w:val="24"/>
                  </w:rPr>
                  <w:t>Owner</w:t>
                </w:r>
              </w:p>
            </w:tc>
            <w:tc>
              <w:tcPr>
                <w:tcW w:w="3492" w:type="dxa"/>
                <w:shd w:val="clear" w:color="auto" w:fill="000000" w:themeFill="text1"/>
              </w:tcPr>
              <w:p w:rsidR="00546579" w:rsidP="00ED74A3" w:rsidRDefault="00546579" w14:paraId="2038B5AE" w14:textId="7CD49FE5">
                <w:pPr>
                  <w:rPr>
                    <w:noProof/>
                    <w:sz w:val="24"/>
                  </w:rPr>
                </w:pPr>
                <w:r>
                  <w:rPr>
                    <w:noProof/>
                    <w:sz w:val="24"/>
                  </w:rPr>
                  <w:t>Notes</w:t>
                </w:r>
              </w:p>
            </w:tc>
          </w:tr>
          <w:tr w:rsidR="00546579" w:rsidTr="00A6547B" w14:paraId="74A74198" w14:textId="77777777">
            <w:tc>
              <w:tcPr>
                <w:tcW w:w="1129" w:type="dxa"/>
              </w:tcPr>
              <w:p w:rsidRPr="00A6547B" w:rsidR="00546579" w:rsidP="00ED74A3" w:rsidRDefault="000E2D2B" w14:paraId="73404923" w14:textId="718A5A6C">
                <w:pPr>
                  <w:rPr>
                    <w:noProof/>
                    <w:sz w:val="20"/>
                    <w:szCs w:val="20"/>
                  </w:rPr>
                </w:pPr>
                <w:r w:rsidRPr="00A6547B">
                  <w:rPr>
                    <w:noProof/>
                    <w:sz w:val="20"/>
                    <w:szCs w:val="20"/>
                  </w:rPr>
                  <w:t>V1</w:t>
                </w:r>
              </w:p>
            </w:tc>
            <w:tc>
              <w:tcPr>
                <w:tcW w:w="2127" w:type="dxa"/>
              </w:tcPr>
              <w:p w:rsidRPr="00A6547B" w:rsidR="00546579" w:rsidP="00ED74A3" w:rsidRDefault="000E2D2B" w14:paraId="0442A68D" w14:textId="128C4BF1">
                <w:pPr>
                  <w:rPr>
                    <w:noProof/>
                    <w:sz w:val="20"/>
                    <w:szCs w:val="20"/>
                  </w:rPr>
                </w:pPr>
                <w:r w:rsidRPr="00A6547B">
                  <w:rPr>
                    <w:noProof/>
                    <w:sz w:val="20"/>
                    <w:szCs w:val="20"/>
                  </w:rPr>
                  <w:t>Primary Care DPO (Kafico)</w:t>
                </w:r>
              </w:p>
            </w:tc>
            <w:sdt>
              <w:sdtPr>
                <w:rPr>
                  <w:noProof/>
                  <w:sz w:val="20"/>
                  <w:szCs w:val="20"/>
                </w:rPr>
                <w:alias w:val="Policy owner"/>
                <w:tag w:val="Policy owner"/>
                <w:id w:val="-1178192203"/>
                <w:placeholder>
                  <w:docPart w:val="DefaultPlaceholder_-1854013440"/>
                </w:placeholder>
                <w:showingPlcHdr/>
                <w:text/>
              </w:sdtPr>
              <w:sdtEndPr/>
              <w:sdtContent>
                <w:tc>
                  <w:tcPr>
                    <w:tcW w:w="2268" w:type="dxa"/>
                  </w:tcPr>
                  <w:p w:rsidRPr="00A6547B" w:rsidR="00546579" w:rsidP="00ED74A3" w:rsidRDefault="00DF158C" w14:paraId="0BFC12D1" w14:textId="04BC5423">
                    <w:pPr>
                      <w:rPr>
                        <w:noProof/>
                        <w:sz w:val="20"/>
                        <w:szCs w:val="20"/>
                      </w:rPr>
                    </w:pPr>
                    <w:r w:rsidRPr="00A6547B">
                      <w:rPr>
                        <w:noProof/>
                        <w:sz w:val="20"/>
                        <w:szCs w:val="20"/>
                      </w:rPr>
                      <w:t>Stephen Reeves</w:t>
                    </w:r>
                  </w:p>
                </w:tc>
              </w:sdtContent>
            </w:sdt>
            <w:tc>
              <w:tcPr>
                <w:tcW w:w="3492" w:type="dxa"/>
              </w:tcPr>
              <w:p w:rsidRPr="00A6547B" w:rsidR="00546579" w:rsidP="00ED74A3" w:rsidRDefault="00A6547B" w14:paraId="606A9A1D" w14:textId="5956ACBE">
                <w:pPr>
                  <w:rPr>
                    <w:noProof/>
                    <w:sz w:val="20"/>
                    <w:szCs w:val="20"/>
                  </w:rPr>
                </w:pPr>
                <w:r>
                  <w:rPr>
                    <w:noProof/>
                    <w:sz w:val="20"/>
                    <w:szCs w:val="20"/>
                  </w:rPr>
                  <w:t>Original draft</w:t>
                </w:r>
              </w:p>
            </w:tc>
          </w:tr>
          <w:tr w:rsidR="00BB4B7F" w:rsidTr="00A6547B" w14:paraId="7FD90F63" w14:textId="77777777">
            <w:tc>
              <w:tcPr>
                <w:tcW w:w="1129" w:type="dxa"/>
              </w:tcPr>
              <w:p w:rsidRPr="00A6547B" w:rsidR="00BB4B7F" w:rsidP="00BB4B7F" w:rsidRDefault="00BB4B7F" w14:paraId="4F8C561C" w14:textId="38FDFFA0">
                <w:pPr>
                  <w:rPr>
                    <w:noProof/>
                    <w:sz w:val="20"/>
                    <w:szCs w:val="20"/>
                  </w:rPr>
                </w:pPr>
                <w:r w:rsidRPr="00A6547B">
                  <w:rPr>
                    <w:noProof/>
                    <w:sz w:val="20"/>
                    <w:szCs w:val="20"/>
                  </w:rPr>
                  <w:t>V1</w:t>
                </w:r>
              </w:p>
            </w:tc>
            <w:tc>
              <w:tcPr>
                <w:tcW w:w="2127" w:type="dxa"/>
              </w:tcPr>
              <w:p w:rsidRPr="00A6547B" w:rsidR="00BB4B7F" w:rsidP="00BB4B7F" w:rsidRDefault="00BB4B7F" w14:paraId="55D04D9B" w14:textId="74B1721B">
                <w:pPr>
                  <w:rPr>
                    <w:noProof/>
                    <w:sz w:val="20"/>
                    <w:szCs w:val="20"/>
                  </w:rPr>
                </w:pPr>
                <w:r w:rsidRPr="00A6547B">
                  <w:rPr>
                    <w:noProof/>
                    <w:sz w:val="20"/>
                    <w:szCs w:val="20"/>
                  </w:rPr>
                  <w:t>Primary Care DPO (Kafico)</w:t>
                </w:r>
              </w:p>
            </w:tc>
            <w:sdt>
              <w:sdtPr>
                <w:rPr>
                  <w:noProof/>
                  <w:sz w:val="20"/>
                  <w:szCs w:val="20"/>
                </w:rPr>
                <w:alias w:val="Policy owner"/>
                <w:tag w:val="Policy owner"/>
                <w:id w:val="-815486994"/>
                <w:placeholder>
                  <w:docPart w:val="5D8CD7886CC943659CD954AC39FC2C8F"/>
                </w:placeholder>
                <w:showingPlcHdr/>
                <w:text/>
              </w:sdtPr>
              <w:sdtContent>
                <w:tc>
                  <w:tcPr>
                    <w:tcW w:w="2268" w:type="dxa"/>
                  </w:tcPr>
                  <w:p w:rsidRPr="00A6547B" w:rsidR="00BB4B7F" w:rsidP="00BB4B7F" w:rsidRDefault="00BB4B7F" w14:paraId="333E208E" w14:textId="567372B7">
                    <w:pPr>
                      <w:rPr>
                        <w:noProof/>
                        <w:sz w:val="20"/>
                        <w:szCs w:val="20"/>
                      </w:rPr>
                    </w:pPr>
                    <w:r w:rsidRPr="00A6547B">
                      <w:rPr>
                        <w:noProof/>
                        <w:sz w:val="20"/>
                        <w:szCs w:val="20"/>
                      </w:rPr>
                      <w:t>Stephen Reeves</w:t>
                    </w:r>
                  </w:p>
                </w:tc>
              </w:sdtContent>
            </w:sdt>
            <w:tc>
              <w:tcPr>
                <w:tcW w:w="3492" w:type="dxa"/>
              </w:tcPr>
              <w:p w:rsidRPr="00A6547B" w:rsidR="00BB4B7F" w:rsidP="00BB4B7F" w:rsidRDefault="00BB4B7F" w14:paraId="7173BAFA" w14:textId="47BACBDB">
                <w:pPr>
                  <w:rPr>
                    <w:noProof/>
                    <w:sz w:val="20"/>
                    <w:szCs w:val="20"/>
                  </w:rPr>
                </w:pPr>
                <w:r>
                  <w:rPr>
                    <w:noProof/>
                    <w:sz w:val="20"/>
                    <w:szCs w:val="20"/>
                  </w:rPr>
                  <w:t xml:space="preserve">Reviewed and no changes made March 23. </w:t>
                </w:r>
              </w:p>
            </w:tc>
          </w:tr>
        </w:tbl>
        <w:p w:rsidRPr="00546579" w:rsidR="00546579" w:rsidP="00ED74A3" w:rsidRDefault="00546579" w14:paraId="4CEE2859" w14:textId="77777777">
          <w:pPr>
            <w:rPr>
              <w:noProof/>
              <w:sz w:val="24"/>
            </w:rPr>
          </w:pPr>
        </w:p>
        <w:p w:rsidR="00ED74A3" w:rsidP="005F5665" w:rsidRDefault="006919D1" w14:paraId="42F1BF9A" w14:textId="02AAF3B9">
          <w:pPr>
            <w:pStyle w:val="Style1"/>
            <w:ind w:left="360"/>
            <w:rPr>
              <w:noProof/>
            </w:rPr>
          </w:pPr>
          <w:r>
            <w:t>INTRODUCTION</w:t>
          </w:r>
        </w:p>
        <w:p w:rsidR="008F0E90" w:rsidP="00ED74A3" w:rsidRDefault="008F0E90" w14:paraId="0B1F0ABF" w14:textId="77777777">
          <w:pPr>
            <w:rPr>
              <w:noProof/>
            </w:rPr>
          </w:pPr>
        </w:p>
        <w:p w:rsidRPr="00835E82" w:rsidR="00B579A2" w:rsidP="00B579A2" w:rsidRDefault="00B579A2" w14:paraId="1BE6A680" w14:textId="634395F4">
          <w:pPr>
            <w:pStyle w:val="nhsd-t-body"/>
            <w:shd w:val="clear" w:color="auto" w:fill="FFFFFF"/>
            <w:spacing w:before="0" w:beforeAutospacing="0" w:after="0" w:afterAutospacing="0" w:line="360" w:lineRule="auto"/>
            <w:rPr>
              <w:rFonts w:ascii="Roboto Lt" w:hAnsi="Roboto Lt" w:cs="Arial"/>
            </w:rPr>
          </w:pPr>
          <w:r w:rsidRPr="00835E82">
            <w:rPr>
              <w:rFonts w:ascii="Roboto Lt" w:hAnsi="Roboto Lt" w:cs="Arial"/>
            </w:rPr>
            <w:t xml:space="preserve">The National Data </w:t>
          </w:r>
          <w:proofErr w:type="spellStart"/>
          <w:r w:rsidRPr="00835E82">
            <w:rPr>
              <w:rFonts w:ascii="Roboto Lt" w:hAnsi="Roboto Lt" w:cs="Arial"/>
            </w:rPr>
            <w:t>Opt</w:t>
          </w:r>
          <w:proofErr w:type="spellEnd"/>
          <w:r w:rsidRPr="00835E82">
            <w:rPr>
              <w:rFonts w:ascii="Roboto Lt" w:hAnsi="Roboto Lt" w:cs="Arial"/>
            </w:rPr>
            <w:t xml:space="preserve"> Out </w:t>
          </w:r>
          <w:r w:rsidRPr="00835E82" w:rsidR="00E53212">
            <w:rPr>
              <w:rFonts w:ascii="Roboto Lt" w:hAnsi="Roboto Lt" w:cs="Arial"/>
            </w:rPr>
            <w:t xml:space="preserve">(NDO) </w:t>
          </w:r>
          <w:r w:rsidRPr="00835E82">
            <w:rPr>
              <w:rFonts w:ascii="Roboto Lt" w:hAnsi="Roboto Lt" w:cs="Arial"/>
            </w:rPr>
            <w:t>programme allows patients to express their wishes</w:t>
          </w:r>
          <w:r w:rsidRPr="00835E82" w:rsidR="00217B15">
            <w:rPr>
              <w:rFonts w:ascii="Roboto Lt" w:hAnsi="Roboto Lt" w:cs="Arial"/>
            </w:rPr>
            <w:t>,</w:t>
          </w:r>
          <w:r w:rsidRPr="00835E82">
            <w:rPr>
              <w:rFonts w:ascii="Roboto Lt" w:hAnsi="Roboto Lt" w:cs="Arial"/>
            </w:rPr>
            <w:t xml:space="preserve"> at a national level</w:t>
          </w:r>
          <w:r w:rsidRPr="00835E82" w:rsidR="00217B15">
            <w:rPr>
              <w:rFonts w:ascii="Roboto Lt" w:hAnsi="Roboto Lt" w:cs="Arial"/>
            </w:rPr>
            <w:t>,</w:t>
          </w:r>
          <w:r w:rsidRPr="00835E82">
            <w:rPr>
              <w:rFonts w:ascii="Roboto Lt" w:hAnsi="Roboto Lt" w:cs="Arial"/>
            </w:rPr>
            <w:t xml:space="preserve"> and </w:t>
          </w:r>
          <w:r w:rsidRPr="00835E82" w:rsidR="00217B15">
            <w:rPr>
              <w:rFonts w:ascii="Roboto Lt" w:hAnsi="Roboto Lt" w:cs="Arial"/>
            </w:rPr>
            <w:t>‘</w:t>
          </w:r>
          <w:r w:rsidRPr="00835E82">
            <w:rPr>
              <w:rFonts w:ascii="Roboto Lt" w:hAnsi="Roboto Lt" w:cs="Arial"/>
            </w:rPr>
            <w:t>opt out</w:t>
          </w:r>
          <w:r w:rsidRPr="00835E82" w:rsidR="00217B15">
            <w:rPr>
              <w:rFonts w:ascii="Roboto Lt" w:hAnsi="Roboto Lt" w:cs="Arial"/>
            </w:rPr>
            <w:t xml:space="preserve">’ of their confidential information being used for </w:t>
          </w:r>
          <w:r w:rsidRPr="00835E82">
            <w:rPr>
              <w:rFonts w:ascii="Roboto Lt" w:hAnsi="Roboto Lt" w:cs="Arial"/>
            </w:rPr>
            <w:t>planning and research</w:t>
          </w:r>
          <w:r w:rsidRPr="00835E82" w:rsidR="00217B15">
            <w:rPr>
              <w:rFonts w:ascii="Roboto Lt" w:hAnsi="Roboto Lt" w:cs="Arial"/>
            </w:rPr>
            <w:t>.</w:t>
          </w:r>
        </w:p>
        <w:p w:rsidR="00AB116A" w:rsidP="00217B15" w:rsidRDefault="00AB116A" w14:paraId="65510C7F" w14:textId="77777777">
          <w:pPr>
            <w:pStyle w:val="nhsd-t-body"/>
            <w:shd w:val="clear" w:color="auto" w:fill="FFFFFF"/>
            <w:spacing w:before="0" w:beforeAutospacing="0" w:after="0" w:afterAutospacing="0" w:line="360" w:lineRule="auto"/>
            <w:rPr>
              <w:rFonts w:ascii="Roboto Lt" w:hAnsi="Roboto Lt" w:cs="Arial"/>
            </w:rPr>
          </w:pPr>
        </w:p>
        <w:p w:rsidRPr="00835E82" w:rsidR="004126CA" w:rsidP="00217B15" w:rsidRDefault="00217B15" w14:paraId="4DF7A184" w14:textId="4A52CB60">
          <w:pPr>
            <w:pStyle w:val="nhsd-t-body"/>
            <w:shd w:val="clear" w:color="auto" w:fill="FFFFFF"/>
            <w:spacing w:before="0" w:beforeAutospacing="0" w:after="0" w:afterAutospacing="0" w:line="360" w:lineRule="auto"/>
            <w:rPr>
              <w:rFonts w:ascii="Roboto Lt" w:hAnsi="Roboto Lt" w:cs="Arial"/>
            </w:rPr>
          </w:pPr>
          <w:r w:rsidRPr="00835E82">
            <w:rPr>
              <w:rFonts w:ascii="Roboto Lt" w:hAnsi="Roboto Lt" w:cs="Arial"/>
            </w:rPr>
            <w:t xml:space="preserve">When they </w:t>
          </w:r>
          <w:r w:rsidRPr="00835E82" w:rsidR="002308EE">
            <w:rPr>
              <w:rFonts w:ascii="Roboto Lt" w:hAnsi="Roboto Lt" w:cs="Arial"/>
            </w:rPr>
            <w:t xml:space="preserve">register their preferences via </w:t>
          </w:r>
          <w:hyperlink w:history="1" r:id="rId8">
            <w:r w:rsidRPr="00835E82" w:rsidR="00145C65">
              <w:rPr>
                <w:rStyle w:val="Hyperlink"/>
                <w:rFonts w:ascii="Roboto Lt" w:hAnsi="Roboto Lt" w:cs="Arial"/>
                <w:color w:val="auto"/>
              </w:rPr>
              <w:t>https://www.nhs.uk/your-nhs-data-matters/</w:t>
            </w:r>
          </w:hyperlink>
          <w:r w:rsidRPr="00835E82" w:rsidR="00145C65">
            <w:rPr>
              <w:rFonts w:ascii="Roboto Lt" w:hAnsi="Roboto Lt" w:cs="Arial"/>
            </w:rPr>
            <w:t xml:space="preserve">, it will be marked against their NHS Digital record at the </w:t>
          </w:r>
          <w:hyperlink w:history="1" r:id="rId9">
            <w:r w:rsidRPr="00835E82" w:rsidR="00145C65">
              <w:rPr>
                <w:rStyle w:val="Hyperlink"/>
                <w:rFonts w:ascii="Roboto Lt" w:hAnsi="Roboto Lt" w:cs="Arial"/>
                <w:color w:val="auto"/>
              </w:rPr>
              <w:t>NHS Spine</w:t>
            </w:r>
          </w:hyperlink>
          <w:r w:rsidRPr="00835E82" w:rsidR="004126CA">
            <w:rPr>
              <w:rFonts w:ascii="Roboto Lt" w:hAnsi="Roboto Lt" w:cs="Arial"/>
            </w:rPr>
            <w:t>.</w:t>
          </w:r>
        </w:p>
        <w:p w:rsidR="00AB116A" w:rsidP="00217B15" w:rsidRDefault="00AB116A" w14:paraId="0A65F212" w14:textId="77777777">
          <w:pPr>
            <w:pStyle w:val="nhsd-t-body"/>
            <w:shd w:val="clear" w:color="auto" w:fill="FFFFFF"/>
            <w:spacing w:before="0" w:beforeAutospacing="0" w:after="0" w:afterAutospacing="0" w:line="360" w:lineRule="auto"/>
            <w:rPr>
              <w:rFonts w:ascii="Roboto Lt" w:hAnsi="Roboto Lt" w:cs="Arial"/>
            </w:rPr>
          </w:pPr>
        </w:p>
        <w:p w:rsidR="00B579A2" w:rsidP="00217B15" w:rsidRDefault="004126CA" w14:paraId="7A8E355E" w14:textId="7159502E">
          <w:pPr>
            <w:pStyle w:val="nhsd-t-body"/>
            <w:shd w:val="clear" w:color="auto" w:fill="FFFFFF"/>
            <w:spacing w:before="0" w:beforeAutospacing="0" w:after="0" w:afterAutospacing="0" w:line="360" w:lineRule="auto"/>
            <w:rPr>
              <w:rFonts w:ascii="Roboto Lt" w:hAnsi="Roboto Lt" w:cs="Arial"/>
            </w:rPr>
          </w:pPr>
          <w:r w:rsidRPr="00835E82">
            <w:rPr>
              <w:rFonts w:ascii="Roboto Lt" w:hAnsi="Roboto Lt" w:cs="Arial"/>
            </w:rPr>
            <w:t>Health and care providers are responsible for ensuring that planning and research activities locally, take account of the opt out wishes that have been registered at a national level.</w:t>
          </w:r>
        </w:p>
        <w:p w:rsidRPr="00835E82" w:rsidR="00071AC2" w:rsidP="00217B15" w:rsidRDefault="00071AC2" w14:paraId="1BE693C3" w14:textId="77777777">
          <w:pPr>
            <w:pStyle w:val="nhsd-t-body"/>
            <w:shd w:val="clear" w:color="auto" w:fill="FFFFFF"/>
            <w:spacing w:before="0" w:beforeAutospacing="0" w:after="0" w:afterAutospacing="0" w:line="360" w:lineRule="auto"/>
            <w:rPr>
              <w:rFonts w:ascii="Roboto Lt" w:hAnsi="Roboto Lt" w:cs="Arial"/>
            </w:rPr>
          </w:pPr>
        </w:p>
        <w:p w:rsidRPr="00835E82" w:rsidR="0029525C" w:rsidP="004126CA" w:rsidRDefault="004126CA" w14:paraId="3BAB8352" w14:textId="77777777">
          <w:pPr>
            <w:pStyle w:val="nhsd-t-body"/>
            <w:shd w:val="clear" w:color="auto" w:fill="FFFFFF"/>
            <w:spacing w:before="0" w:beforeAutospacing="0" w:after="0" w:afterAutospacing="0" w:line="360" w:lineRule="auto"/>
            <w:rPr>
              <w:rFonts w:ascii="Roboto Lt" w:hAnsi="Roboto Lt" w:cs="Arial"/>
            </w:rPr>
          </w:pPr>
          <w:r w:rsidRPr="00835E82">
            <w:rPr>
              <w:rFonts w:ascii="Roboto Lt" w:hAnsi="Roboto Lt" w:cs="Arial"/>
            </w:rPr>
            <w:t xml:space="preserve">These preferences must be </w:t>
          </w:r>
          <w:r w:rsidRPr="00835E82" w:rsidR="00B579A2">
            <w:rPr>
              <w:rFonts w:ascii="Roboto Lt" w:hAnsi="Roboto Lt" w:cs="Arial"/>
            </w:rPr>
            <w:t>applied before</w:t>
          </w:r>
          <w:r w:rsidRPr="00835E82" w:rsidR="0029525C">
            <w:rPr>
              <w:rFonts w:ascii="Roboto Lt" w:hAnsi="Roboto Lt" w:cs="Arial"/>
            </w:rPr>
            <w:t>;</w:t>
          </w:r>
        </w:p>
        <w:p w:rsidRPr="00835E82" w:rsidR="00A3644C" w:rsidP="00A3644C" w:rsidRDefault="0029525C" w14:paraId="74FD0A95" w14:textId="77777777">
          <w:pPr>
            <w:pStyle w:val="nhsd-t-body"/>
            <w:numPr>
              <w:ilvl w:val="0"/>
              <w:numId w:val="11"/>
            </w:numPr>
            <w:shd w:val="clear" w:color="auto" w:fill="FFFFFF"/>
            <w:spacing w:before="0" w:beforeAutospacing="0" w:after="0" w:afterAutospacing="0" w:line="360" w:lineRule="auto"/>
            <w:rPr>
              <w:rFonts w:ascii="Roboto Lt" w:hAnsi="Roboto Lt" w:cs="Arial"/>
            </w:rPr>
          </w:pPr>
          <w:r w:rsidRPr="00835E82">
            <w:rPr>
              <w:rFonts w:ascii="Roboto Lt" w:hAnsi="Roboto Lt" w:cs="Arial"/>
            </w:rPr>
            <w:t>D</w:t>
          </w:r>
          <w:r w:rsidRPr="00835E82" w:rsidR="00B579A2">
            <w:rPr>
              <w:rFonts w:ascii="Roboto Lt" w:hAnsi="Roboto Lt" w:cs="Arial"/>
            </w:rPr>
            <w:t xml:space="preserve">isclosing </w:t>
          </w:r>
          <w:r w:rsidRPr="00835E82">
            <w:rPr>
              <w:rFonts w:ascii="Roboto Lt" w:hAnsi="Roboto Lt" w:cs="Arial"/>
            </w:rPr>
            <w:t xml:space="preserve">confidential information </w:t>
          </w:r>
          <w:r w:rsidRPr="00835E82" w:rsidR="00B579A2">
            <w:rPr>
              <w:rFonts w:ascii="Roboto Lt" w:hAnsi="Roboto Lt" w:cs="Arial"/>
            </w:rPr>
            <w:t xml:space="preserve">outside </w:t>
          </w:r>
          <w:r w:rsidRPr="00835E82">
            <w:rPr>
              <w:rFonts w:ascii="Roboto Lt" w:hAnsi="Roboto Lt" w:cs="Arial"/>
            </w:rPr>
            <w:t xml:space="preserve">the organisation for </w:t>
          </w:r>
          <w:r w:rsidRPr="00835E82" w:rsidR="00A3644C">
            <w:rPr>
              <w:rFonts w:ascii="Roboto Lt" w:hAnsi="Roboto Lt" w:cs="Arial"/>
            </w:rPr>
            <w:t>research and planning</w:t>
          </w:r>
        </w:p>
        <w:p w:rsidRPr="00835E82" w:rsidR="00B579A2" w:rsidP="00A3644C" w:rsidRDefault="00A3644C" w14:paraId="3CA2522E" w14:textId="31CFE60A">
          <w:pPr>
            <w:pStyle w:val="nhsd-t-body"/>
            <w:numPr>
              <w:ilvl w:val="0"/>
              <w:numId w:val="11"/>
            </w:numPr>
            <w:shd w:val="clear" w:color="auto" w:fill="FFFFFF"/>
            <w:spacing w:before="0" w:beforeAutospacing="0" w:after="0" w:afterAutospacing="0" w:line="360" w:lineRule="auto"/>
            <w:rPr>
              <w:rFonts w:ascii="Roboto Lt" w:hAnsi="Roboto Lt" w:cs="Arial"/>
            </w:rPr>
          </w:pPr>
          <w:r w:rsidRPr="00835E82">
            <w:rPr>
              <w:rFonts w:ascii="Roboto Lt" w:hAnsi="Roboto Lt" w:cs="Arial"/>
            </w:rPr>
            <w:t>U</w:t>
          </w:r>
          <w:r w:rsidRPr="00835E82" w:rsidR="00B579A2">
            <w:rPr>
              <w:rFonts w:ascii="Roboto Lt" w:hAnsi="Roboto Lt" w:cs="Arial"/>
            </w:rPr>
            <w:t xml:space="preserve">sing </w:t>
          </w:r>
          <w:r w:rsidRPr="00835E82">
            <w:rPr>
              <w:rFonts w:ascii="Roboto Lt" w:hAnsi="Roboto Lt" w:cs="Arial"/>
            </w:rPr>
            <w:t xml:space="preserve">confidential information </w:t>
          </w:r>
          <w:r w:rsidRPr="00835E82" w:rsidR="00B579A2">
            <w:rPr>
              <w:rFonts w:ascii="Roboto Lt" w:hAnsi="Roboto Lt" w:cs="Arial"/>
            </w:rPr>
            <w:t xml:space="preserve">internally for </w:t>
          </w:r>
          <w:r w:rsidRPr="00835E82">
            <w:rPr>
              <w:rFonts w:ascii="Roboto Lt" w:hAnsi="Roboto Lt" w:cs="Arial"/>
            </w:rPr>
            <w:t>research and planning</w:t>
          </w:r>
          <w:r w:rsidRPr="00835E82" w:rsidR="00B579A2">
            <w:rPr>
              <w:rFonts w:ascii="Roboto Lt" w:hAnsi="Roboto Lt" w:cs="Arial"/>
            </w:rPr>
            <w:t xml:space="preserve"> purposes</w:t>
          </w:r>
          <w:r w:rsidRPr="00835E82">
            <w:rPr>
              <w:rFonts w:ascii="Roboto Lt" w:hAnsi="Roboto Lt" w:cs="Arial"/>
            </w:rPr>
            <w:t xml:space="preserve"> (in certain circumstances)</w:t>
          </w:r>
        </w:p>
        <w:p w:rsidR="008F0E90" w:rsidP="00C90EF1" w:rsidRDefault="00BB4B7F" w14:paraId="18D89AF1" w14:textId="1ABC8C74">
          <w:pPr>
            <w:rPr>
              <w:noProof/>
            </w:rPr>
          </w:pPr>
        </w:p>
      </w:sdtContent>
    </w:sdt>
    <w:p w:rsidR="00BA1866" w:rsidP="00BA1866" w:rsidRDefault="006919D1" w14:paraId="648B500A" w14:textId="53570FE9">
      <w:pPr>
        <w:pStyle w:val="Style1"/>
        <w:ind w:left="360"/>
        <w:rPr>
          <w:noProof/>
        </w:rPr>
      </w:pPr>
      <w:r>
        <w:lastRenderedPageBreak/>
        <w:t>SCOPE</w:t>
      </w:r>
    </w:p>
    <w:p w:rsidR="00451847" w:rsidP="00C90EF1" w:rsidRDefault="00451847" w14:paraId="5EE1C09F" w14:textId="36DA8305"/>
    <w:p w:rsidRPr="00835E82" w:rsidR="00957599" w:rsidP="00957599" w:rsidRDefault="00957599" w14:paraId="4F30BBE3" w14:textId="05F4EB52">
      <w:pPr>
        <w:rPr>
          <w:sz w:val="24"/>
        </w:rPr>
      </w:pPr>
      <w:r w:rsidRPr="00835E82">
        <w:rPr>
          <w:sz w:val="24"/>
        </w:rPr>
        <w:t>The national data opt-out applies to data that originates within the health and adult</w:t>
      </w:r>
    </w:p>
    <w:p w:rsidRPr="00835E82" w:rsidR="006919D1" w:rsidP="00425395" w:rsidRDefault="00957599" w14:paraId="5E96181F" w14:textId="13420F9A">
      <w:pPr>
        <w:rPr>
          <w:sz w:val="24"/>
        </w:rPr>
      </w:pPr>
      <w:r w:rsidRPr="00835E82">
        <w:rPr>
          <w:sz w:val="24"/>
        </w:rPr>
        <w:t>social care system in England.</w:t>
      </w:r>
      <w:r w:rsidRPr="00835E82" w:rsidR="00425395">
        <w:rPr>
          <w:sz w:val="24"/>
        </w:rPr>
        <w:t xml:space="preserve"> This includes private providers including Any Qualified Providers (AQPs) who provide health and adult social care services which are funded or under contract with a public body, for example NHS England, Clinical Commissioning Group (CCG) or local authority).</w:t>
      </w:r>
    </w:p>
    <w:p w:rsidR="006919D1" w:rsidP="006919D1" w:rsidRDefault="006919D1" w14:paraId="23722E74" w14:textId="5B1B23D2">
      <w:pPr>
        <w:pStyle w:val="Style1"/>
        <w:ind w:left="360"/>
        <w:rPr>
          <w:noProof/>
        </w:rPr>
      </w:pPr>
      <w:r>
        <w:t xml:space="preserve">LEGISLATION </w:t>
      </w:r>
      <w:r w:rsidR="006F3D6C">
        <w:t xml:space="preserve">/ </w:t>
      </w:r>
      <w:r>
        <w:t>FRAMEWORK</w:t>
      </w:r>
    </w:p>
    <w:p w:rsidR="00E41C43" w:rsidP="00E41C43" w:rsidRDefault="00E41C43" w14:paraId="0D040AB4" w14:textId="77777777"/>
    <w:p w:rsidRPr="00835E82" w:rsidR="00E41C43" w:rsidP="003E1D6F" w:rsidRDefault="00023566" w14:paraId="72C9DAA4" w14:textId="155C0413">
      <w:pPr>
        <w:pStyle w:val="ListParagraph"/>
        <w:numPr>
          <w:ilvl w:val="0"/>
          <w:numId w:val="12"/>
        </w:numPr>
        <w:rPr>
          <w:sz w:val="24"/>
        </w:rPr>
      </w:pPr>
      <w:r w:rsidRPr="00835E82">
        <w:rPr>
          <w:sz w:val="24"/>
        </w:rPr>
        <w:t>Common Law Duty of Confidentiality</w:t>
      </w:r>
    </w:p>
    <w:p w:rsidRPr="00835E82" w:rsidR="00023566" w:rsidP="003E1D6F" w:rsidRDefault="00023566" w14:paraId="711ADF9F" w14:textId="07C4A79C">
      <w:pPr>
        <w:pStyle w:val="ListParagraph"/>
        <w:numPr>
          <w:ilvl w:val="0"/>
          <w:numId w:val="12"/>
        </w:numPr>
        <w:rPr>
          <w:sz w:val="24"/>
        </w:rPr>
      </w:pPr>
      <w:r w:rsidRPr="00835E82">
        <w:rPr>
          <w:sz w:val="24"/>
        </w:rPr>
        <w:t>Data Protection Act 2018 / UK General Data Protection Regulations</w:t>
      </w:r>
    </w:p>
    <w:p w:rsidRPr="00835E82" w:rsidR="00023566" w:rsidP="003E1D6F" w:rsidRDefault="001B0D1A" w14:paraId="36E0038F" w14:textId="0A9A91AC">
      <w:pPr>
        <w:pStyle w:val="ListParagraph"/>
        <w:numPr>
          <w:ilvl w:val="0"/>
          <w:numId w:val="12"/>
        </w:numPr>
        <w:rPr>
          <w:sz w:val="24"/>
        </w:rPr>
      </w:pPr>
      <w:r w:rsidRPr="00835E82">
        <w:rPr>
          <w:sz w:val="24"/>
        </w:rPr>
        <w:t>Human Rights Act 1998</w:t>
      </w:r>
    </w:p>
    <w:p w:rsidRPr="00835E82" w:rsidR="00E41C43" w:rsidP="00E41C43" w:rsidRDefault="003E1D6F" w14:paraId="44D5B1D9" w14:textId="38F3BAAE">
      <w:pPr>
        <w:pStyle w:val="ListParagraph"/>
        <w:numPr>
          <w:ilvl w:val="0"/>
          <w:numId w:val="12"/>
        </w:numPr>
        <w:rPr>
          <w:sz w:val="24"/>
        </w:rPr>
      </w:pPr>
      <w:r w:rsidRPr="00835E82">
        <w:rPr>
          <w:sz w:val="24"/>
        </w:rPr>
        <w:t>NHS Act 2006 s 251</w:t>
      </w:r>
    </w:p>
    <w:p w:rsidR="003E1D6F" w:rsidP="003E1D6F" w:rsidRDefault="006E49DF" w14:paraId="680EB058" w14:textId="039548B4">
      <w:pPr>
        <w:pStyle w:val="Style1"/>
        <w:ind w:left="360"/>
        <w:rPr>
          <w:noProof/>
        </w:rPr>
      </w:pPr>
      <w:r>
        <w:t>DIRECT CARE</w:t>
      </w:r>
    </w:p>
    <w:p w:rsidR="00BA1866" w:rsidP="00C90EF1" w:rsidRDefault="00BA1866" w14:paraId="77E12770" w14:textId="77777777"/>
    <w:p w:rsidR="006E49DF" w:rsidP="00C90EF1" w:rsidRDefault="006E49DF" w14:paraId="17D998B7" w14:textId="04AFA5F1">
      <w:pPr>
        <w:rPr>
          <w:sz w:val="24"/>
        </w:rPr>
      </w:pPr>
      <w:r w:rsidRPr="00835E82">
        <w:rPr>
          <w:sz w:val="24"/>
        </w:rPr>
        <w:t xml:space="preserve">Activities performed for direct care purposes </w:t>
      </w:r>
      <w:r w:rsidRPr="00835E82">
        <w:rPr>
          <w:b/>
          <w:bCs/>
          <w:sz w:val="24"/>
          <w:u w:val="single"/>
        </w:rPr>
        <w:t xml:space="preserve">are not </w:t>
      </w:r>
      <w:r w:rsidRPr="00835E82" w:rsidR="00A531B0">
        <w:rPr>
          <w:b/>
          <w:bCs/>
          <w:sz w:val="24"/>
          <w:u w:val="single"/>
        </w:rPr>
        <w:t>in scope</w:t>
      </w:r>
      <w:r w:rsidRPr="00835E82" w:rsidR="00A531B0">
        <w:rPr>
          <w:sz w:val="24"/>
        </w:rPr>
        <w:t xml:space="preserve"> for NDO and do not have to have the opt outs applied.</w:t>
      </w:r>
    </w:p>
    <w:p w:rsidRPr="00835E82" w:rsidR="00835E82" w:rsidP="00C90EF1" w:rsidRDefault="00835E82" w14:paraId="08EEB55D" w14:textId="77777777">
      <w:pPr>
        <w:rPr>
          <w:sz w:val="24"/>
        </w:rPr>
      </w:pPr>
    </w:p>
    <w:p w:rsidRPr="00835E82" w:rsidR="006951B0" w:rsidP="00C90EF1" w:rsidRDefault="006951B0" w14:paraId="118466E8" w14:textId="3557A4BD">
      <w:pPr>
        <w:rPr>
          <w:sz w:val="24"/>
        </w:rPr>
      </w:pPr>
      <w:r w:rsidRPr="00835E82">
        <w:rPr>
          <w:sz w:val="24"/>
        </w:rPr>
        <w:t>Direct Care is;</w:t>
      </w:r>
    </w:p>
    <w:p w:rsidRPr="00835E82" w:rsidR="006951B0" w:rsidP="00835E82" w:rsidRDefault="006951B0" w14:paraId="252EE9A7" w14:textId="77777777">
      <w:pPr>
        <w:pStyle w:val="ListParagraph"/>
        <w:numPr>
          <w:ilvl w:val="0"/>
          <w:numId w:val="14"/>
        </w:numPr>
        <w:rPr>
          <w:sz w:val="24"/>
        </w:rPr>
      </w:pPr>
      <w:r w:rsidRPr="00835E82">
        <w:rPr>
          <w:sz w:val="24"/>
        </w:rPr>
        <w:t xml:space="preserve">activity concerned with the prevention, investigation and treatment of illness and the alleviation of suffering of individuals. </w:t>
      </w:r>
    </w:p>
    <w:p w:rsidRPr="00835E82" w:rsidR="006951B0" w:rsidP="00835E82" w:rsidRDefault="006951B0" w14:paraId="13C67E51" w14:textId="77777777">
      <w:pPr>
        <w:pStyle w:val="ListParagraph"/>
        <w:numPr>
          <w:ilvl w:val="0"/>
          <w:numId w:val="14"/>
        </w:numPr>
        <w:rPr>
          <w:sz w:val="24"/>
        </w:rPr>
      </w:pPr>
      <w:r w:rsidRPr="00835E82">
        <w:rPr>
          <w:sz w:val="24"/>
        </w:rPr>
        <w:t xml:space="preserve">Includes supporting individuals’ ability to function and improve their participation in life and society. </w:t>
      </w:r>
    </w:p>
    <w:p w:rsidRPr="00835E82" w:rsidR="006951B0" w:rsidP="00835E82" w:rsidRDefault="006951B0" w14:paraId="40E8AA50" w14:textId="74FB575D">
      <w:pPr>
        <w:pStyle w:val="ListParagraph"/>
        <w:numPr>
          <w:ilvl w:val="0"/>
          <w:numId w:val="14"/>
        </w:numPr>
        <w:rPr>
          <w:sz w:val="24"/>
        </w:rPr>
      </w:pPr>
      <w:r w:rsidRPr="00835E82">
        <w:rPr>
          <w:sz w:val="24"/>
        </w:rPr>
        <w:t>It includes the assurance of safe and high-quality care and treatment through local audit,</w:t>
      </w:r>
    </w:p>
    <w:p w:rsidRPr="00835E82" w:rsidR="006951B0" w:rsidP="00835E82" w:rsidRDefault="006951B0" w14:paraId="38DAA471" w14:textId="77777777">
      <w:pPr>
        <w:pStyle w:val="ListParagraph"/>
        <w:numPr>
          <w:ilvl w:val="0"/>
          <w:numId w:val="14"/>
        </w:numPr>
        <w:rPr>
          <w:sz w:val="24"/>
        </w:rPr>
      </w:pPr>
      <w:r w:rsidRPr="00835E82">
        <w:rPr>
          <w:sz w:val="24"/>
        </w:rPr>
        <w:t>Incident Management</w:t>
      </w:r>
    </w:p>
    <w:p w:rsidRPr="00835E82" w:rsidR="006951B0" w:rsidP="00835E82" w:rsidRDefault="006951B0" w14:paraId="36E353AD" w14:textId="77777777">
      <w:pPr>
        <w:pStyle w:val="ListParagraph"/>
        <w:numPr>
          <w:ilvl w:val="0"/>
          <w:numId w:val="14"/>
        </w:numPr>
        <w:rPr>
          <w:sz w:val="24"/>
        </w:rPr>
      </w:pPr>
      <w:r w:rsidRPr="00835E82">
        <w:rPr>
          <w:sz w:val="24"/>
        </w:rPr>
        <w:lastRenderedPageBreak/>
        <w:t xml:space="preserve">Measurement of outcomes </w:t>
      </w:r>
    </w:p>
    <w:p w:rsidRPr="00835E82" w:rsidR="006951B0" w:rsidP="00835E82" w:rsidRDefault="006951B0" w14:paraId="4A0DD868" w14:textId="3B2F52EB">
      <w:pPr>
        <w:rPr>
          <w:sz w:val="24"/>
        </w:rPr>
      </w:pPr>
      <w:r w:rsidRPr="00835E82">
        <w:rPr>
          <w:sz w:val="24"/>
        </w:rPr>
        <w:t>As long as the activities are undertaken by</w:t>
      </w:r>
      <w:r w:rsidRPr="00835E82" w:rsidR="004F3C5D">
        <w:rPr>
          <w:sz w:val="24"/>
        </w:rPr>
        <w:t>,</w:t>
      </w:r>
      <w:r w:rsidRPr="00835E82" w:rsidR="004626AB">
        <w:rPr>
          <w:sz w:val="24"/>
        </w:rPr>
        <w:t xml:space="preserve"> or under the oversight of</w:t>
      </w:r>
      <w:r w:rsidRPr="00835E82" w:rsidR="004F3C5D">
        <w:rPr>
          <w:sz w:val="24"/>
        </w:rPr>
        <w:t>,</w:t>
      </w:r>
      <w:r w:rsidRPr="00835E82">
        <w:rPr>
          <w:sz w:val="24"/>
        </w:rPr>
        <w:t xml:space="preserve"> one or more registered and regulated health or social care professionals and their team with whom the </w:t>
      </w:r>
      <w:r w:rsidRPr="00835E82" w:rsidR="004626AB">
        <w:rPr>
          <w:sz w:val="24"/>
        </w:rPr>
        <w:t>patient</w:t>
      </w:r>
      <w:r w:rsidRPr="00835E82">
        <w:rPr>
          <w:sz w:val="24"/>
        </w:rPr>
        <w:t xml:space="preserve"> has a legitimate relationship</w:t>
      </w:r>
      <w:r w:rsidRPr="00835E82" w:rsidR="004626AB">
        <w:rPr>
          <w:sz w:val="24"/>
        </w:rPr>
        <w:t>.</w:t>
      </w:r>
    </w:p>
    <w:p w:rsidR="004F3C5D" w:rsidP="006951B0" w:rsidRDefault="004F3C5D" w14:paraId="34AB64D1" w14:textId="77777777">
      <w:pPr>
        <w:spacing w:before="100" w:beforeAutospacing="1" w:after="100" w:afterAutospacing="1"/>
        <w:rPr>
          <w:rFonts w:eastAsia="Times New Roman" w:cs="Arial"/>
          <w:color w:val="3F525F"/>
          <w:sz w:val="24"/>
          <w:lang w:eastAsia="en-GB"/>
        </w:rPr>
      </w:pPr>
    </w:p>
    <w:p w:rsidRPr="00835E82" w:rsidR="004F3C5D" w:rsidP="00835E82" w:rsidRDefault="004F3C5D" w14:paraId="08481084" w14:textId="1C08F70C">
      <w:pPr>
        <w:rPr>
          <w:b/>
          <w:bCs/>
          <w:sz w:val="24"/>
        </w:rPr>
      </w:pPr>
      <w:r w:rsidRPr="00835E82">
        <w:rPr>
          <w:b/>
          <w:bCs/>
          <w:sz w:val="24"/>
        </w:rPr>
        <w:t xml:space="preserve">Local Audit </w:t>
      </w:r>
    </w:p>
    <w:p w:rsidRPr="00835E82" w:rsidR="00FA10CC" w:rsidP="00835E82" w:rsidRDefault="00B66165" w14:paraId="127D554D" w14:textId="77777777">
      <w:pPr>
        <w:rPr>
          <w:sz w:val="24"/>
        </w:rPr>
      </w:pPr>
      <w:r w:rsidRPr="00835E82">
        <w:rPr>
          <w:sz w:val="24"/>
        </w:rPr>
        <w:t xml:space="preserve">Audits performed with the participation of a health and social care professional who has a legitimate relationship with the patients, through implied consent (they </w:t>
      </w:r>
      <w:r w:rsidRPr="00835E82" w:rsidR="00FA10CC">
        <w:rPr>
          <w:sz w:val="24"/>
        </w:rPr>
        <w:t xml:space="preserve">either </w:t>
      </w:r>
      <w:r w:rsidRPr="00835E82">
        <w:rPr>
          <w:sz w:val="24"/>
        </w:rPr>
        <w:t xml:space="preserve">know </w:t>
      </w:r>
      <w:r w:rsidRPr="00835E82" w:rsidR="00FA10CC">
        <w:rPr>
          <w:sz w:val="24"/>
        </w:rPr>
        <w:t xml:space="preserve">about the activity </w:t>
      </w:r>
      <w:r w:rsidRPr="00835E82">
        <w:rPr>
          <w:sz w:val="24"/>
        </w:rPr>
        <w:t xml:space="preserve">or </w:t>
      </w:r>
      <w:r w:rsidRPr="00835E82" w:rsidR="00FA10CC">
        <w:rPr>
          <w:sz w:val="24"/>
        </w:rPr>
        <w:t xml:space="preserve">would reasonably </w:t>
      </w:r>
      <w:r w:rsidRPr="00835E82">
        <w:rPr>
          <w:sz w:val="24"/>
        </w:rPr>
        <w:t xml:space="preserve">expect </w:t>
      </w:r>
      <w:r w:rsidRPr="00835E82" w:rsidR="00FA10CC">
        <w:rPr>
          <w:sz w:val="24"/>
        </w:rPr>
        <w:t>the activity</w:t>
      </w:r>
      <w:r w:rsidRPr="00835E82">
        <w:rPr>
          <w:sz w:val="24"/>
        </w:rPr>
        <w:t xml:space="preserve">). </w:t>
      </w:r>
    </w:p>
    <w:p w:rsidRPr="00835E82" w:rsidR="00FA10CC" w:rsidP="00835E82" w:rsidRDefault="00FA10CC" w14:paraId="067B8CEA" w14:textId="77777777">
      <w:pPr>
        <w:rPr>
          <w:sz w:val="24"/>
        </w:rPr>
      </w:pPr>
    </w:p>
    <w:p w:rsidRPr="00835E82" w:rsidR="00FA10CC" w:rsidP="00835E82" w:rsidRDefault="00FA10CC" w14:paraId="41722FC4" w14:textId="77777777">
      <w:pPr>
        <w:rPr>
          <w:b/>
          <w:bCs/>
          <w:sz w:val="24"/>
        </w:rPr>
      </w:pPr>
      <w:r w:rsidRPr="00835E82">
        <w:rPr>
          <w:b/>
          <w:bCs/>
          <w:sz w:val="24"/>
        </w:rPr>
        <w:t>If the above audits were happening across organisations (i.e. across the PCN) the data would need to be anonymised, consent obtained or the NDO opt outs applied before disclosure.</w:t>
      </w:r>
    </w:p>
    <w:p w:rsidR="00085361" w:rsidP="00085361" w:rsidRDefault="00085361" w14:paraId="72668DBA" w14:textId="4214A708">
      <w:pPr>
        <w:pStyle w:val="Style1"/>
        <w:ind w:left="360"/>
        <w:rPr>
          <w:noProof/>
        </w:rPr>
      </w:pPr>
      <w:r>
        <w:t>NOT DIRECT CARE</w:t>
      </w:r>
    </w:p>
    <w:p w:rsidR="00085361" w:rsidP="00085361" w:rsidRDefault="00085361" w14:paraId="63581DDE" w14:textId="77777777">
      <w:pPr>
        <w:spacing w:before="100" w:beforeAutospacing="1" w:after="100" w:afterAutospacing="1"/>
        <w:rPr>
          <w:rFonts w:eastAsia="Times New Roman" w:cs="Arial"/>
          <w:color w:val="3F525F"/>
          <w:sz w:val="24"/>
          <w:lang w:eastAsia="en-GB"/>
        </w:rPr>
      </w:pPr>
    </w:p>
    <w:p w:rsidR="00085361" w:rsidP="00085361" w:rsidRDefault="00835E82" w14:paraId="396E7279" w14:textId="64DB9B60">
      <w:pPr>
        <w:rPr>
          <w:sz w:val="24"/>
        </w:rPr>
      </w:pPr>
      <w:r w:rsidRPr="00835E82">
        <w:rPr>
          <w:sz w:val="24"/>
        </w:rPr>
        <w:t>Planning or research activities that are not</w:t>
      </w:r>
      <w:r w:rsidRPr="00835E82" w:rsidR="00085361">
        <w:rPr>
          <w:sz w:val="24"/>
        </w:rPr>
        <w:t xml:space="preserve"> direct care purposes are</w:t>
      </w:r>
      <w:r w:rsidRPr="00835E82" w:rsidR="00085361">
        <w:rPr>
          <w:b/>
          <w:bCs/>
          <w:sz w:val="24"/>
          <w:u w:val="single"/>
        </w:rPr>
        <w:t xml:space="preserve"> in scope</w:t>
      </w:r>
      <w:r w:rsidRPr="00835E82" w:rsidR="00085361">
        <w:rPr>
          <w:sz w:val="24"/>
        </w:rPr>
        <w:t xml:space="preserve"> for NDO and </w:t>
      </w:r>
      <w:r>
        <w:rPr>
          <w:sz w:val="24"/>
        </w:rPr>
        <w:t>must</w:t>
      </w:r>
      <w:r w:rsidRPr="00835E82" w:rsidR="00085361">
        <w:rPr>
          <w:sz w:val="24"/>
        </w:rPr>
        <w:t xml:space="preserve"> have to have the opt outs applied.</w:t>
      </w:r>
    </w:p>
    <w:p w:rsidR="00FE3AD3" w:rsidP="00FE3AD3" w:rsidRDefault="00FE3AD3" w14:paraId="5E8003B0" w14:textId="351903E6">
      <w:pPr>
        <w:rPr>
          <w:sz w:val="24"/>
        </w:rPr>
      </w:pPr>
      <w:r>
        <w:rPr>
          <w:sz w:val="24"/>
        </w:rPr>
        <w:t xml:space="preserve">These are </w:t>
      </w:r>
      <w:r w:rsidRPr="00FE3AD3">
        <w:rPr>
          <w:sz w:val="24"/>
        </w:rPr>
        <w:t>“Activities that contribute to the overall provision of services to a population as a whole or a group of patients with a particular condition, but which fall outside the scope of direct care. It covers health services management, preventative medicine, and medical research.</w:t>
      </w:r>
      <w:r w:rsidR="00FD184C">
        <w:rPr>
          <w:sz w:val="24"/>
        </w:rPr>
        <w:t>”</w:t>
      </w:r>
      <w:r w:rsidR="00FD184C">
        <w:rPr>
          <w:rStyle w:val="FootnoteReference"/>
          <w:sz w:val="24"/>
        </w:rPr>
        <w:footnoteReference w:id="1"/>
      </w:r>
    </w:p>
    <w:p w:rsidR="006314CF" w:rsidP="00FE3AD3" w:rsidRDefault="006314CF" w14:paraId="349FAC19" w14:textId="69A4C300">
      <w:pPr>
        <w:rPr>
          <w:sz w:val="24"/>
        </w:rPr>
      </w:pPr>
      <w:r>
        <w:rPr>
          <w:sz w:val="24"/>
        </w:rPr>
        <w:t>For example;</w:t>
      </w:r>
    </w:p>
    <w:p w:rsidRPr="00FE3AD3" w:rsidR="00FD184C" w:rsidP="00FE3AD3" w:rsidRDefault="00FD184C" w14:paraId="09FD30C2" w14:textId="77777777">
      <w:pPr>
        <w:rPr>
          <w:sz w:val="24"/>
        </w:rPr>
      </w:pPr>
    </w:p>
    <w:p w:rsidRPr="00FE3AD3" w:rsidR="00FE3AD3" w:rsidP="00FE3AD3" w:rsidRDefault="00FE3AD3" w14:paraId="701A5A24" w14:textId="1C976423">
      <w:pPr>
        <w:rPr>
          <w:sz w:val="24"/>
        </w:rPr>
      </w:pPr>
      <w:r w:rsidRPr="00FE3AD3">
        <w:rPr>
          <w:sz w:val="24"/>
        </w:rPr>
        <w:t>•</w:t>
      </w:r>
      <w:r w:rsidRPr="00FE3AD3">
        <w:rPr>
          <w:sz w:val="24"/>
        </w:rPr>
        <w:tab/>
      </w:r>
      <w:hyperlink w:history="1" r:id="rId10">
        <w:r w:rsidRPr="00CB4758">
          <w:rPr>
            <w:rStyle w:val="Hyperlink"/>
            <w:sz w:val="24"/>
          </w:rPr>
          <w:t>Risk Strat</w:t>
        </w:r>
        <w:r w:rsidRPr="00CB4758" w:rsidR="00CB4758">
          <w:rPr>
            <w:rStyle w:val="Hyperlink"/>
            <w:sz w:val="24"/>
          </w:rPr>
          <w:t>ification</w:t>
        </w:r>
      </w:hyperlink>
    </w:p>
    <w:p w:rsidRPr="00FE3AD3" w:rsidR="00FE3AD3" w:rsidP="00FE3AD3" w:rsidRDefault="00FE3AD3" w14:paraId="3E0103CD" w14:textId="2C4EDC02">
      <w:pPr>
        <w:rPr>
          <w:sz w:val="24"/>
        </w:rPr>
      </w:pPr>
      <w:r w:rsidRPr="00FE3AD3">
        <w:rPr>
          <w:sz w:val="24"/>
        </w:rPr>
        <w:t>•</w:t>
      </w:r>
      <w:r w:rsidRPr="00FE3AD3">
        <w:rPr>
          <w:sz w:val="24"/>
        </w:rPr>
        <w:tab/>
      </w:r>
      <w:hyperlink w:history="1" r:id="rId11">
        <w:r w:rsidRPr="005B27AD">
          <w:rPr>
            <w:rStyle w:val="Hyperlink"/>
            <w:sz w:val="24"/>
          </w:rPr>
          <w:t>Pop</w:t>
        </w:r>
        <w:r w:rsidRPr="005B27AD" w:rsidR="005B27AD">
          <w:rPr>
            <w:rStyle w:val="Hyperlink"/>
            <w:sz w:val="24"/>
          </w:rPr>
          <w:t>ulation</w:t>
        </w:r>
        <w:r w:rsidRPr="005B27AD">
          <w:rPr>
            <w:rStyle w:val="Hyperlink"/>
            <w:sz w:val="24"/>
          </w:rPr>
          <w:t xml:space="preserve"> Health</w:t>
        </w:r>
        <w:r w:rsidRPr="005B27AD" w:rsidR="005B27AD">
          <w:rPr>
            <w:rStyle w:val="Hyperlink"/>
            <w:sz w:val="24"/>
          </w:rPr>
          <w:t xml:space="preserve"> Management</w:t>
        </w:r>
      </w:hyperlink>
    </w:p>
    <w:p w:rsidRPr="00FE3AD3" w:rsidR="00FE3AD3" w:rsidP="00FE3AD3" w:rsidRDefault="00FE3AD3" w14:paraId="47FB9887" w14:textId="685B0E84">
      <w:pPr>
        <w:rPr>
          <w:sz w:val="24"/>
        </w:rPr>
      </w:pPr>
      <w:r w:rsidRPr="00FE3AD3">
        <w:rPr>
          <w:sz w:val="24"/>
        </w:rPr>
        <w:t>•</w:t>
      </w:r>
      <w:r w:rsidRPr="00FE3AD3">
        <w:rPr>
          <w:sz w:val="24"/>
        </w:rPr>
        <w:tab/>
        <w:t>Research</w:t>
      </w:r>
      <w:r w:rsidR="005B27AD">
        <w:rPr>
          <w:sz w:val="24"/>
        </w:rPr>
        <w:t xml:space="preserve"> </w:t>
      </w:r>
    </w:p>
    <w:p w:rsidRPr="00FE3AD3" w:rsidR="00FE3AD3" w:rsidP="00FE3AD3" w:rsidRDefault="00FE3AD3" w14:paraId="1A1750B5" w14:textId="0E3B5209">
      <w:pPr>
        <w:rPr>
          <w:sz w:val="24"/>
        </w:rPr>
      </w:pPr>
      <w:r w:rsidRPr="00FE3AD3">
        <w:rPr>
          <w:sz w:val="24"/>
        </w:rPr>
        <w:t>•</w:t>
      </w:r>
      <w:r w:rsidRPr="00FE3AD3">
        <w:rPr>
          <w:sz w:val="24"/>
        </w:rPr>
        <w:tab/>
        <w:t>Service Evaluation</w:t>
      </w:r>
      <w:r w:rsidR="006314CF">
        <w:rPr>
          <w:sz w:val="24"/>
        </w:rPr>
        <w:t>s</w:t>
      </w:r>
    </w:p>
    <w:p w:rsidRPr="00FE3AD3" w:rsidR="00FE3AD3" w:rsidP="00FE3AD3" w:rsidRDefault="00FE3AD3" w14:paraId="0B7FE52E" w14:textId="54502CA0">
      <w:pPr>
        <w:rPr>
          <w:sz w:val="24"/>
        </w:rPr>
      </w:pPr>
      <w:r w:rsidRPr="00FE3AD3">
        <w:rPr>
          <w:sz w:val="24"/>
        </w:rPr>
        <w:lastRenderedPageBreak/>
        <w:t>•</w:t>
      </w:r>
      <w:r w:rsidRPr="00FE3AD3">
        <w:rPr>
          <w:sz w:val="24"/>
        </w:rPr>
        <w:tab/>
        <w:t>Predicti</w:t>
      </w:r>
      <w:r w:rsidR="006314CF">
        <w:rPr>
          <w:sz w:val="24"/>
        </w:rPr>
        <w:t>ve activities</w:t>
      </w:r>
    </w:p>
    <w:p w:rsidR="00835E82" w:rsidP="00FE3AD3" w:rsidRDefault="00FE3AD3" w14:paraId="77D34600" w14:textId="22CCE0E6">
      <w:pPr>
        <w:rPr>
          <w:sz w:val="24"/>
        </w:rPr>
      </w:pPr>
      <w:r w:rsidRPr="00FE3AD3">
        <w:rPr>
          <w:sz w:val="24"/>
        </w:rPr>
        <w:t>•</w:t>
      </w:r>
      <w:r w:rsidRPr="00FE3AD3">
        <w:rPr>
          <w:sz w:val="24"/>
        </w:rPr>
        <w:tab/>
        <w:t>Financial Audit</w:t>
      </w:r>
      <w:r w:rsidR="006314CF">
        <w:rPr>
          <w:sz w:val="24"/>
        </w:rPr>
        <w:t>s</w:t>
      </w:r>
    </w:p>
    <w:p w:rsidR="006314CF" w:rsidP="00FE3AD3" w:rsidRDefault="006314CF" w14:paraId="6B2E1098" w14:textId="77777777">
      <w:pPr>
        <w:rPr>
          <w:sz w:val="24"/>
        </w:rPr>
      </w:pPr>
    </w:p>
    <w:p w:rsidR="006314CF" w:rsidP="00FE3AD3" w:rsidRDefault="006314CF" w14:paraId="5BF7C624" w14:textId="10AB6210">
      <w:pPr>
        <w:rPr>
          <w:sz w:val="24"/>
        </w:rPr>
      </w:pPr>
      <w:r>
        <w:rPr>
          <w:sz w:val="24"/>
        </w:rPr>
        <w:t>NDO does not mean that the above activities cannot take place. If confidential data is involved, it can be anonymised, consent obtained or</w:t>
      </w:r>
      <w:r w:rsidR="00665F5F">
        <w:rPr>
          <w:sz w:val="24"/>
        </w:rPr>
        <w:t xml:space="preserve"> the NDO out outs applied.</w:t>
      </w:r>
    </w:p>
    <w:p w:rsidR="00665F5F" w:rsidP="00FE3AD3" w:rsidRDefault="00665F5F" w14:paraId="6B2DD8CA" w14:textId="77777777">
      <w:pPr>
        <w:rPr>
          <w:sz w:val="24"/>
        </w:rPr>
      </w:pPr>
    </w:p>
    <w:p w:rsidR="00665F5F" w:rsidP="00665F5F" w:rsidRDefault="00CC13FA" w14:paraId="132815F0" w14:textId="0B0F3967">
      <w:pPr>
        <w:pStyle w:val="Style1"/>
        <w:ind w:left="360"/>
        <w:rPr>
          <w:noProof/>
        </w:rPr>
      </w:pPr>
      <w:r>
        <w:t>DISCLOSURES TO PROVIDERS / SUPPLIERS</w:t>
      </w:r>
    </w:p>
    <w:p w:rsidR="00665F5F" w:rsidP="00FE3AD3" w:rsidRDefault="00665F5F" w14:paraId="7A25B1EF" w14:textId="77777777">
      <w:pPr>
        <w:rPr>
          <w:sz w:val="24"/>
        </w:rPr>
      </w:pPr>
    </w:p>
    <w:p w:rsidR="0063381A" w:rsidP="00FE3AD3" w:rsidRDefault="0063381A" w14:paraId="6D79E865" w14:textId="1FA93127">
      <w:pPr>
        <w:rPr>
          <w:sz w:val="24"/>
        </w:rPr>
      </w:pPr>
      <w:r>
        <w:rPr>
          <w:sz w:val="24"/>
        </w:rPr>
        <w:t xml:space="preserve">Before data is disclosed to outside organisations, the NDO </w:t>
      </w:r>
      <w:r w:rsidRPr="0063381A">
        <w:rPr>
          <w:b/>
          <w:bCs/>
          <w:sz w:val="24"/>
          <w:u w:val="single"/>
        </w:rPr>
        <w:t>must</w:t>
      </w:r>
      <w:r>
        <w:rPr>
          <w:sz w:val="24"/>
        </w:rPr>
        <w:t xml:space="preserve"> be considered. The opt outs must be applied before it leaves the organisation’s ‘controller boundary’.</w:t>
      </w:r>
    </w:p>
    <w:p w:rsidR="0063381A" w:rsidP="00FE3AD3" w:rsidRDefault="0063381A" w14:paraId="6D5728FE" w14:textId="77777777">
      <w:pPr>
        <w:rPr>
          <w:sz w:val="24"/>
        </w:rPr>
      </w:pPr>
    </w:p>
    <w:p w:rsidR="00CC13FA" w:rsidP="00FE3AD3" w:rsidRDefault="00CC13FA" w14:paraId="131D8DA5" w14:textId="08574BC1">
      <w:pPr>
        <w:rPr>
          <w:sz w:val="24"/>
        </w:rPr>
      </w:pPr>
      <w:r>
        <w:rPr>
          <w:sz w:val="24"/>
        </w:rPr>
        <w:t xml:space="preserve">Health and care providers will often use </w:t>
      </w:r>
      <w:r w:rsidR="00116D86">
        <w:rPr>
          <w:sz w:val="24"/>
        </w:rPr>
        <w:t xml:space="preserve">third parties to </w:t>
      </w:r>
      <w:r w:rsidR="0063381A">
        <w:rPr>
          <w:sz w:val="24"/>
        </w:rPr>
        <w:t>process data</w:t>
      </w:r>
      <w:r w:rsidR="003C038F">
        <w:rPr>
          <w:sz w:val="24"/>
        </w:rPr>
        <w:t xml:space="preserve"> on their behalf, for example, they will engage </w:t>
      </w:r>
      <w:r w:rsidR="00465AC8">
        <w:rPr>
          <w:sz w:val="24"/>
        </w:rPr>
        <w:t>a company to extract and analyse their data</w:t>
      </w:r>
      <w:r w:rsidR="004927FE">
        <w:rPr>
          <w:sz w:val="24"/>
        </w:rPr>
        <w:t>,</w:t>
      </w:r>
      <w:r w:rsidR="00465AC8">
        <w:rPr>
          <w:sz w:val="24"/>
        </w:rPr>
        <w:t xml:space="preserve"> to plan local </w:t>
      </w:r>
      <w:r w:rsidR="00E01003">
        <w:rPr>
          <w:sz w:val="24"/>
        </w:rPr>
        <w:t>capacity</w:t>
      </w:r>
      <w:r w:rsidR="00465AC8">
        <w:rPr>
          <w:sz w:val="24"/>
        </w:rPr>
        <w:t xml:space="preserve"> or </w:t>
      </w:r>
      <w:r w:rsidR="00E01003">
        <w:rPr>
          <w:sz w:val="24"/>
        </w:rPr>
        <w:t xml:space="preserve">identify cohorts </w:t>
      </w:r>
      <w:r w:rsidR="008F5824">
        <w:rPr>
          <w:sz w:val="24"/>
        </w:rPr>
        <w:t>of patients</w:t>
      </w:r>
      <w:r w:rsidR="004927FE">
        <w:rPr>
          <w:sz w:val="24"/>
        </w:rPr>
        <w:t>.</w:t>
      </w:r>
    </w:p>
    <w:p w:rsidR="004927FE" w:rsidP="00FE3AD3" w:rsidRDefault="004927FE" w14:paraId="5AF0A34E" w14:textId="577134AF">
      <w:pPr>
        <w:rPr>
          <w:sz w:val="24"/>
        </w:rPr>
      </w:pPr>
      <w:r>
        <w:rPr>
          <w:sz w:val="24"/>
        </w:rPr>
        <w:t>As long as these companies are engaged as “Processors”, this does not count as a disclosure to a third party</w:t>
      </w:r>
      <w:r w:rsidR="00457CDF">
        <w:rPr>
          <w:sz w:val="24"/>
        </w:rPr>
        <w:t xml:space="preserve">. </w:t>
      </w:r>
    </w:p>
    <w:p w:rsidR="00E8619F" w:rsidP="00FE3AD3" w:rsidRDefault="00457CDF" w14:paraId="1B5729D1" w14:textId="0AB319FD">
      <w:pPr>
        <w:rPr>
          <w:sz w:val="24"/>
        </w:rPr>
      </w:pPr>
      <w:r>
        <w:rPr>
          <w:sz w:val="24"/>
        </w:rPr>
        <w:t xml:space="preserve">This is because, companies engaged as Processors are </w:t>
      </w:r>
      <w:r w:rsidRPr="00C673C5">
        <w:rPr>
          <w:b/>
          <w:bCs/>
          <w:sz w:val="24"/>
          <w:u w:val="single"/>
        </w:rPr>
        <w:t>acting only</w:t>
      </w:r>
      <w:r>
        <w:rPr>
          <w:sz w:val="24"/>
        </w:rPr>
        <w:t xml:space="preserve"> on the narrow instructions of the </w:t>
      </w:r>
      <w:r w:rsidR="00E8619F">
        <w:rPr>
          <w:sz w:val="24"/>
        </w:rPr>
        <w:t>organisation who owns the data (the Controller). They act as a proxy for the Controller</w:t>
      </w:r>
      <w:r w:rsidR="00632E62">
        <w:rPr>
          <w:sz w:val="24"/>
        </w:rPr>
        <w:t xml:space="preserve"> and so are not technically a third party.</w:t>
      </w:r>
    </w:p>
    <w:p w:rsidR="00632E62" w:rsidP="00FE3AD3" w:rsidRDefault="00632E62" w14:paraId="44AA0B1D" w14:textId="77777777">
      <w:pPr>
        <w:rPr>
          <w:sz w:val="24"/>
        </w:rPr>
      </w:pPr>
    </w:p>
    <w:p w:rsidR="001B4B2A" w:rsidP="00FE3AD3" w:rsidRDefault="00632E62" w14:paraId="3184894D" w14:textId="2E6911F2">
      <w:pPr>
        <w:rPr>
          <w:sz w:val="24"/>
        </w:rPr>
      </w:pPr>
      <w:r>
        <w:rPr>
          <w:sz w:val="24"/>
        </w:rPr>
        <w:t xml:space="preserve">If you are using a Processor to undertake </w:t>
      </w:r>
      <w:r w:rsidR="001B4B2A">
        <w:rPr>
          <w:sz w:val="24"/>
        </w:rPr>
        <w:t>local non care activities, you would not need to consider the NDO prior to disclosure.</w:t>
      </w:r>
    </w:p>
    <w:p w:rsidR="007236D8" w:rsidP="00FE3AD3" w:rsidRDefault="007236D8" w14:paraId="5D9749D0" w14:textId="77777777">
      <w:pPr>
        <w:rPr>
          <w:sz w:val="24"/>
        </w:rPr>
      </w:pPr>
    </w:p>
    <w:p w:rsidR="007236D8" w:rsidP="007236D8" w:rsidRDefault="007236D8" w14:paraId="7D674AD4" w14:textId="725C440D">
      <w:pPr>
        <w:pStyle w:val="Style1"/>
        <w:ind w:left="360"/>
        <w:rPr>
          <w:noProof/>
        </w:rPr>
      </w:pPr>
      <w:r>
        <w:t>INTERNAL ACTIVITIES</w:t>
      </w:r>
    </w:p>
    <w:p w:rsidR="007236D8" w:rsidP="00FE3AD3" w:rsidRDefault="007236D8" w14:paraId="292EA471" w14:textId="77777777">
      <w:pPr>
        <w:rPr>
          <w:sz w:val="24"/>
        </w:rPr>
      </w:pPr>
    </w:p>
    <w:p w:rsidR="00C673C5" w:rsidP="00FE3AD3" w:rsidRDefault="007236D8" w14:paraId="1964D22F" w14:textId="358EEE0E">
      <w:pPr>
        <w:rPr>
          <w:sz w:val="24"/>
        </w:rPr>
      </w:pPr>
      <w:r>
        <w:rPr>
          <w:sz w:val="24"/>
        </w:rPr>
        <w:t>Even where processing of data happens internally, there are still some circumstances where NDO must be considered.</w:t>
      </w:r>
    </w:p>
    <w:p w:rsidR="007236D8" w:rsidP="00FE3AD3" w:rsidRDefault="00707A82" w14:paraId="4BA46757" w14:textId="63343081">
      <w:pPr>
        <w:rPr>
          <w:sz w:val="24"/>
        </w:rPr>
      </w:pPr>
      <w:r>
        <w:rPr>
          <w:sz w:val="24"/>
        </w:rPr>
        <w:t>This might be where the activity is;</w:t>
      </w:r>
    </w:p>
    <w:p w:rsidRPr="00707A82" w:rsidR="00707A82" w:rsidP="00707A82" w:rsidRDefault="00707A82" w14:paraId="79FEDB13" w14:textId="60B4AFD9">
      <w:pPr>
        <w:pStyle w:val="ListParagraph"/>
        <w:numPr>
          <w:ilvl w:val="0"/>
          <w:numId w:val="15"/>
        </w:numPr>
        <w:rPr>
          <w:sz w:val="24"/>
        </w:rPr>
      </w:pPr>
      <w:r w:rsidRPr="00707A82">
        <w:rPr>
          <w:sz w:val="24"/>
        </w:rPr>
        <w:lastRenderedPageBreak/>
        <w:t>Not direct care</w:t>
      </w:r>
    </w:p>
    <w:p w:rsidRPr="00707A82" w:rsidR="00707A82" w:rsidP="00707A82" w:rsidRDefault="00707A82" w14:paraId="1D8EA3AA" w14:textId="0ACE38E4">
      <w:pPr>
        <w:pStyle w:val="ListParagraph"/>
        <w:numPr>
          <w:ilvl w:val="0"/>
          <w:numId w:val="15"/>
        </w:numPr>
        <w:rPr>
          <w:sz w:val="24"/>
        </w:rPr>
      </w:pPr>
      <w:r w:rsidRPr="00707A82">
        <w:rPr>
          <w:sz w:val="24"/>
        </w:rPr>
        <w:t>Not based on consent</w:t>
      </w:r>
    </w:p>
    <w:p w:rsidRPr="00707A82" w:rsidR="00707A82" w:rsidP="00707A82" w:rsidRDefault="00707A82" w14:paraId="7207AF02" w14:textId="1E0BAD01">
      <w:pPr>
        <w:pStyle w:val="ListParagraph"/>
        <w:numPr>
          <w:ilvl w:val="0"/>
          <w:numId w:val="15"/>
        </w:numPr>
        <w:rPr>
          <w:sz w:val="24"/>
        </w:rPr>
      </w:pPr>
      <w:r w:rsidRPr="00707A82">
        <w:rPr>
          <w:sz w:val="24"/>
        </w:rPr>
        <w:t>Not something the individual would reasonably expect or know about</w:t>
      </w:r>
    </w:p>
    <w:p w:rsidR="00707A82" w:rsidP="00FE3AD3" w:rsidRDefault="00707A82" w14:paraId="2019F1F8" w14:textId="77777777">
      <w:pPr>
        <w:rPr>
          <w:sz w:val="24"/>
        </w:rPr>
      </w:pPr>
    </w:p>
    <w:p w:rsidR="00707A82" w:rsidP="00FE3AD3" w:rsidRDefault="00707A82" w14:paraId="102214A4" w14:textId="2EA73023">
      <w:pPr>
        <w:rPr>
          <w:sz w:val="24"/>
        </w:rPr>
      </w:pPr>
      <w:r>
        <w:rPr>
          <w:sz w:val="24"/>
        </w:rPr>
        <w:t xml:space="preserve">Patients generally expect routine internal evaluations of </w:t>
      </w:r>
      <w:r w:rsidR="001170B6">
        <w:rPr>
          <w:sz w:val="24"/>
        </w:rPr>
        <w:t>the safety and efficacy of care</w:t>
      </w:r>
      <w:r w:rsidR="001170B6">
        <w:rPr>
          <w:rStyle w:val="FootnoteReference"/>
          <w:sz w:val="24"/>
        </w:rPr>
        <w:footnoteReference w:id="2"/>
      </w:r>
      <w:r w:rsidR="001170B6">
        <w:rPr>
          <w:sz w:val="24"/>
        </w:rPr>
        <w:t>.</w:t>
      </w:r>
    </w:p>
    <w:p w:rsidR="00C673C5" w:rsidP="00FE3AD3" w:rsidRDefault="00C673C5" w14:paraId="6FD6D6CF" w14:textId="77777777">
      <w:pPr>
        <w:rPr>
          <w:sz w:val="24"/>
        </w:rPr>
      </w:pPr>
    </w:p>
    <w:p w:rsidR="00FD7867" w:rsidP="00FD7867" w:rsidRDefault="00FD7867" w14:paraId="51F81445" w14:textId="1575BA4F">
      <w:pPr>
        <w:pStyle w:val="Style1"/>
        <w:ind w:left="360"/>
        <w:rPr>
          <w:noProof/>
        </w:rPr>
      </w:pPr>
      <w:r>
        <w:t>NOTED EXCLUSIONS</w:t>
      </w:r>
    </w:p>
    <w:p w:rsidR="001B4B2A" w:rsidP="00FE3AD3" w:rsidRDefault="001B4B2A" w14:paraId="758614DD" w14:textId="77777777">
      <w:pPr>
        <w:rPr>
          <w:sz w:val="24"/>
        </w:rPr>
      </w:pPr>
    </w:p>
    <w:p w:rsidR="001B4B2A" w:rsidP="00FE3AD3" w:rsidRDefault="001B4B2A" w14:paraId="7F7B6877" w14:textId="77777777">
      <w:pPr>
        <w:rPr>
          <w:sz w:val="24"/>
        </w:rPr>
      </w:pPr>
    </w:p>
    <w:p w:rsidRPr="000F777E" w:rsidR="00CE6FCA" w:rsidP="00CE6FCA" w:rsidRDefault="002674F5" w14:paraId="3274ACCE" w14:textId="20C3D249">
      <w:pPr>
        <w:pStyle w:val="ListParagraph"/>
        <w:numPr>
          <w:ilvl w:val="0"/>
          <w:numId w:val="16"/>
        </w:numPr>
        <w:spacing w:before="100" w:beforeAutospacing="1" w:after="100" w:afterAutospacing="1"/>
        <w:rPr>
          <w:sz w:val="24"/>
        </w:rPr>
      </w:pPr>
      <w:r>
        <w:rPr>
          <w:b/>
          <w:bCs/>
          <w:sz w:val="24"/>
          <w:u w:val="single"/>
        </w:rPr>
        <w:t>does not</w:t>
      </w:r>
      <w:r w:rsidRPr="000F777E" w:rsidR="00CE6FCA">
        <w:rPr>
          <w:sz w:val="24"/>
        </w:rPr>
        <w:t xml:space="preserve"> apply to disclosures for direct care purposes.</w:t>
      </w:r>
    </w:p>
    <w:p w:rsidR="00E720D3" w:rsidP="00E720D3" w:rsidRDefault="002674F5" w14:paraId="765F710C" w14:textId="1366FC16">
      <w:pPr>
        <w:pStyle w:val="ListParagraph"/>
        <w:numPr>
          <w:ilvl w:val="0"/>
          <w:numId w:val="16"/>
        </w:numPr>
        <w:spacing w:before="100" w:beforeAutospacing="1" w:after="100" w:afterAutospacing="1"/>
        <w:rPr>
          <w:sz w:val="24"/>
        </w:rPr>
      </w:pPr>
      <w:r w:rsidRPr="002674F5">
        <w:rPr>
          <w:b/>
          <w:bCs/>
          <w:sz w:val="24"/>
          <w:u w:val="single"/>
        </w:rPr>
        <w:t>does not</w:t>
      </w:r>
      <w:r w:rsidRPr="002674F5" w:rsidR="00E720D3">
        <w:rPr>
          <w:b/>
          <w:bCs/>
          <w:sz w:val="24"/>
          <w:u w:val="single"/>
        </w:rPr>
        <w:t xml:space="preserve"> </w:t>
      </w:r>
      <w:r w:rsidRPr="000F777E" w:rsidR="00E720D3">
        <w:rPr>
          <w:sz w:val="24"/>
        </w:rPr>
        <w:t>apply</w:t>
      </w:r>
      <w:r w:rsidRPr="000807FC" w:rsidR="00E720D3">
        <w:rPr>
          <w:sz w:val="24"/>
        </w:rPr>
        <w:t xml:space="preserve"> where explicit consent has been obtained </w:t>
      </w:r>
    </w:p>
    <w:p w:rsidR="00465955" w:rsidP="00465955" w:rsidRDefault="00465955" w14:paraId="2EAC6B3F" w14:textId="7A3409C9">
      <w:pPr>
        <w:pStyle w:val="ListParagraph"/>
        <w:numPr>
          <w:ilvl w:val="0"/>
          <w:numId w:val="16"/>
        </w:numPr>
        <w:rPr>
          <w:sz w:val="24"/>
        </w:rPr>
      </w:pPr>
      <w:r w:rsidRPr="00465955">
        <w:rPr>
          <w:b/>
          <w:bCs/>
          <w:sz w:val="24"/>
          <w:u w:val="single"/>
        </w:rPr>
        <w:t>does not</w:t>
      </w:r>
      <w:r w:rsidRPr="00465955">
        <w:rPr>
          <w:sz w:val="24"/>
        </w:rPr>
        <w:t xml:space="preserve"> apply to the disclosure of confidential patient information required for the monitoring and control of communicable disease and other risks to public health</w:t>
      </w:r>
      <w:r w:rsidR="007F2FA5">
        <w:rPr>
          <w:sz w:val="24"/>
        </w:rPr>
        <w:t xml:space="preserve"> (i.e. COVID-19 disclosures)</w:t>
      </w:r>
    </w:p>
    <w:p w:rsidRPr="004263F7" w:rsidR="004263F7" w:rsidP="004263F7" w:rsidRDefault="004263F7" w14:paraId="08A0377E" w14:textId="28602397">
      <w:pPr>
        <w:pStyle w:val="ListParagraph"/>
        <w:numPr>
          <w:ilvl w:val="0"/>
          <w:numId w:val="16"/>
        </w:numPr>
        <w:rPr>
          <w:sz w:val="24"/>
        </w:rPr>
      </w:pPr>
      <w:r w:rsidRPr="004263F7">
        <w:rPr>
          <w:b/>
          <w:bCs/>
          <w:sz w:val="24"/>
          <w:u w:val="single"/>
        </w:rPr>
        <w:t>does not</w:t>
      </w:r>
      <w:r w:rsidRPr="004263F7">
        <w:rPr>
          <w:sz w:val="24"/>
        </w:rPr>
        <w:t xml:space="preserve"> apply to the disclosure of confidential patient information where there is an overriding public interest in the disclosure</w:t>
      </w:r>
      <w:r w:rsidR="002F026E">
        <w:rPr>
          <w:sz w:val="24"/>
        </w:rPr>
        <w:t xml:space="preserve"> (</w:t>
      </w:r>
      <w:r w:rsidRPr="004263F7">
        <w:rPr>
          <w:sz w:val="24"/>
        </w:rPr>
        <w:t>DVLA, guns etc)</w:t>
      </w:r>
    </w:p>
    <w:p w:rsidR="00596AEE" w:rsidP="00596AEE" w:rsidRDefault="00596AEE" w14:paraId="0C0A0E32" w14:textId="4D639779">
      <w:pPr>
        <w:pStyle w:val="ListParagraph"/>
        <w:numPr>
          <w:ilvl w:val="0"/>
          <w:numId w:val="16"/>
        </w:numPr>
        <w:rPr>
          <w:sz w:val="24"/>
        </w:rPr>
      </w:pPr>
      <w:r w:rsidRPr="00596AEE">
        <w:rPr>
          <w:b/>
          <w:bCs/>
          <w:sz w:val="24"/>
          <w:u w:val="single"/>
        </w:rPr>
        <w:t>does not</w:t>
      </w:r>
      <w:r w:rsidRPr="00596AEE">
        <w:rPr>
          <w:sz w:val="24"/>
        </w:rPr>
        <w:t xml:space="preserve"> apply to the disclosure of confidential patient information where the information is required by law or a court order.</w:t>
      </w:r>
    </w:p>
    <w:p w:rsidR="001A16C0" w:rsidP="001A16C0" w:rsidRDefault="001A16C0" w14:paraId="46423CBB" w14:textId="0070C83A">
      <w:pPr>
        <w:pStyle w:val="ListParagraph"/>
        <w:numPr>
          <w:ilvl w:val="0"/>
          <w:numId w:val="16"/>
        </w:numPr>
        <w:rPr>
          <w:sz w:val="24"/>
        </w:rPr>
      </w:pPr>
      <w:r w:rsidRPr="001A16C0">
        <w:rPr>
          <w:b/>
          <w:bCs/>
          <w:sz w:val="24"/>
          <w:u w:val="single"/>
        </w:rPr>
        <w:t>does not</w:t>
      </w:r>
      <w:r w:rsidRPr="001A16C0">
        <w:rPr>
          <w:sz w:val="24"/>
        </w:rPr>
        <w:t xml:space="preserve"> apply to local case finding</w:t>
      </w:r>
    </w:p>
    <w:p w:rsidR="00440B1D" w:rsidP="00440B1D" w:rsidRDefault="00440B1D" w14:paraId="58FB1188" w14:textId="77777777">
      <w:pPr>
        <w:pStyle w:val="ListParagraph"/>
        <w:numPr>
          <w:ilvl w:val="0"/>
          <w:numId w:val="16"/>
        </w:numPr>
        <w:rPr>
          <w:sz w:val="24"/>
        </w:rPr>
      </w:pPr>
      <w:r w:rsidRPr="00440B1D">
        <w:rPr>
          <w:b/>
          <w:bCs/>
          <w:sz w:val="24"/>
          <w:u w:val="single"/>
        </w:rPr>
        <w:t>does not</w:t>
      </w:r>
      <w:r w:rsidRPr="00440B1D">
        <w:rPr>
          <w:sz w:val="24"/>
        </w:rPr>
        <w:t xml:space="preserve"> apply to confidential patient information flowing to Public Health England (PHE) under the following approvals: </w:t>
      </w:r>
    </w:p>
    <w:p w:rsidR="00440B1D" w:rsidP="00440B1D" w:rsidRDefault="00440B1D" w14:paraId="4BF1520F" w14:textId="77777777">
      <w:pPr>
        <w:pStyle w:val="ListParagraph"/>
        <w:numPr>
          <w:ilvl w:val="1"/>
          <w:numId w:val="16"/>
        </w:numPr>
        <w:rPr>
          <w:sz w:val="24"/>
        </w:rPr>
      </w:pPr>
      <w:proofErr w:type="spellStart"/>
      <w:r w:rsidRPr="00440B1D">
        <w:rPr>
          <w:sz w:val="24"/>
        </w:rPr>
        <w:t>i</w:t>
      </w:r>
      <w:proofErr w:type="spellEnd"/>
      <w:r w:rsidRPr="00440B1D">
        <w:rPr>
          <w:sz w:val="24"/>
        </w:rPr>
        <w:t xml:space="preserve">. National Cancer Register (PIAG 03(a)/2001); </w:t>
      </w:r>
    </w:p>
    <w:p w:rsidRPr="00440B1D" w:rsidR="00440B1D" w:rsidP="00440B1D" w:rsidRDefault="00440B1D" w14:paraId="79CF94E4" w14:textId="32DC63E7">
      <w:pPr>
        <w:pStyle w:val="ListParagraph"/>
        <w:numPr>
          <w:ilvl w:val="1"/>
          <w:numId w:val="16"/>
        </w:numPr>
        <w:rPr>
          <w:sz w:val="24"/>
        </w:rPr>
      </w:pPr>
      <w:r w:rsidRPr="00440B1D">
        <w:rPr>
          <w:sz w:val="24"/>
        </w:rPr>
        <w:t>ii. National Congenital Anomaly and Rare Diseases Register (CAG 10- 02(d)/2015).</w:t>
      </w:r>
    </w:p>
    <w:p w:rsidRPr="0078503C" w:rsidR="0078503C" w:rsidP="0078503C" w:rsidRDefault="0078503C" w14:paraId="6198533B" w14:textId="2F11AC76">
      <w:pPr>
        <w:pStyle w:val="ListParagraph"/>
        <w:numPr>
          <w:ilvl w:val="0"/>
          <w:numId w:val="16"/>
        </w:numPr>
        <w:rPr>
          <w:sz w:val="24"/>
        </w:rPr>
      </w:pPr>
      <w:r w:rsidRPr="0078503C">
        <w:rPr>
          <w:b/>
          <w:bCs/>
          <w:sz w:val="24"/>
          <w:u w:val="single"/>
        </w:rPr>
        <w:t>does not</w:t>
      </w:r>
      <w:r w:rsidRPr="0078503C">
        <w:rPr>
          <w:sz w:val="24"/>
        </w:rPr>
        <w:t xml:space="preserve"> apply to data flowing into the Office for National Statistics (ONS) solely for the production of official statistics.</w:t>
      </w:r>
    </w:p>
    <w:p w:rsidR="00264AA0" w:rsidP="00264AA0" w:rsidRDefault="00264AA0" w14:paraId="1DA05B01" w14:textId="77777777">
      <w:pPr>
        <w:pStyle w:val="ListParagraph"/>
        <w:numPr>
          <w:ilvl w:val="0"/>
          <w:numId w:val="16"/>
        </w:numPr>
        <w:rPr>
          <w:sz w:val="24"/>
        </w:rPr>
      </w:pPr>
      <w:r w:rsidRPr="00264AA0">
        <w:rPr>
          <w:b/>
          <w:bCs/>
          <w:sz w:val="24"/>
          <w:u w:val="single"/>
        </w:rPr>
        <w:lastRenderedPageBreak/>
        <w:t>does not</w:t>
      </w:r>
      <w:r w:rsidRPr="00264AA0">
        <w:rPr>
          <w:sz w:val="24"/>
        </w:rPr>
        <w:t xml:space="preserve"> apply to disclosures of confidential patient information for the purpose of allowing participation in National Screening Programmes endorsed by the UK National Screening Committee. For the avoidance of doubt national data opt-outs do not apply to confidential patient information flowing under the following approvals: </w:t>
      </w:r>
    </w:p>
    <w:p w:rsidR="00264AA0" w:rsidP="00264AA0" w:rsidRDefault="00264AA0" w14:paraId="64ADF48C" w14:textId="77777777">
      <w:pPr>
        <w:pStyle w:val="ListParagraph"/>
        <w:numPr>
          <w:ilvl w:val="1"/>
          <w:numId w:val="16"/>
        </w:numPr>
        <w:rPr>
          <w:sz w:val="24"/>
        </w:rPr>
      </w:pPr>
      <w:proofErr w:type="spellStart"/>
      <w:r w:rsidRPr="00264AA0">
        <w:rPr>
          <w:sz w:val="24"/>
        </w:rPr>
        <w:t>i</w:t>
      </w:r>
      <w:proofErr w:type="spellEnd"/>
      <w:r w:rsidRPr="00264AA0">
        <w:rPr>
          <w:sz w:val="24"/>
        </w:rPr>
        <w:t xml:space="preserve">. NHS Breast, Bowel and Cervical Cancer Screening Programmes (15/CAG/0207); </w:t>
      </w:r>
    </w:p>
    <w:p w:rsidR="00264AA0" w:rsidP="00264AA0" w:rsidRDefault="00264AA0" w14:paraId="6CD66EE8" w14:textId="2BCFF9C6">
      <w:pPr>
        <w:pStyle w:val="ListParagraph"/>
        <w:numPr>
          <w:ilvl w:val="1"/>
          <w:numId w:val="16"/>
        </w:numPr>
        <w:rPr>
          <w:sz w:val="24"/>
        </w:rPr>
      </w:pPr>
      <w:r w:rsidRPr="00264AA0">
        <w:rPr>
          <w:sz w:val="24"/>
        </w:rPr>
        <w:t>ii. NHS Abdominal Aortic Aneurysm Screening Programme (ECC 3-04(o)/2011).</w:t>
      </w:r>
    </w:p>
    <w:p w:rsidRPr="00264AA0" w:rsidR="00264AA0" w:rsidP="00264AA0" w:rsidRDefault="00264AA0" w14:paraId="05B88DA1" w14:textId="77777777">
      <w:pPr>
        <w:pStyle w:val="ListParagraph"/>
        <w:ind w:left="1440"/>
        <w:rPr>
          <w:sz w:val="24"/>
        </w:rPr>
      </w:pPr>
    </w:p>
    <w:p w:rsidR="00566193" w:rsidP="00264AA0" w:rsidRDefault="00264AA0" w14:paraId="27DFE932" w14:textId="77777777">
      <w:pPr>
        <w:pStyle w:val="ListParagraph"/>
        <w:numPr>
          <w:ilvl w:val="0"/>
          <w:numId w:val="16"/>
        </w:numPr>
        <w:rPr>
          <w:sz w:val="24"/>
        </w:rPr>
      </w:pPr>
      <w:r w:rsidRPr="00566193">
        <w:rPr>
          <w:b/>
          <w:bCs/>
          <w:sz w:val="24"/>
          <w:u w:val="single"/>
        </w:rPr>
        <w:t>does not</w:t>
      </w:r>
      <w:r w:rsidRPr="00264AA0">
        <w:rPr>
          <w:sz w:val="24"/>
        </w:rPr>
        <w:t xml:space="preserve"> apply to confidential patient information about people with learning disabilities and/or autism who are in hospital for their mental health or due to challenging behaviour which is disclosed under the following approval: </w:t>
      </w:r>
    </w:p>
    <w:p w:rsidR="00264AA0" w:rsidP="00566193" w:rsidRDefault="00264AA0" w14:paraId="7969AB6B" w14:textId="6AAA48AA">
      <w:pPr>
        <w:pStyle w:val="ListParagraph"/>
        <w:numPr>
          <w:ilvl w:val="1"/>
          <w:numId w:val="16"/>
        </w:numPr>
        <w:rPr>
          <w:sz w:val="24"/>
        </w:rPr>
      </w:pPr>
      <w:r w:rsidRPr="00264AA0">
        <w:rPr>
          <w:sz w:val="24"/>
        </w:rPr>
        <w:t>Assuring Transformation: Enhanced Quality Assurance Process Data flow (CAG 8-02 (a-c)/2014).</w:t>
      </w:r>
    </w:p>
    <w:p w:rsidRPr="00264AA0" w:rsidR="00566193" w:rsidP="00566193" w:rsidRDefault="00566193" w14:paraId="591C78A8" w14:textId="77777777">
      <w:pPr>
        <w:pStyle w:val="ListParagraph"/>
        <w:ind w:left="1440"/>
        <w:rPr>
          <w:sz w:val="24"/>
        </w:rPr>
      </w:pPr>
    </w:p>
    <w:p w:rsidRPr="00264AA0" w:rsidR="00264AA0" w:rsidP="00264AA0" w:rsidRDefault="00264AA0" w14:paraId="65E232DC" w14:textId="5CC939AB">
      <w:pPr>
        <w:pStyle w:val="ListParagraph"/>
        <w:numPr>
          <w:ilvl w:val="0"/>
          <w:numId w:val="16"/>
        </w:numPr>
        <w:rPr>
          <w:sz w:val="24"/>
        </w:rPr>
      </w:pPr>
      <w:r w:rsidRPr="00566193">
        <w:rPr>
          <w:b/>
          <w:bCs/>
          <w:sz w:val="24"/>
          <w:u w:val="single"/>
        </w:rPr>
        <w:t>does not</w:t>
      </w:r>
      <w:r w:rsidRPr="00264AA0">
        <w:rPr>
          <w:sz w:val="24"/>
        </w:rPr>
        <w:t xml:space="preserve"> apply to the National Cancer Patient Experience Survey (CPES) and CQC NHS Patient Survey Programme, both of which will continue to run unaffected under their current arrangements.</w:t>
      </w:r>
    </w:p>
    <w:p w:rsidRPr="00264AA0" w:rsidR="00264AA0" w:rsidP="00264AA0" w:rsidRDefault="00264AA0" w14:paraId="31C62007" w14:textId="0429A881">
      <w:pPr>
        <w:pStyle w:val="ListParagraph"/>
        <w:numPr>
          <w:ilvl w:val="0"/>
          <w:numId w:val="16"/>
        </w:numPr>
        <w:rPr>
          <w:sz w:val="24"/>
        </w:rPr>
      </w:pPr>
      <w:r w:rsidRPr="00AF5A0D">
        <w:rPr>
          <w:b/>
          <w:bCs/>
          <w:sz w:val="24"/>
          <w:u w:val="single"/>
        </w:rPr>
        <w:t>do</w:t>
      </w:r>
      <w:r w:rsidRPr="00AF5A0D" w:rsidR="00AF5A0D">
        <w:rPr>
          <w:b/>
          <w:bCs/>
          <w:sz w:val="24"/>
          <w:u w:val="single"/>
        </w:rPr>
        <w:t>es</w:t>
      </w:r>
      <w:r w:rsidRPr="00AF5A0D">
        <w:rPr>
          <w:b/>
          <w:bCs/>
          <w:sz w:val="24"/>
          <w:u w:val="single"/>
        </w:rPr>
        <w:t xml:space="preserve"> not</w:t>
      </w:r>
      <w:r w:rsidRPr="00264AA0">
        <w:rPr>
          <w:sz w:val="24"/>
        </w:rPr>
        <w:t xml:space="preserve"> apply to flows of data into NHS Digital (NHS Digital is the operating name for the Health and Social Care Information Centre (HSCIC)) where these are required under S.259 of the Health and Social Care Act 2012 following a Direction from Secretary of State or NHS England or a mandatory request. DSCRO</w:t>
      </w:r>
    </w:p>
    <w:p w:rsidR="001A16C0" w:rsidP="009519CC" w:rsidRDefault="001A16C0" w14:paraId="72926CED" w14:textId="77777777">
      <w:pPr>
        <w:rPr>
          <w:sz w:val="24"/>
        </w:rPr>
      </w:pPr>
    </w:p>
    <w:p w:rsidR="009519CC" w:rsidP="009519CC" w:rsidRDefault="00711A85" w14:paraId="212B21DC" w14:textId="023D2BCD">
      <w:pPr>
        <w:pStyle w:val="Style1"/>
        <w:ind w:left="360"/>
        <w:rPr>
          <w:noProof/>
        </w:rPr>
      </w:pPr>
      <w:r>
        <w:t>APPLYING THE OPT OUTS</w:t>
      </w:r>
    </w:p>
    <w:p w:rsidR="009519CC" w:rsidP="009519CC" w:rsidRDefault="009519CC" w14:paraId="664C88DB" w14:textId="77777777">
      <w:pPr>
        <w:rPr>
          <w:sz w:val="24"/>
        </w:rPr>
      </w:pPr>
    </w:p>
    <w:p w:rsidR="00684C2A" w:rsidP="009519CC" w:rsidRDefault="00684C2A" w14:paraId="50A593E4" w14:textId="3839EAC2">
      <w:pPr>
        <w:rPr>
          <w:sz w:val="24"/>
        </w:rPr>
      </w:pPr>
      <w:r>
        <w:rPr>
          <w:sz w:val="24"/>
        </w:rPr>
        <w:t>NHS Digital has set up a service that allows organisations to check a cohort or list of patients before it is disclosed or used for planning or research purposes.</w:t>
      </w:r>
    </w:p>
    <w:p w:rsidR="005E2F27" w:rsidP="005E2F27" w:rsidRDefault="005E2F27" w14:paraId="16E5A326" w14:textId="77777777">
      <w:pPr>
        <w:spacing w:before="100" w:beforeAutospacing="1" w:after="100" w:afterAutospacing="1"/>
        <w:rPr>
          <w:sz w:val="24"/>
        </w:rPr>
      </w:pPr>
    </w:p>
    <w:p w:rsidRPr="005E2F27" w:rsidR="005E2F27" w:rsidP="005E2F27" w:rsidRDefault="00C77234" w14:paraId="47B68361" w14:textId="1B0E1B36">
      <w:pPr>
        <w:pStyle w:val="ListParagraph"/>
        <w:numPr>
          <w:ilvl w:val="0"/>
          <w:numId w:val="19"/>
        </w:numPr>
        <w:spacing w:before="100" w:beforeAutospacing="1" w:after="100" w:afterAutospacing="1"/>
        <w:rPr>
          <w:rFonts w:eastAsia="Times New Roman" w:cs="Arial"/>
          <w:color w:val="3F525F"/>
          <w:sz w:val="24"/>
          <w:lang w:eastAsia="en-GB"/>
        </w:rPr>
      </w:pPr>
      <w:r w:rsidRPr="005E2F27">
        <w:rPr>
          <w:sz w:val="24"/>
        </w:rPr>
        <w:lastRenderedPageBreak/>
        <w:t xml:space="preserve">Organisations can submit a list of NHS numbers that they need to </w:t>
      </w:r>
      <w:r w:rsidRPr="005E2F27" w:rsidR="00FF7CEC">
        <w:rPr>
          <w:sz w:val="24"/>
        </w:rPr>
        <w:t>disclose,</w:t>
      </w:r>
      <w:r w:rsidRPr="005E2F27">
        <w:rPr>
          <w:sz w:val="24"/>
        </w:rPr>
        <w:t xml:space="preserve"> and the service looks these up against the central repository of national data opt-outs. It returns a “cleaned list” of those that do not have a national data opt-out i.e. it removes the NHS numbers for those with a national data opt-out. This is most suitable for one</w:t>
      </w:r>
      <w:r w:rsidR="005E2F27">
        <w:rPr>
          <w:sz w:val="24"/>
        </w:rPr>
        <w:t>-</w:t>
      </w:r>
      <w:r w:rsidRPr="005E2F27">
        <w:rPr>
          <w:sz w:val="24"/>
        </w:rPr>
        <w:t>off and infrequent disclosures of data.</w:t>
      </w:r>
    </w:p>
    <w:p w:rsidRPr="005E2F27" w:rsidR="005E2F27" w:rsidP="005E2F27" w:rsidRDefault="005E2F27" w14:paraId="5014734A" w14:textId="77777777">
      <w:pPr>
        <w:pStyle w:val="ListParagraph"/>
        <w:spacing w:before="100" w:beforeAutospacing="1" w:after="100" w:afterAutospacing="1"/>
        <w:rPr>
          <w:rFonts w:eastAsia="Times New Roman" w:cs="Arial"/>
          <w:color w:val="3F525F"/>
          <w:sz w:val="24"/>
          <w:lang w:eastAsia="en-GB"/>
        </w:rPr>
      </w:pPr>
    </w:p>
    <w:p w:rsidRPr="00FF7CEC" w:rsidR="00596AEE" w:rsidP="005E2F27" w:rsidRDefault="00C77234" w14:paraId="01B71DA6" w14:textId="367853A1">
      <w:pPr>
        <w:pStyle w:val="ListParagraph"/>
        <w:numPr>
          <w:ilvl w:val="0"/>
          <w:numId w:val="19"/>
        </w:numPr>
        <w:spacing w:before="100" w:beforeAutospacing="1" w:after="100" w:afterAutospacing="1"/>
        <w:rPr>
          <w:rFonts w:eastAsia="Times New Roman" w:cs="Arial"/>
          <w:color w:val="3F525F"/>
          <w:sz w:val="24"/>
          <w:lang w:eastAsia="en-GB"/>
        </w:rPr>
      </w:pPr>
      <w:r w:rsidRPr="005E2F27">
        <w:rPr>
          <w:sz w:val="24"/>
        </w:rPr>
        <w:t xml:space="preserve">Organisations can submit the NHS numbers for all patients with whom they have a legitimate relationship and then store temporarily the list of patients who do not have an opt-out at the current time and whose data they may be able to disclose16. There are a number of policy rules around the storage and use of this “temporary cache” of data </w:t>
      </w:r>
      <w:r w:rsidR="00FF7CEC">
        <w:rPr>
          <w:sz w:val="24"/>
        </w:rPr>
        <w:t>so flag with your DPO for advice if this is your preferred approach.</w:t>
      </w:r>
    </w:p>
    <w:p w:rsidRPr="00EA2D06" w:rsidR="00FF7CEC" w:rsidP="00FF7CEC" w:rsidRDefault="00EA2D06" w14:paraId="790020BB" w14:textId="3449FC49">
      <w:pPr>
        <w:spacing w:before="100" w:beforeAutospacing="1" w:after="100" w:afterAutospacing="1"/>
        <w:rPr>
          <w:sz w:val="24"/>
        </w:rPr>
      </w:pPr>
      <w:r w:rsidRPr="00EA2D06">
        <w:rPr>
          <w:sz w:val="24"/>
        </w:rPr>
        <w:t xml:space="preserve">In order to use </w:t>
      </w:r>
      <w:r w:rsidR="00D22149">
        <w:rPr>
          <w:sz w:val="24"/>
        </w:rPr>
        <w:t>the above</w:t>
      </w:r>
      <w:r w:rsidRPr="00EA2D06">
        <w:rPr>
          <w:sz w:val="24"/>
        </w:rPr>
        <w:t xml:space="preserve"> service, practices will need to be set up on the NHS Digital MESH service.</w:t>
      </w:r>
    </w:p>
    <w:p w:rsidRPr="00EA2D06" w:rsidR="00EA2D06" w:rsidP="00FF7CEC" w:rsidRDefault="00EA2D06" w14:paraId="5EDA2DBA" w14:textId="022A25D2">
      <w:pPr>
        <w:spacing w:before="100" w:beforeAutospacing="1" w:after="100" w:afterAutospacing="1"/>
        <w:rPr>
          <w:sz w:val="24"/>
        </w:rPr>
      </w:pPr>
      <w:r w:rsidRPr="00EA2D06">
        <w:rPr>
          <w:sz w:val="24"/>
        </w:rPr>
        <w:t>Contact your IT Provider to obtain support with the best version for you.</w:t>
      </w:r>
    </w:p>
    <w:p w:rsidR="00EA2D06" w:rsidP="00FF7CEC" w:rsidRDefault="00EA2D06" w14:paraId="732566B4" w14:textId="77777777">
      <w:pPr>
        <w:spacing w:before="100" w:beforeAutospacing="1" w:after="100" w:afterAutospacing="1"/>
        <w:rPr>
          <w:rFonts w:eastAsia="Times New Roman" w:cs="Arial"/>
          <w:color w:val="3F525F"/>
          <w:sz w:val="24"/>
          <w:lang w:eastAsia="en-GB"/>
        </w:rPr>
      </w:pPr>
    </w:p>
    <w:p w:rsidRPr="00FF7CEC" w:rsidR="00EA2D06" w:rsidP="00FF7CEC" w:rsidRDefault="00BB4B7F" w14:paraId="04DD1452" w14:textId="4C0F8155">
      <w:pPr>
        <w:spacing w:before="100" w:beforeAutospacing="1" w:after="100" w:afterAutospacing="1"/>
        <w:rPr>
          <w:rFonts w:eastAsia="Times New Roman" w:cs="Arial"/>
          <w:color w:val="3F525F"/>
          <w:sz w:val="24"/>
          <w:lang w:eastAsia="en-GB"/>
        </w:rPr>
      </w:pPr>
      <w:hyperlink w:history="1" r:id="rId12">
        <w:r w:rsidRPr="00254475" w:rsidR="00EA2D06">
          <w:rPr>
            <w:rStyle w:val="Hyperlink"/>
            <w:rFonts w:eastAsia="Times New Roman" w:cs="Arial"/>
            <w:sz w:val="24"/>
            <w:lang w:eastAsia="en-GB"/>
          </w:rPr>
          <w:t>https://digital.nhs.uk/services/national-data-opt-out/compliance-with-the-national-data-opt-out/check-for-national-data-opt-outs-service</w:t>
        </w:r>
      </w:hyperlink>
      <w:r w:rsidR="00EA2D06">
        <w:rPr>
          <w:rFonts w:eastAsia="Times New Roman" w:cs="Arial"/>
          <w:color w:val="3F525F"/>
          <w:sz w:val="24"/>
          <w:lang w:eastAsia="en-GB"/>
        </w:rPr>
        <w:t xml:space="preserve"> </w:t>
      </w:r>
    </w:p>
    <w:p w:rsidRPr="00465955" w:rsidR="007F2FA5" w:rsidP="005E2F27" w:rsidRDefault="007F2FA5" w14:paraId="73D13C59" w14:textId="77777777">
      <w:pPr>
        <w:pStyle w:val="ListParagraph"/>
        <w:rPr>
          <w:sz w:val="24"/>
        </w:rPr>
      </w:pPr>
    </w:p>
    <w:p w:rsidR="00EA2D06" w:rsidP="00EA2D06" w:rsidRDefault="00EA2D06" w14:paraId="5582197A" w14:textId="0F676BB1">
      <w:pPr>
        <w:pStyle w:val="Style1"/>
        <w:ind w:left="360"/>
        <w:rPr>
          <w:noProof/>
        </w:rPr>
      </w:pPr>
      <w:r>
        <w:t xml:space="preserve">PREPARING </w:t>
      </w:r>
      <w:r w:rsidR="00D677D9">
        <w:t xml:space="preserve">FOR </w:t>
      </w:r>
      <w:r>
        <w:t>COMPLIANCE</w:t>
      </w:r>
    </w:p>
    <w:p w:rsidR="002674F5" w:rsidP="0060719D" w:rsidRDefault="0060719D" w14:paraId="495F4D26" w14:textId="4A585B0A">
      <w:pPr>
        <w:spacing w:before="100" w:beforeAutospacing="1" w:after="100" w:afterAutospacing="1"/>
        <w:rPr>
          <w:sz w:val="24"/>
        </w:rPr>
      </w:pPr>
      <w:r>
        <w:rPr>
          <w:sz w:val="24"/>
        </w:rPr>
        <w:t xml:space="preserve">This section will be removed from the protocol next year and focuses on </w:t>
      </w:r>
      <w:r w:rsidR="008364BC">
        <w:rPr>
          <w:sz w:val="24"/>
        </w:rPr>
        <w:t>preparing for the March 22 deadline for NDO compliance.</w:t>
      </w:r>
    </w:p>
    <w:p w:rsidR="00F83A4C" w:rsidP="0060719D" w:rsidRDefault="00F83A4C" w14:paraId="083CED81" w14:textId="0A24E239">
      <w:pPr>
        <w:spacing w:before="100" w:beforeAutospacing="1" w:after="100" w:afterAutospacing="1"/>
        <w:rPr>
          <w:sz w:val="24"/>
        </w:rPr>
      </w:pPr>
      <w:r>
        <w:rPr>
          <w:sz w:val="24"/>
        </w:rPr>
        <w:t>It is important that existing data flows, as well as any new data flows or disclosures are reviewed against NDO to ascertain if they are covered and required submission to the NHS Digital MESH service as above.</w:t>
      </w:r>
    </w:p>
    <w:p w:rsidR="00F83A4C" w:rsidP="0060719D" w:rsidRDefault="00F83A4C" w14:paraId="736816AC" w14:textId="77777777">
      <w:pPr>
        <w:spacing w:before="100" w:beforeAutospacing="1" w:after="100" w:afterAutospacing="1"/>
        <w:rPr>
          <w:sz w:val="24"/>
        </w:rPr>
      </w:pPr>
    </w:p>
    <w:p w:rsidR="00F83A4C" w:rsidP="0060719D" w:rsidRDefault="00F83A4C" w14:paraId="6A41A410" w14:textId="77777777">
      <w:pPr>
        <w:spacing w:before="100" w:beforeAutospacing="1" w:after="100" w:afterAutospacing="1"/>
        <w:rPr>
          <w:sz w:val="24"/>
        </w:rPr>
      </w:pPr>
    </w:p>
    <w:p w:rsidR="008364BC" w:rsidP="0060719D" w:rsidRDefault="008364BC" w14:paraId="0F3F4576" w14:textId="2CE8CB13">
      <w:pPr>
        <w:spacing w:before="100" w:beforeAutospacing="1" w:after="100" w:afterAutospacing="1"/>
        <w:rPr>
          <w:sz w:val="24"/>
        </w:rPr>
      </w:pPr>
      <w:r>
        <w:rPr>
          <w:sz w:val="24"/>
        </w:rPr>
        <w:t>Below is a checklist of actions to be taken to ensure that the organisation is ready to comply with NDO.</w:t>
      </w:r>
    </w:p>
    <w:tbl>
      <w:tblPr>
        <w:tblStyle w:val="TableGrid"/>
        <w:tblW w:w="0" w:type="auto"/>
        <w:tblLook w:val="04A0" w:firstRow="1" w:lastRow="0" w:firstColumn="1" w:lastColumn="0" w:noHBand="0" w:noVBand="1"/>
      </w:tblPr>
      <w:tblGrid>
        <w:gridCol w:w="5524"/>
        <w:gridCol w:w="2126"/>
        <w:gridCol w:w="1366"/>
      </w:tblGrid>
      <w:tr w:rsidRPr="00B170F5" w:rsidR="00B170F5" w:rsidTr="00B170F5" w14:paraId="05474F76" w14:textId="77777777">
        <w:tc>
          <w:tcPr>
            <w:tcW w:w="5524" w:type="dxa"/>
          </w:tcPr>
          <w:p w:rsidRPr="00B170F5" w:rsidR="008364BC" w:rsidP="0060719D" w:rsidRDefault="00FD62C6" w14:paraId="7E4B4B5B" w14:textId="11771265">
            <w:pPr>
              <w:spacing w:before="100" w:beforeAutospacing="1" w:after="100" w:afterAutospacing="1"/>
              <w:rPr>
                <w:sz w:val="20"/>
                <w:szCs w:val="20"/>
              </w:rPr>
            </w:pPr>
            <w:r w:rsidRPr="00B170F5">
              <w:rPr>
                <w:sz w:val="20"/>
                <w:szCs w:val="20"/>
              </w:rPr>
              <w:lastRenderedPageBreak/>
              <w:t>Task / Action</w:t>
            </w:r>
          </w:p>
        </w:tc>
        <w:tc>
          <w:tcPr>
            <w:tcW w:w="2126" w:type="dxa"/>
          </w:tcPr>
          <w:p w:rsidRPr="00B170F5" w:rsidR="008364BC" w:rsidP="0060719D" w:rsidRDefault="00FD62C6" w14:paraId="2996E2C9" w14:textId="5C5C2269">
            <w:pPr>
              <w:spacing w:before="100" w:beforeAutospacing="1" w:after="100" w:afterAutospacing="1"/>
              <w:rPr>
                <w:sz w:val="20"/>
                <w:szCs w:val="20"/>
              </w:rPr>
            </w:pPr>
            <w:r w:rsidRPr="00B170F5">
              <w:rPr>
                <w:sz w:val="20"/>
                <w:szCs w:val="20"/>
              </w:rPr>
              <w:t>Responsible</w:t>
            </w:r>
          </w:p>
        </w:tc>
        <w:tc>
          <w:tcPr>
            <w:tcW w:w="1366" w:type="dxa"/>
          </w:tcPr>
          <w:p w:rsidRPr="00B170F5" w:rsidR="008364BC" w:rsidP="0060719D" w:rsidRDefault="00FD62C6" w14:paraId="1C871542" w14:textId="4C49CA96">
            <w:pPr>
              <w:spacing w:before="100" w:beforeAutospacing="1" w:after="100" w:afterAutospacing="1"/>
              <w:rPr>
                <w:sz w:val="20"/>
                <w:szCs w:val="20"/>
              </w:rPr>
            </w:pPr>
            <w:r w:rsidRPr="00B170F5">
              <w:rPr>
                <w:sz w:val="20"/>
                <w:szCs w:val="20"/>
              </w:rPr>
              <w:t>Status</w:t>
            </w:r>
          </w:p>
        </w:tc>
      </w:tr>
      <w:tr w:rsidRPr="00B170F5" w:rsidR="00B170F5" w:rsidTr="00B170F5" w14:paraId="329257AF" w14:textId="77777777">
        <w:tc>
          <w:tcPr>
            <w:tcW w:w="5524" w:type="dxa"/>
          </w:tcPr>
          <w:p w:rsidR="00B170F5" w:rsidP="00AE7750" w:rsidRDefault="00B170F5" w14:paraId="4C90D0C7" w14:textId="77777777">
            <w:pPr>
              <w:spacing w:before="100" w:beforeAutospacing="1" w:after="100" w:afterAutospacing="1"/>
              <w:rPr>
                <w:rFonts w:eastAsia="Times New Roman" w:cs="Arial"/>
                <w:sz w:val="20"/>
                <w:szCs w:val="20"/>
                <w:lang w:eastAsia="en-GB"/>
              </w:rPr>
            </w:pPr>
          </w:p>
          <w:p w:rsidR="008364BC" w:rsidP="00AE7750" w:rsidRDefault="00AE7750" w14:paraId="04F38653" w14:textId="77777777">
            <w:pPr>
              <w:spacing w:before="100" w:beforeAutospacing="1" w:after="100" w:afterAutospacing="1"/>
              <w:rPr>
                <w:rFonts w:eastAsia="Times New Roman" w:cs="Arial"/>
                <w:sz w:val="20"/>
                <w:szCs w:val="20"/>
                <w:lang w:eastAsia="en-GB"/>
              </w:rPr>
            </w:pPr>
            <w:r w:rsidRPr="00B170F5">
              <w:rPr>
                <w:rFonts w:eastAsia="Times New Roman" w:cs="Arial"/>
                <w:sz w:val="20"/>
                <w:szCs w:val="20"/>
                <w:lang w:eastAsia="en-GB"/>
              </w:rPr>
              <w:t>DPO will s</w:t>
            </w:r>
            <w:r w:rsidRPr="00B170F5" w:rsidR="00FD62C6">
              <w:rPr>
                <w:rFonts w:eastAsia="Times New Roman" w:cs="Arial"/>
                <w:sz w:val="20"/>
                <w:szCs w:val="20"/>
                <w:lang w:eastAsia="en-GB"/>
              </w:rPr>
              <w:t xml:space="preserve">end survey </w:t>
            </w:r>
            <w:r w:rsidRPr="00B170F5">
              <w:rPr>
                <w:rFonts w:eastAsia="Times New Roman" w:cs="Arial"/>
                <w:sz w:val="20"/>
                <w:szCs w:val="20"/>
                <w:lang w:eastAsia="en-GB"/>
              </w:rPr>
              <w:t>identifying the various activities performed by the organisation that may fall be covered by NDO</w:t>
            </w:r>
          </w:p>
          <w:p w:rsidRPr="00B170F5" w:rsidR="00B170F5" w:rsidP="00AE7750" w:rsidRDefault="00B170F5" w14:paraId="1BC0041D" w14:textId="6AA632B0">
            <w:pPr>
              <w:spacing w:before="100" w:beforeAutospacing="1" w:after="100" w:afterAutospacing="1"/>
              <w:rPr>
                <w:rFonts w:eastAsia="Times New Roman" w:cs="Arial"/>
                <w:sz w:val="20"/>
                <w:szCs w:val="20"/>
                <w:lang w:eastAsia="en-GB"/>
              </w:rPr>
            </w:pPr>
          </w:p>
        </w:tc>
        <w:tc>
          <w:tcPr>
            <w:tcW w:w="2126" w:type="dxa"/>
          </w:tcPr>
          <w:p w:rsidR="008364BC" w:rsidP="0060719D" w:rsidRDefault="008364BC" w14:paraId="6DD54A82" w14:textId="77777777">
            <w:pPr>
              <w:spacing w:before="100" w:beforeAutospacing="1" w:after="100" w:afterAutospacing="1"/>
              <w:rPr>
                <w:sz w:val="20"/>
                <w:szCs w:val="20"/>
              </w:rPr>
            </w:pPr>
          </w:p>
          <w:p w:rsidRPr="00B170F5" w:rsidR="004C5EF2" w:rsidP="0060719D" w:rsidRDefault="004C5EF2" w14:paraId="306A8063" w14:textId="25055CDB">
            <w:pPr>
              <w:spacing w:before="100" w:beforeAutospacing="1" w:after="100" w:afterAutospacing="1"/>
              <w:rPr>
                <w:sz w:val="20"/>
                <w:szCs w:val="20"/>
              </w:rPr>
            </w:pPr>
            <w:r>
              <w:rPr>
                <w:sz w:val="20"/>
                <w:szCs w:val="20"/>
              </w:rPr>
              <w:t>Data Protection Officer</w:t>
            </w:r>
          </w:p>
        </w:tc>
        <w:tc>
          <w:tcPr>
            <w:tcW w:w="1366" w:type="dxa"/>
          </w:tcPr>
          <w:p w:rsidRPr="00B170F5" w:rsidR="008364BC" w:rsidP="0060719D" w:rsidRDefault="008364BC" w14:paraId="00CC241F" w14:textId="77777777">
            <w:pPr>
              <w:spacing w:before="100" w:beforeAutospacing="1" w:after="100" w:afterAutospacing="1"/>
              <w:rPr>
                <w:sz w:val="20"/>
                <w:szCs w:val="20"/>
              </w:rPr>
            </w:pPr>
          </w:p>
        </w:tc>
      </w:tr>
      <w:tr w:rsidRPr="00B170F5" w:rsidR="00B170F5" w:rsidTr="00B170F5" w14:paraId="5A6B37A4" w14:textId="77777777">
        <w:tc>
          <w:tcPr>
            <w:tcW w:w="5524" w:type="dxa"/>
          </w:tcPr>
          <w:p w:rsidR="00B170F5" w:rsidP="0060719D" w:rsidRDefault="00B170F5" w14:paraId="20338E39" w14:textId="77777777">
            <w:pPr>
              <w:spacing w:before="100" w:beforeAutospacing="1" w:after="100" w:afterAutospacing="1"/>
              <w:rPr>
                <w:sz w:val="20"/>
                <w:szCs w:val="20"/>
              </w:rPr>
            </w:pPr>
          </w:p>
          <w:p w:rsidR="00AE7750" w:rsidP="0060719D" w:rsidRDefault="00A2623C" w14:paraId="67521293" w14:textId="77777777">
            <w:pPr>
              <w:spacing w:before="100" w:beforeAutospacing="1" w:after="100" w:afterAutospacing="1"/>
              <w:rPr>
                <w:rFonts w:eastAsia="Times New Roman" w:cs="Arial"/>
                <w:sz w:val="20"/>
                <w:szCs w:val="20"/>
                <w:lang w:eastAsia="en-GB"/>
              </w:rPr>
            </w:pPr>
            <w:r w:rsidRPr="00B170F5">
              <w:rPr>
                <w:sz w:val="20"/>
                <w:szCs w:val="20"/>
              </w:rPr>
              <w:t>Organisation to r</w:t>
            </w:r>
            <w:r w:rsidRPr="00B170F5" w:rsidR="00AE7750">
              <w:rPr>
                <w:sz w:val="20"/>
                <w:szCs w:val="20"/>
              </w:rPr>
              <w:t xml:space="preserve">espond to </w:t>
            </w:r>
            <w:r w:rsidRPr="00B170F5" w:rsidR="00AE7750">
              <w:rPr>
                <w:rFonts w:eastAsia="Times New Roman" w:cs="Arial"/>
                <w:sz w:val="20"/>
                <w:szCs w:val="20"/>
                <w:lang w:eastAsia="en-GB"/>
              </w:rPr>
              <w:t>survey</w:t>
            </w:r>
            <w:r w:rsidRPr="00B170F5" w:rsidR="00A9428A">
              <w:rPr>
                <w:rFonts w:eastAsia="Times New Roman" w:cs="Arial"/>
                <w:sz w:val="20"/>
                <w:szCs w:val="20"/>
                <w:lang w:eastAsia="en-GB"/>
              </w:rPr>
              <w:t>,</w:t>
            </w:r>
            <w:r w:rsidRPr="00B170F5" w:rsidR="00AE7750">
              <w:rPr>
                <w:rFonts w:eastAsia="Times New Roman" w:cs="Arial"/>
                <w:sz w:val="20"/>
                <w:szCs w:val="20"/>
                <w:lang w:eastAsia="en-GB"/>
              </w:rPr>
              <w:t xml:space="preserve"> identifying the various activities performed by the organisation that may fall be covered by NDO</w:t>
            </w:r>
          </w:p>
          <w:p w:rsidRPr="00B170F5" w:rsidR="00B170F5" w:rsidP="0060719D" w:rsidRDefault="00B170F5" w14:paraId="333AA4AD" w14:textId="74E3EEEE">
            <w:pPr>
              <w:spacing w:before="100" w:beforeAutospacing="1" w:after="100" w:afterAutospacing="1"/>
              <w:rPr>
                <w:sz w:val="20"/>
                <w:szCs w:val="20"/>
              </w:rPr>
            </w:pPr>
          </w:p>
        </w:tc>
        <w:tc>
          <w:tcPr>
            <w:tcW w:w="2126" w:type="dxa"/>
          </w:tcPr>
          <w:p w:rsidR="008364BC" w:rsidP="00B170F5" w:rsidRDefault="008364BC" w14:paraId="68D53CA7" w14:textId="77777777">
            <w:pPr>
              <w:spacing w:before="100" w:beforeAutospacing="1" w:after="100" w:afterAutospacing="1"/>
              <w:rPr>
                <w:sz w:val="20"/>
                <w:szCs w:val="20"/>
              </w:rPr>
            </w:pPr>
          </w:p>
          <w:p w:rsidRPr="00B170F5" w:rsidR="004C5EF2" w:rsidP="00B170F5" w:rsidRDefault="004C5EF2" w14:paraId="6BCC467E" w14:textId="56862032">
            <w:pPr>
              <w:spacing w:before="100" w:beforeAutospacing="1" w:after="100" w:afterAutospacing="1"/>
              <w:rPr>
                <w:sz w:val="20"/>
                <w:szCs w:val="20"/>
              </w:rPr>
            </w:pPr>
            <w:r>
              <w:rPr>
                <w:sz w:val="20"/>
                <w:szCs w:val="20"/>
              </w:rPr>
              <w:t>Organisation compliance lead</w:t>
            </w:r>
          </w:p>
        </w:tc>
        <w:tc>
          <w:tcPr>
            <w:tcW w:w="1366" w:type="dxa"/>
          </w:tcPr>
          <w:p w:rsidRPr="00B170F5" w:rsidR="008364BC" w:rsidP="0060719D" w:rsidRDefault="008364BC" w14:paraId="16B93677" w14:textId="77777777">
            <w:pPr>
              <w:spacing w:before="100" w:beforeAutospacing="1" w:after="100" w:afterAutospacing="1"/>
              <w:rPr>
                <w:sz w:val="20"/>
                <w:szCs w:val="20"/>
              </w:rPr>
            </w:pPr>
          </w:p>
        </w:tc>
      </w:tr>
      <w:tr w:rsidRPr="00B170F5" w:rsidR="00B170F5" w:rsidTr="00B170F5" w14:paraId="117FDCDD" w14:textId="77777777">
        <w:tc>
          <w:tcPr>
            <w:tcW w:w="5524" w:type="dxa"/>
          </w:tcPr>
          <w:p w:rsidR="00B170F5" w:rsidP="0060719D" w:rsidRDefault="00B170F5" w14:paraId="52DD7EB7" w14:textId="77777777">
            <w:pPr>
              <w:spacing w:before="100" w:beforeAutospacing="1" w:after="100" w:afterAutospacing="1"/>
              <w:rPr>
                <w:sz w:val="20"/>
                <w:szCs w:val="20"/>
              </w:rPr>
            </w:pPr>
          </w:p>
          <w:p w:rsidR="008364BC" w:rsidP="0060719D" w:rsidRDefault="00A2623C" w14:paraId="0C31AA46" w14:textId="77777777">
            <w:pPr>
              <w:spacing w:before="100" w:beforeAutospacing="1" w:after="100" w:afterAutospacing="1"/>
              <w:rPr>
                <w:sz w:val="20"/>
                <w:szCs w:val="20"/>
              </w:rPr>
            </w:pPr>
            <w:r w:rsidRPr="00B170F5">
              <w:rPr>
                <w:sz w:val="20"/>
                <w:szCs w:val="20"/>
              </w:rPr>
              <w:t>DPO and organisation to identify, against each activity, how it complies (i.e. consent, anonymisation, NDO applied)</w:t>
            </w:r>
          </w:p>
          <w:p w:rsidRPr="00B170F5" w:rsidR="00B170F5" w:rsidP="0060719D" w:rsidRDefault="00B170F5" w14:paraId="5E426232" w14:textId="165313F7">
            <w:pPr>
              <w:spacing w:before="100" w:beforeAutospacing="1" w:after="100" w:afterAutospacing="1"/>
              <w:rPr>
                <w:sz w:val="20"/>
                <w:szCs w:val="20"/>
              </w:rPr>
            </w:pPr>
          </w:p>
        </w:tc>
        <w:tc>
          <w:tcPr>
            <w:tcW w:w="2126" w:type="dxa"/>
          </w:tcPr>
          <w:p w:rsidRPr="00B170F5" w:rsidR="008364BC" w:rsidP="0060719D" w:rsidRDefault="004C5EF2" w14:paraId="33BE0D47" w14:textId="28170B11">
            <w:pPr>
              <w:spacing w:before="100" w:beforeAutospacing="1" w:after="100" w:afterAutospacing="1"/>
              <w:rPr>
                <w:sz w:val="20"/>
                <w:szCs w:val="20"/>
              </w:rPr>
            </w:pPr>
            <w:r>
              <w:rPr>
                <w:sz w:val="20"/>
                <w:szCs w:val="20"/>
              </w:rPr>
              <w:t>Organisation compliance lead / Data Protection Officer</w:t>
            </w:r>
          </w:p>
        </w:tc>
        <w:tc>
          <w:tcPr>
            <w:tcW w:w="1366" w:type="dxa"/>
          </w:tcPr>
          <w:p w:rsidRPr="00B170F5" w:rsidR="008364BC" w:rsidP="0060719D" w:rsidRDefault="008364BC" w14:paraId="1D1032F7" w14:textId="77777777">
            <w:pPr>
              <w:spacing w:before="100" w:beforeAutospacing="1" w:after="100" w:afterAutospacing="1"/>
              <w:rPr>
                <w:sz w:val="20"/>
                <w:szCs w:val="20"/>
              </w:rPr>
            </w:pPr>
          </w:p>
        </w:tc>
      </w:tr>
      <w:tr w:rsidRPr="00B170F5" w:rsidR="00B170F5" w:rsidTr="00B170F5" w14:paraId="16099270" w14:textId="77777777">
        <w:tc>
          <w:tcPr>
            <w:tcW w:w="5524" w:type="dxa"/>
          </w:tcPr>
          <w:p w:rsidR="00B170F5" w:rsidP="0060719D" w:rsidRDefault="00B170F5" w14:paraId="776A7DE1" w14:textId="77777777">
            <w:pPr>
              <w:spacing w:before="100" w:beforeAutospacing="1" w:after="100" w:afterAutospacing="1"/>
              <w:rPr>
                <w:sz w:val="20"/>
                <w:szCs w:val="20"/>
              </w:rPr>
            </w:pPr>
          </w:p>
          <w:p w:rsidR="00A9428A" w:rsidP="0060719D" w:rsidRDefault="00A9428A" w14:paraId="0FC53D74" w14:textId="77777777">
            <w:pPr>
              <w:spacing w:before="100" w:beforeAutospacing="1" w:after="100" w:afterAutospacing="1"/>
              <w:rPr>
                <w:sz w:val="20"/>
                <w:szCs w:val="20"/>
              </w:rPr>
            </w:pPr>
            <w:r w:rsidRPr="00B170F5">
              <w:rPr>
                <w:sz w:val="20"/>
                <w:szCs w:val="20"/>
              </w:rPr>
              <w:t>Check whether NDO transparency materials are live on organisation’s website</w:t>
            </w:r>
          </w:p>
          <w:p w:rsidRPr="00B170F5" w:rsidR="00B170F5" w:rsidP="0060719D" w:rsidRDefault="00B170F5" w14:paraId="7148C76D" w14:textId="4B6C2B48">
            <w:pPr>
              <w:spacing w:before="100" w:beforeAutospacing="1" w:after="100" w:afterAutospacing="1"/>
              <w:rPr>
                <w:sz w:val="20"/>
                <w:szCs w:val="20"/>
              </w:rPr>
            </w:pPr>
          </w:p>
        </w:tc>
        <w:tc>
          <w:tcPr>
            <w:tcW w:w="2126" w:type="dxa"/>
          </w:tcPr>
          <w:p w:rsidR="008364BC" w:rsidP="0060719D" w:rsidRDefault="008364BC" w14:paraId="331B7A50" w14:textId="77777777">
            <w:pPr>
              <w:spacing w:before="100" w:beforeAutospacing="1" w:after="100" w:afterAutospacing="1"/>
              <w:rPr>
                <w:sz w:val="20"/>
                <w:szCs w:val="20"/>
              </w:rPr>
            </w:pPr>
          </w:p>
          <w:p w:rsidRPr="00B170F5" w:rsidR="005B5690" w:rsidP="0060719D" w:rsidRDefault="005B5690" w14:paraId="101782D5" w14:textId="2D7528AB">
            <w:pPr>
              <w:spacing w:before="100" w:beforeAutospacing="1" w:after="100" w:afterAutospacing="1"/>
              <w:rPr>
                <w:sz w:val="20"/>
                <w:szCs w:val="20"/>
              </w:rPr>
            </w:pPr>
            <w:r>
              <w:rPr>
                <w:sz w:val="20"/>
                <w:szCs w:val="20"/>
              </w:rPr>
              <w:t>Organisation compliance lead</w:t>
            </w:r>
          </w:p>
        </w:tc>
        <w:tc>
          <w:tcPr>
            <w:tcW w:w="1366" w:type="dxa"/>
          </w:tcPr>
          <w:p w:rsidRPr="00B170F5" w:rsidR="008364BC" w:rsidP="0060719D" w:rsidRDefault="008364BC" w14:paraId="7102DDF2" w14:textId="77777777">
            <w:pPr>
              <w:spacing w:before="100" w:beforeAutospacing="1" w:after="100" w:afterAutospacing="1"/>
              <w:rPr>
                <w:sz w:val="20"/>
                <w:szCs w:val="20"/>
              </w:rPr>
            </w:pPr>
          </w:p>
        </w:tc>
      </w:tr>
      <w:tr w:rsidRPr="00B170F5" w:rsidR="00B170F5" w:rsidTr="00B170F5" w14:paraId="55DBF1CB" w14:textId="77777777">
        <w:tc>
          <w:tcPr>
            <w:tcW w:w="5524" w:type="dxa"/>
          </w:tcPr>
          <w:p w:rsidR="00B170F5" w:rsidP="0060719D" w:rsidRDefault="00B170F5" w14:paraId="7112CE2D" w14:textId="77777777">
            <w:pPr>
              <w:spacing w:before="100" w:beforeAutospacing="1" w:after="100" w:afterAutospacing="1"/>
              <w:rPr>
                <w:sz w:val="20"/>
                <w:szCs w:val="20"/>
              </w:rPr>
            </w:pPr>
          </w:p>
          <w:p w:rsidR="008364BC" w:rsidP="0060719D" w:rsidRDefault="00A9428A" w14:paraId="3B3658BA" w14:textId="77777777">
            <w:pPr>
              <w:spacing w:before="100" w:beforeAutospacing="1" w:after="100" w:afterAutospacing="1"/>
              <w:rPr>
                <w:sz w:val="20"/>
                <w:szCs w:val="20"/>
              </w:rPr>
            </w:pPr>
            <w:r w:rsidRPr="00B170F5">
              <w:rPr>
                <w:sz w:val="20"/>
                <w:szCs w:val="20"/>
              </w:rPr>
              <w:t>Contact IT provider to set the organisation up with the MESH service</w:t>
            </w:r>
          </w:p>
          <w:p w:rsidRPr="00B170F5" w:rsidR="00B170F5" w:rsidP="0060719D" w:rsidRDefault="00B170F5" w14:paraId="0843A08B" w14:textId="797C9393">
            <w:pPr>
              <w:spacing w:before="100" w:beforeAutospacing="1" w:after="100" w:afterAutospacing="1"/>
              <w:rPr>
                <w:sz w:val="20"/>
                <w:szCs w:val="20"/>
              </w:rPr>
            </w:pPr>
          </w:p>
        </w:tc>
        <w:tc>
          <w:tcPr>
            <w:tcW w:w="2126" w:type="dxa"/>
          </w:tcPr>
          <w:p w:rsidR="008364BC" w:rsidP="0060719D" w:rsidRDefault="008364BC" w14:paraId="57EF5EFD" w14:textId="77777777">
            <w:pPr>
              <w:spacing w:before="100" w:beforeAutospacing="1" w:after="100" w:afterAutospacing="1"/>
              <w:rPr>
                <w:sz w:val="20"/>
                <w:szCs w:val="20"/>
              </w:rPr>
            </w:pPr>
          </w:p>
          <w:p w:rsidRPr="00B170F5" w:rsidR="005B5690" w:rsidP="0060719D" w:rsidRDefault="005B5690" w14:paraId="25729D69" w14:textId="151BE82E">
            <w:pPr>
              <w:spacing w:before="100" w:beforeAutospacing="1" w:after="100" w:afterAutospacing="1"/>
              <w:rPr>
                <w:sz w:val="20"/>
                <w:szCs w:val="20"/>
              </w:rPr>
            </w:pPr>
            <w:r>
              <w:rPr>
                <w:sz w:val="20"/>
                <w:szCs w:val="20"/>
              </w:rPr>
              <w:t>Organisation compliance lead</w:t>
            </w:r>
          </w:p>
        </w:tc>
        <w:tc>
          <w:tcPr>
            <w:tcW w:w="1366" w:type="dxa"/>
          </w:tcPr>
          <w:p w:rsidRPr="00B170F5" w:rsidR="008364BC" w:rsidP="0060719D" w:rsidRDefault="008364BC" w14:paraId="390D7F5D" w14:textId="77777777">
            <w:pPr>
              <w:spacing w:before="100" w:beforeAutospacing="1" w:after="100" w:afterAutospacing="1"/>
              <w:rPr>
                <w:sz w:val="20"/>
                <w:szCs w:val="20"/>
              </w:rPr>
            </w:pPr>
          </w:p>
        </w:tc>
      </w:tr>
      <w:tr w:rsidRPr="00B170F5" w:rsidR="00B170F5" w:rsidTr="00B170F5" w14:paraId="6274A986" w14:textId="77777777">
        <w:tc>
          <w:tcPr>
            <w:tcW w:w="5524" w:type="dxa"/>
          </w:tcPr>
          <w:p w:rsidRPr="00B170F5" w:rsidR="008364BC" w:rsidP="0060719D" w:rsidRDefault="008364BC" w14:paraId="0BFCC077" w14:textId="77777777">
            <w:pPr>
              <w:spacing w:before="100" w:beforeAutospacing="1" w:after="100" w:afterAutospacing="1"/>
              <w:rPr>
                <w:sz w:val="20"/>
                <w:szCs w:val="20"/>
              </w:rPr>
            </w:pPr>
          </w:p>
          <w:p w:rsidRPr="00B170F5" w:rsidR="006A7075" w:rsidP="0060719D" w:rsidRDefault="006A7075" w14:paraId="5FCA71C1" w14:textId="77777777">
            <w:pPr>
              <w:spacing w:before="100" w:beforeAutospacing="1" w:after="100" w:afterAutospacing="1"/>
              <w:rPr>
                <w:sz w:val="20"/>
                <w:szCs w:val="20"/>
              </w:rPr>
            </w:pPr>
            <w:r w:rsidRPr="00B170F5">
              <w:rPr>
                <w:sz w:val="20"/>
                <w:szCs w:val="20"/>
              </w:rPr>
              <w:t xml:space="preserve">Add NDO assessment to all </w:t>
            </w:r>
            <w:r w:rsidRPr="00B170F5" w:rsidR="00F83A4C">
              <w:rPr>
                <w:sz w:val="20"/>
                <w:szCs w:val="20"/>
              </w:rPr>
              <w:t>DPIA and other risk assessments performed by DPO</w:t>
            </w:r>
          </w:p>
          <w:p w:rsidRPr="00B170F5" w:rsidR="00B170F5" w:rsidP="0060719D" w:rsidRDefault="00B170F5" w14:paraId="3B5CF1C3" w14:textId="77777777">
            <w:pPr>
              <w:spacing w:before="100" w:beforeAutospacing="1" w:after="100" w:afterAutospacing="1"/>
              <w:rPr>
                <w:sz w:val="20"/>
                <w:szCs w:val="20"/>
              </w:rPr>
            </w:pPr>
          </w:p>
          <w:p w:rsidR="00B170F5" w:rsidP="0060719D" w:rsidRDefault="00B170F5" w14:paraId="4790EB5F" w14:textId="77777777">
            <w:pPr>
              <w:spacing w:before="100" w:beforeAutospacing="1" w:after="100" w:afterAutospacing="1"/>
              <w:rPr>
                <w:sz w:val="20"/>
                <w:szCs w:val="20"/>
              </w:rPr>
            </w:pPr>
            <w:r w:rsidRPr="00B170F5">
              <w:rPr>
                <w:sz w:val="20"/>
                <w:szCs w:val="20"/>
              </w:rPr>
              <w:t>(This means that new providers and projects will be assessed for NDO as long as they come to the DPO for review)</w:t>
            </w:r>
          </w:p>
          <w:p w:rsidRPr="00B170F5" w:rsidR="00B170F5" w:rsidP="0060719D" w:rsidRDefault="00B170F5" w14:paraId="71D7DEDF" w14:textId="2EF6A7D2">
            <w:pPr>
              <w:spacing w:before="100" w:beforeAutospacing="1" w:after="100" w:afterAutospacing="1"/>
              <w:rPr>
                <w:sz w:val="20"/>
                <w:szCs w:val="20"/>
              </w:rPr>
            </w:pPr>
          </w:p>
        </w:tc>
        <w:tc>
          <w:tcPr>
            <w:tcW w:w="2126" w:type="dxa"/>
          </w:tcPr>
          <w:p w:rsidR="008364BC" w:rsidP="0060719D" w:rsidRDefault="008364BC" w14:paraId="1ECB24EC" w14:textId="77777777">
            <w:pPr>
              <w:spacing w:before="100" w:beforeAutospacing="1" w:after="100" w:afterAutospacing="1"/>
              <w:rPr>
                <w:sz w:val="20"/>
                <w:szCs w:val="20"/>
              </w:rPr>
            </w:pPr>
          </w:p>
          <w:p w:rsidRPr="00B170F5" w:rsidR="005B5690" w:rsidP="0060719D" w:rsidRDefault="005B5690" w14:paraId="018E00F5" w14:textId="6AE916A7">
            <w:pPr>
              <w:spacing w:before="100" w:beforeAutospacing="1" w:after="100" w:afterAutospacing="1"/>
              <w:rPr>
                <w:sz w:val="20"/>
                <w:szCs w:val="20"/>
              </w:rPr>
            </w:pPr>
            <w:r>
              <w:rPr>
                <w:sz w:val="20"/>
                <w:szCs w:val="20"/>
              </w:rPr>
              <w:t>Data Protection Officer</w:t>
            </w:r>
          </w:p>
        </w:tc>
        <w:tc>
          <w:tcPr>
            <w:tcW w:w="1366" w:type="dxa"/>
          </w:tcPr>
          <w:p w:rsidRPr="00B170F5" w:rsidR="008364BC" w:rsidP="0060719D" w:rsidRDefault="008364BC" w14:paraId="3FC778DE" w14:textId="77777777">
            <w:pPr>
              <w:spacing w:before="100" w:beforeAutospacing="1" w:after="100" w:afterAutospacing="1"/>
              <w:rPr>
                <w:sz w:val="20"/>
                <w:szCs w:val="20"/>
              </w:rPr>
            </w:pPr>
          </w:p>
        </w:tc>
      </w:tr>
      <w:tr w:rsidRPr="00B170F5" w:rsidR="005B5690" w:rsidTr="00B170F5" w14:paraId="20BE77B6" w14:textId="77777777">
        <w:tc>
          <w:tcPr>
            <w:tcW w:w="5524" w:type="dxa"/>
          </w:tcPr>
          <w:p w:rsidR="005B5690" w:rsidP="0060719D" w:rsidRDefault="005B5690" w14:paraId="1C4C2E19" w14:textId="77777777">
            <w:pPr>
              <w:spacing w:before="100" w:beforeAutospacing="1" w:after="100" w:afterAutospacing="1"/>
              <w:rPr>
                <w:sz w:val="20"/>
                <w:szCs w:val="20"/>
              </w:rPr>
            </w:pPr>
          </w:p>
          <w:p w:rsidRPr="00B170F5" w:rsidR="005B5690" w:rsidP="0060719D" w:rsidRDefault="005B5690" w14:paraId="2ADF997F" w14:textId="1EBB8E3B">
            <w:pPr>
              <w:spacing w:before="100" w:beforeAutospacing="1" w:after="100" w:afterAutospacing="1"/>
              <w:rPr>
                <w:sz w:val="20"/>
                <w:szCs w:val="20"/>
              </w:rPr>
            </w:pPr>
            <w:r>
              <w:rPr>
                <w:sz w:val="20"/>
                <w:szCs w:val="20"/>
              </w:rPr>
              <w:t>Ensure that all new projects or initiatives continue to be passed to DPO for review</w:t>
            </w:r>
          </w:p>
        </w:tc>
        <w:tc>
          <w:tcPr>
            <w:tcW w:w="2126" w:type="dxa"/>
          </w:tcPr>
          <w:p w:rsidR="005B5690" w:rsidP="0060719D" w:rsidRDefault="005B5690" w14:paraId="0C4A836B" w14:textId="77777777">
            <w:pPr>
              <w:spacing w:before="100" w:beforeAutospacing="1" w:after="100" w:afterAutospacing="1"/>
              <w:rPr>
                <w:sz w:val="20"/>
                <w:szCs w:val="20"/>
              </w:rPr>
            </w:pPr>
          </w:p>
          <w:p w:rsidR="005B5690" w:rsidP="0060719D" w:rsidRDefault="005B5690" w14:paraId="2D263593" w14:textId="77777777">
            <w:pPr>
              <w:spacing w:before="100" w:beforeAutospacing="1" w:after="100" w:afterAutospacing="1"/>
              <w:rPr>
                <w:sz w:val="20"/>
                <w:szCs w:val="20"/>
              </w:rPr>
            </w:pPr>
            <w:r>
              <w:rPr>
                <w:sz w:val="20"/>
                <w:szCs w:val="20"/>
              </w:rPr>
              <w:t>Organisation compliance lead</w:t>
            </w:r>
          </w:p>
          <w:p w:rsidR="005B5690" w:rsidP="0060719D" w:rsidRDefault="005B5690" w14:paraId="5F107699" w14:textId="3191458E">
            <w:pPr>
              <w:spacing w:before="100" w:beforeAutospacing="1" w:after="100" w:afterAutospacing="1"/>
              <w:rPr>
                <w:sz w:val="20"/>
                <w:szCs w:val="20"/>
              </w:rPr>
            </w:pPr>
          </w:p>
        </w:tc>
        <w:tc>
          <w:tcPr>
            <w:tcW w:w="1366" w:type="dxa"/>
          </w:tcPr>
          <w:p w:rsidRPr="00B170F5" w:rsidR="005B5690" w:rsidP="0060719D" w:rsidRDefault="005B5690" w14:paraId="15A2C724" w14:textId="77777777">
            <w:pPr>
              <w:spacing w:before="100" w:beforeAutospacing="1" w:after="100" w:afterAutospacing="1"/>
              <w:rPr>
                <w:sz w:val="20"/>
                <w:szCs w:val="20"/>
              </w:rPr>
            </w:pPr>
          </w:p>
        </w:tc>
      </w:tr>
      <w:tr w:rsidRPr="00B170F5" w:rsidR="00D238FF" w:rsidTr="00B170F5" w14:paraId="45515B60" w14:textId="77777777">
        <w:tc>
          <w:tcPr>
            <w:tcW w:w="5524" w:type="dxa"/>
          </w:tcPr>
          <w:p w:rsidR="00D238FF" w:rsidP="0060719D" w:rsidRDefault="00D238FF" w14:paraId="6223F038" w14:textId="77777777">
            <w:pPr>
              <w:spacing w:before="100" w:beforeAutospacing="1" w:after="100" w:afterAutospacing="1"/>
              <w:rPr>
                <w:sz w:val="20"/>
                <w:szCs w:val="20"/>
              </w:rPr>
            </w:pPr>
          </w:p>
          <w:p w:rsidR="00D238FF" w:rsidP="0060719D" w:rsidRDefault="00D238FF" w14:paraId="5A50AD9B" w14:textId="17A2D16E">
            <w:pPr>
              <w:spacing w:before="100" w:beforeAutospacing="1" w:after="100" w:afterAutospacing="1"/>
              <w:rPr>
                <w:sz w:val="20"/>
                <w:szCs w:val="20"/>
              </w:rPr>
            </w:pPr>
            <w:r>
              <w:rPr>
                <w:sz w:val="20"/>
                <w:szCs w:val="20"/>
              </w:rPr>
              <w:t>Check the clinical system for any pre-con</w:t>
            </w:r>
            <w:r w:rsidR="00561165">
              <w:rPr>
                <w:sz w:val="20"/>
                <w:szCs w:val="20"/>
              </w:rPr>
              <w:t>fi</w:t>
            </w:r>
            <w:r>
              <w:rPr>
                <w:sz w:val="20"/>
                <w:szCs w:val="20"/>
              </w:rPr>
              <w:t>gured reports that run automatically, are not anonymised and are not used for direct care (flag with DPO as appropriate)</w:t>
            </w:r>
          </w:p>
          <w:p w:rsidR="00D238FF" w:rsidP="0060719D" w:rsidRDefault="00D238FF" w14:paraId="0D6C0842" w14:textId="7A0CDB94">
            <w:pPr>
              <w:spacing w:before="100" w:beforeAutospacing="1" w:after="100" w:afterAutospacing="1"/>
              <w:rPr>
                <w:sz w:val="20"/>
                <w:szCs w:val="20"/>
              </w:rPr>
            </w:pPr>
          </w:p>
        </w:tc>
        <w:tc>
          <w:tcPr>
            <w:tcW w:w="2126" w:type="dxa"/>
          </w:tcPr>
          <w:p w:rsidR="007C24E5" w:rsidP="007C24E5" w:rsidRDefault="007C24E5" w14:paraId="2CDB5404" w14:textId="77777777">
            <w:pPr>
              <w:spacing w:before="100" w:beforeAutospacing="1" w:after="100" w:afterAutospacing="1"/>
              <w:rPr>
                <w:sz w:val="20"/>
                <w:szCs w:val="20"/>
              </w:rPr>
            </w:pPr>
          </w:p>
          <w:p w:rsidR="007C24E5" w:rsidP="007C24E5" w:rsidRDefault="007C24E5" w14:paraId="17196FD5" w14:textId="5540AA8A">
            <w:pPr>
              <w:spacing w:before="100" w:beforeAutospacing="1" w:after="100" w:afterAutospacing="1"/>
              <w:rPr>
                <w:sz w:val="20"/>
                <w:szCs w:val="20"/>
              </w:rPr>
            </w:pPr>
            <w:r>
              <w:rPr>
                <w:sz w:val="20"/>
                <w:szCs w:val="20"/>
              </w:rPr>
              <w:t>Organisation compliance lead</w:t>
            </w:r>
          </w:p>
          <w:p w:rsidR="00D238FF" w:rsidP="0060719D" w:rsidRDefault="00D238FF" w14:paraId="04858347" w14:textId="77777777">
            <w:pPr>
              <w:spacing w:before="100" w:beforeAutospacing="1" w:after="100" w:afterAutospacing="1"/>
              <w:rPr>
                <w:sz w:val="20"/>
                <w:szCs w:val="20"/>
              </w:rPr>
            </w:pPr>
          </w:p>
        </w:tc>
        <w:tc>
          <w:tcPr>
            <w:tcW w:w="1366" w:type="dxa"/>
          </w:tcPr>
          <w:p w:rsidRPr="00B170F5" w:rsidR="00D238FF" w:rsidP="0060719D" w:rsidRDefault="00D238FF" w14:paraId="1109F038" w14:textId="77777777">
            <w:pPr>
              <w:spacing w:before="100" w:beforeAutospacing="1" w:after="100" w:afterAutospacing="1"/>
              <w:rPr>
                <w:sz w:val="20"/>
                <w:szCs w:val="20"/>
              </w:rPr>
            </w:pPr>
          </w:p>
        </w:tc>
      </w:tr>
      <w:tr w:rsidRPr="00B170F5" w:rsidR="00561165" w:rsidTr="00B170F5" w14:paraId="26FE7638" w14:textId="77777777">
        <w:tc>
          <w:tcPr>
            <w:tcW w:w="5524" w:type="dxa"/>
          </w:tcPr>
          <w:p w:rsidR="00561165" w:rsidP="0060719D" w:rsidRDefault="00561165" w14:paraId="6DDFDC73" w14:textId="77777777">
            <w:pPr>
              <w:spacing w:before="100" w:beforeAutospacing="1" w:after="100" w:afterAutospacing="1"/>
              <w:rPr>
                <w:sz w:val="20"/>
                <w:szCs w:val="20"/>
              </w:rPr>
            </w:pPr>
          </w:p>
          <w:p w:rsidR="00561165" w:rsidP="0060719D" w:rsidRDefault="00561165" w14:paraId="5D23B5F0" w14:textId="53288B06">
            <w:pPr>
              <w:spacing w:before="100" w:beforeAutospacing="1" w:after="100" w:afterAutospacing="1"/>
              <w:rPr>
                <w:sz w:val="20"/>
                <w:szCs w:val="20"/>
              </w:rPr>
            </w:pPr>
            <w:r>
              <w:rPr>
                <w:sz w:val="20"/>
                <w:szCs w:val="20"/>
              </w:rPr>
              <w:t>Removed any old or unused</w:t>
            </w:r>
            <w:r w:rsidR="00B12493">
              <w:rPr>
                <w:sz w:val="20"/>
                <w:szCs w:val="20"/>
              </w:rPr>
              <w:t xml:space="preserve"> system</w:t>
            </w:r>
            <w:r>
              <w:rPr>
                <w:sz w:val="20"/>
                <w:szCs w:val="20"/>
              </w:rPr>
              <w:t xml:space="preserve"> reports to prevent accidental reporting where the opt outs have not been applied</w:t>
            </w:r>
            <w:r w:rsidR="007C24E5">
              <w:rPr>
                <w:sz w:val="20"/>
                <w:szCs w:val="20"/>
              </w:rPr>
              <w:t xml:space="preserve"> </w:t>
            </w:r>
          </w:p>
        </w:tc>
        <w:tc>
          <w:tcPr>
            <w:tcW w:w="2126" w:type="dxa"/>
          </w:tcPr>
          <w:p w:rsidR="00561165" w:rsidP="0060719D" w:rsidRDefault="00561165" w14:paraId="3A40E3BA" w14:textId="77777777">
            <w:pPr>
              <w:spacing w:before="100" w:beforeAutospacing="1" w:after="100" w:afterAutospacing="1"/>
              <w:rPr>
                <w:sz w:val="20"/>
                <w:szCs w:val="20"/>
              </w:rPr>
            </w:pPr>
          </w:p>
          <w:p w:rsidR="007C24E5" w:rsidP="007C24E5" w:rsidRDefault="007C24E5" w14:paraId="666D30B5" w14:textId="77777777">
            <w:pPr>
              <w:spacing w:before="100" w:beforeAutospacing="1" w:after="100" w:afterAutospacing="1"/>
              <w:rPr>
                <w:sz w:val="20"/>
                <w:szCs w:val="20"/>
              </w:rPr>
            </w:pPr>
            <w:r>
              <w:rPr>
                <w:sz w:val="20"/>
                <w:szCs w:val="20"/>
              </w:rPr>
              <w:t>Organisation compliance lead</w:t>
            </w:r>
          </w:p>
          <w:p w:rsidR="007C24E5" w:rsidP="0060719D" w:rsidRDefault="007C24E5" w14:paraId="3E079BD8" w14:textId="7532D5CC">
            <w:pPr>
              <w:spacing w:before="100" w:beforeAutospacing="1" w:after="100" w:afterAutospacing="1"/>
              <w:rPr>
                <w:sz w:val="20"/>
                <w:szCs w:val="20"/>
              </w:rPr>
            </w:pPr>
          </w:p>
        </w:tc>
        <w:tc>
          <w:tcPr>
            <w:tcW w:w="1366" w:type="dxa"/>
          </w:tcPr>
          <w:p w:rsidRPr="00B170F5" w:rsidR="00561165" w:rsidP="0060719D" w:rsidRDefault="00561165" w14:paraId="44F285A9" w14:textId="77777777">
            <w:pPr>
              <w:spacing w:before="100" w:beforeAutospacing="1" w:after="100" w:afterAutospacing="1"/>
              <w:rPr>
                <w:sz w:val="20"/>
                <w:szCs w:val="20"/>
              </w:rPr>
            </w:pPr>
          </w:p>
        </w:tc>
      </w:tr>
    </w:tbl>
    <w:p w:rsidRPr="0060719D" w:rsidR="008364BC" w:rsidP="0060719D" w:rsidRDefault="008364BC" w14:paraId="55660BF1" w14:textId="77777777">
      <w:pPr>
        <w:spacing w:before="100" w:beforeAutospacing="1" w:after="100" w:afterAutospacing="1"/>
        <w:rPr>
          <w:sz w:val="24"/>
        </w:rPr>
      </w:pPr>
    </w:p>
    <w:p w:rsidR="00E8619F" w:rsidP="00FE3AD3" w:rsidRDefault="00E8619F" w14:paraId="036FF6A5" w14:textId="77777777">
      <w:pPr>
        <w:rPr>
          <w:sz w:val="24"/>
        </w:rPr>
      </w:pPr>
    </w:p>
    <w:p w:rsidRPr="00835E82" w:rsidR="00E8619F" w:rsidP="00FE3AD3" w:rsidRDefault="00E8619F" w14:paraId="6AC0012C" w14:textId="77777777">
      <w:pPr>
        <w:rPr>
          <w:sz w:val="24"/>
        </w:rPr>
      </w:pPr>
    </w:p>
    <w:sectPr w:rsidRPr="00835E82" w:rsidR="00E861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A60B" w14:textId="77777777" w:rsidR="00FD184C" w:rsidRDefault="00FD184C" w:rsidP="00FD184C">
      <w:pPr>
        <w:spacing w:after="0" w:line="240" w:lineRule="auto"/>
      </w:pPr>
      <w:r>
        <w:separator/>
      </w:r>
    </w:p>
  </w:endnote>
  <w:endnote w:type="continuationSeparator" w:id="0">
    <w:p w14:paraId="174DEA42" w14:textId="77777777" w:rsidR="00FD184C" w:rsidRDefault="00FD184C" w:rsidP="00FD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Arial">
    <w:altName w:val="Arial Narrow"/>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C48B" w14:textId="77777777" w:rsidR="00FD184C" w:rsidRDefault="00FD184C" w:rsidP="00FD184C">
      <w:pPr>
        <w:spacing w:after="0" w:line="240" w:lineRule="auto"/>
      </w:pPr>
      <w:r>
        <w:separator/>
      </w:r>
    </w:p>
  </w:footnote>
  <w:footnote w:type="continuationSeparator" w:id="0">
    <w:p w14:paraId="28A089CA" w14:textId="77777777" w:rsidR="00FD184C" w:rsidRDefault="00FD184C" w:rsidP="00FD184C">
      <w:pPr>
        <w:spacing w:after="0" w:line="240" w:lineRule="auto"/>
      </w:pPr>
      <w:r>
        <w:continuationSeparator/>
      </w:r>
    </w:p>
  </w:footnote>
  <w:footnote w:id="1">
    <w:p w14:paraId="1BB764CD" w14:textId="70F45368" w:rsidR="00FD184C" w:rsidRDefault="00FD184C">
      <w:pPr>
        <w:pStyle w:val="FootnoteText"/>
      </w:pPr>
      <w:r>
        <w:rPr>
          <w:rStyle w:val="FootnoteReference"/>
        </w:rPr>
        <w:footnoteRef/>
      </w:r>
      <w:r>
        <w:t xml:space="preserve"> </w:t>
      </w:r>
      <w:hyperlink r:id="rId1" w:history="1">
        <w:r w:rsidRPr="00254475">
          <w:rPr>
            <w:rStyle w:val="Hyperlink"/>
          </w:rPr>
          <w:t>https://assets.publishing.service.gov.uk/government/uploads/system/uploads/attachment_data/file/192572/2900774_InfoGovernance_accv2.pdf</w:t>
        </w:r>
      </w:hyperlink>
      <w:r>
        <w:t xml:space="preserve"> </w:t>
      </w:r>
    </w:p>
  </w:footnote>
  <w:footnote w:id="2">
    <w:p w14:paraId="5EEE7838" w14:textId="27AEC706" w:rsidR="001170B6" w:rsidRDefault="001170B6">
      <w:pPr>
        <w:pStyle w:val="FootnoteText"/>
      </w:pPr>
      <w:r>
        <w:rPr>
          <w:rStyle w:val="FootnoteReference"/>
        </w:rPr>
        <w:footnoteRef/>
      </w:r>
      <w:r>
        <w:t xml:space="preserve"> </w:t>
      </w:r>
      <w:hyperlink r:id="rId2" w:history="1">
        <w:r w:rsidRPr="00254475">
          <w:rPr>
            <w:rStyle w:val="Hyperlink"/>
          </w:rPr>
          <w:t>https://assets.publishing.service.gov.uk/government/uploads/system/uploads/attachment_data/file/192572/2900774_InfoGovernance_accv2.pdf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985"/>
    <w:multiLevelType w:val="hybridMultilevel"/>
    <w:tmpl w:val="5BCA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3FB"/>
    <w:multiLevelType w:val="hybridMultilevel"/>
    <w:tmpl w:val="86260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D663D"/>
    <w:multiLevelType w:val="hybridMultilevel"/>
    <w:tmpl w:val="DCB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43B2C"/>
    <w:multiLevelType w:val="hybridMultilevel"/>
    <w:tmpl w:val="8E7C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F174F"/>
    <w:multiLevelType w:val="hybridMultilevel"/>
    <w:tmpl w:val="1B364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B1A2C"/>
    <w:multiLevelType w:val="hybridMultilevel"/>
    <w:tmpl w:val="924C0032"/>
    <w:lvl w:ilvl="0" w:tplc="D676F75C">
      <w:start w:val="1"/>
      <w:numFmt w:val="bullet"/>
      <w:lvlText w:val=""/>
      <w:lvlJc w:val="left"/>
      <w:pPr>
        <w:ind w:left="720" w:hanging="360"/>
      </w:pPr>
      <w:rPr>
        <w:rFonts w:ascii="Symbol" w:hAnsi="Symbol" w:hint="default"/>
        <w:color w:val="385623" w:themeColor="accent6" w:themeShade="80"/>
        <w:sz w:val="36"/>
        <w:szCs w:val="36"/>
        <w:u w:color="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C7D93"/>
    <w:multiLevelType w:val="hybridMultilevel"/>
    <w:tmpl w:val="EFA8B1E8"/>
    <w:lvl w:ilvl="0" w:tplc="43F8F9B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234A2D"/>
    <w:multiLevelType w:val="hybridMultilevel"/>
    <w:tmpl w:val="FF308058"/>
    <w:lvl w:ilvl="0" w:tplc="1BBEAD40">
      <w:start w:val="1"/>
      <w:numFmt w:val="decimal"/>
      <w:lvlText w:val="%1."/>
      <w:lvlJc w:val="left"/>
      <w:pPr>
        <w:ind w:left="720" w:hanging="360"/>
      </w:pPr>
      <w:rPr>
        <w:rFonts w:eastAsia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8F7CBB"/>
    <w:multiLevelType w:val="hybridMultilevel"/>
    <w:tmpl w:val="ABDC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92CF3"/>
    <w:multiLevelType w:val="hybridMultilevel"/>
    <w:tmpl w:val="7B723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94D66"/>
    <w:multiLevelType w:val="hybridMultilevel"/>
    <w:tmpl w:val="F116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87A96"/>
    <w:multiLevelType w:val="hybridMultilevel"/>
    <w:tmpl w:val="4CB6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E3C9A"/>
    <w:multiLevelType w:val="hybridMultilevel"/>
    <w:tmpl w:val="83DE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81E94"/>
    <w:multiLevelType w:val="hybridMultilevel"/>
    <w:tmpl w:val="6566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86597"/>
    <w:multiLevelType w:val="hybridMultilevel"/>
    <w:tmpl w:val="3A32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B4C05"/>
    <w:multiLevelType w:val="hybridMultilevel"/>
    <w:tmpl w:val="11FC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E4BD8"/>
    <w:multiLevelType w:val="hybridMultilevel"/>
    <w:tmpl w:val="EFA8B1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BA4E5F"/>
    <w:multiLevelType w:val="hybridMultilevel"/>
    <w:tmpl w:val="16E4A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51012D"/>
    <w:multiLevelType w:val="hybridMultilevel"/>
    <w:tmpl w:val="7FD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E36EDE"/>
    <w:multiLevelType w:val="hybridMultilevel"/>
    <w:tmpl w:val="29E21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65507966">
    <w:abstractNumId w:val="8"/>
  </w:num>
  <w:num w:numId="2" w16cid:durableId="270675419">
    <w:abstractNumId w:val="5"/>
  </w:num>
  <w:num w:numId="3" w16cid:durableId="1270773288">
    <w:abstractNumId w:val="19"/>
  </w:num>
  <w:num w:numId="4" w16cid:durableId="1910310501">
    <w:abstractNumId w:val="12"/>
  </w:num>
  <w:num w:numId="5" w16cid:durableId="1076976807">
    <w:abstractNumId w:val="13"/>
  </w:num>
  <w:num w:numId="6" w16cid:durableId="423917398">
    <w:abstractNumId w:val="9"/>
  </w:num>
  <w:num w:numId="7" w16cid:durableId="765926667">
    <w:abstractNumId w:val="15"/>
  </w:num>
  <w:num w:numId="8" w16cid:durableId="1611426321">
    <w:abstractNumId w:val="18"/>
  </w:num>
  <w:num w:numId="9" w16cid:durableId="1448237908">
    <w:abstractNumId w:val="0"/>
  </w:num>
  <w:num w:numId="10" w16cid:durableId="1106999808">
    <w:abstractNumId w:val="11"/>
  </w:num>
  <w:num w:numId="11" w16cid:durableId="1837066250">
    <w:abstractNumId w:val="1"/>
  </w:num>
  <w:num w:numId="12" w16cid:durableId="917325354">
    <w:abstractNumId w:val="2"/>
  </w:num>
  <w:num w:numId="13" w16cid:durableId="1838301547">
    <w:abstractNumId w:val="14"/>
  </w:num>
  <w:num w:numId="14" w16cid:durableId="428551990">
    <w:abstractNumId w:val="3"/>
  </w:num>
  <w:num w:numId="15" w16cid:durableId="2026518874">
    <w:abstractNumId w:val="10"/>
  </w:num>
  <w:num w:numId="16" w16cid:durableId="1972779954">
    <w:abstractNumId w:val="17"/>
  </w:num>
  <w:num w:numId="17" w16cid:durableId="138613969">
    <w:abstractNumId w:val="6"/>
  </w:num>
  <w:num w:numId="18" w16cid:durableId="536747304">
    <w:abstractNumId w:val="4"/>
  </w:num>
  <w:num w:numId="19" w16cid:durableId="30738607">
    <w:abstractNumId w:val="7"/>
  </w:num>
  <w:num w:numId="20" w16cid:durableId="9434180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A3"/>
    <w:rsid w:val="00023566"/>
    <w:rsid w:val="00054103"/>
    <w:rsid w:val="00071AC2"/>
    <w:rsid w:val="00085361"/>
    <w:rsid w:val="000E2D2B"/>
    <w:rsid w:val="000F777E"/>
    <w:rsid w:val="00116D86"/>
    <w:rsid w:val="001170B6"/>
    <w:rsid w:val="00145C65"/>
    <w:rsid w:val="001868EB"/>
    <w:rsid w:val="001A16C0"/>
    <w:rsid w:val="001B0D1A"/>
    <w:rsid w:val="001B284E"/>
    <w:rsid w:val="001B4B2A"/>
    <w:rsid w:val="001C6F96"/>
    <w:rsid w:val="001E1FC2"/>
    <w:rsid w:val="00202590"/>
    <w:rsid w:val="00217B15"/>
    <w:rsid w:val="002308EE"/>
    <w:rsid w:val="002352C3"/>
    <w:rsid w:val="002535F1"/>
    <w:rsid w:val="00264AA0"/>
    <w:rsid w:val="002674F5"/>
    <w:rsid w:val="0029525C"/>
    <w:rsid w:val="002F026E"/>
    <w:rsid w:val="00397A2F"/>
    <w:rsid w:val="003A4BD8"/>
    <w:rsid w:val="003C038F"/>
    <w:rsid w:val="003E1D6F"/>
    <w:rsid w:val="003F1A76"/>
    <w:rsid w:val="004126CA"/>
    <w:rsid w:val="00425395"/>
    <w:rsid w:val="004263F7"/>
    <w:rsid w:val="00440B1D"/>
    <w:rsid w:val="00445CAC"/>
    <w:rsid w:val="00451847"/>
    <w:rsid w:val="00457CDF"/>
    <w:rsid w:val="004626AB"/>
    <w:rsid w:val="00465955"/>
    <w:rsid w:val="00465AC8"/>
    <w:rsid w:val="004927FE"/>
    <w:rsid w:val="004969C0"/>
    <w:rsid w:val="004A144A"/>
    <w:rsid w:val="004C5EF2"/>
    <w:rsid w:val="004D3BFF"/>
    <w:rsid w:val="004F3C5D"/>
    <w:rsid w:val="00502B22"/>
    <w:rsid w:val="00521600"/>
    <w:rsid w:val="00540D66"/>
    <w:rsid w:val="00546579"/>
    <w:rsid w:val="005561F0"/>
    <w:rsid w:val="00561165"/>
    <w:rsid w:val="00566193"/>
    <w:rsid w:val="00596AEE"/>
    <w:rsid w:val="005B27AD"/>
    <w:rsid w:val="005B5690"/>
    <w:rsid w:val="005C0885"/>
    <w:rsid w:val="005D501F"/>
    <w:rsid w:val="005E2F27"/>
    <w:rsid w:val="005F2B8E"/>
    <w:rsid w:val="005F5665"/>
    <w:rsid w:val="0060719D"/>
    <w:rsid w:val="006314CF"/>
    <w:rsid w:val="00632E62"/>
    <w:rsid w:val="0063381A"/>
    <w:rsid w:val="00665F5F"/>
    <w:rsid w:val="006669D1"/>
    <w:rsid w:val="00684C2A"/>
    <w:rsid w:val="006919D1"/>
    <w:rsid w:val="006951B0"/>
    <w:rsid w:val="006A7075"/>
    <w:rsid w:val="006E49DF"/>
    <w:rsid w:val="006F3D6C"/>
    <w:rsid w:val="00707A82"/>
    <w:rsid w:val="00711A85"/>
    <w:rsid w:val="007236D8"/>
    <w:rsid w:val="0078503C"/>
    <w:rsid w:val="007C24E5"/>
    <w:rsid w:val="007F2FA5"/>
    <w:rsid w:val="00835E82"/>
    <w:rsid w:val="008364BC"/>
    <w:rsid w:val="008E0590"/>
    <w:rsid w:val="008E6AF4"/>
    <w:rsid w:val="008F0E90"/>
    <w:rsid w:val="008F5824"/>
    <w:rsid w:val="00951479"/>
    <w:rsid w:val="009519CC"/>
    <w:rsid w:val="00957599"/>
    <w:rsid w:val="00970373"/>
    <w:rsid w:val="009F0A77"/>
    <w:rsid w:val="00A13453"/>
    <w:rsid w:val="00A2623C"/>
    <w:rsid w:val="00A3644C"/>
    <w:rsid w:val="00A531B0"/>
    <w:rsid w:val="00A6547B"/>
    <w:rsid w:val="00A708FD"/>
    <w:rsid w:val="00A9428A"/>
    <w:rsid w:val="00AB116A"/>
    <w:rsid w:val="00AC151B"/>
    <w:rsid w:val="00AD1F29"/>
    <w:rsid w:val="00AE7750"/>
    <w:rsid w:val="00AF5A0D"/>
    <w:rsid w:val="00B02D7C"/>
    <w:rsid w:val="00B12493"/>
    <w:rsid w:val="00B170F5"/>
    <w:rsid w:val="00B579A2"/>
    <w:rsid w:val="00B66165"/>
    <w:rsid w:val="00BA1866"/>
    <w:rsid w:val="00BB4B7F"/>
    <w:rsid w:val="00C63ACF"/>
    <w:rsid w:val="00C673C5"/>
    <w:rsid w:val="00C77234"/>
    <w:rsid w:val="00C90EF1"/>
    <w:rsid w:val="00C95294"/>
    <w:rsid w:val="00CB4758"/>
    <w:rsid w:val="00CC13FA"/>
    <w:rsid w:val="00CC5E98"/>
    <w:rsid w:val="00CE6FCA"/>
    <w:rsid w:val="00CF6320"/>
    <w:rsid w:val="00D22149"/>
    <w:rsid w:val="00D238FF"/>
    <w:rsid w:val="00D43121"/>
    <w:rsid w:val="00D44098"/>
    <w:rsid w:val="00D677D9"/>
    <w:rsid w:val="00DF158C"/>
    <w:rsid w:val="00E01003"/>
    <w:rsid w:val="00E41C43"/>
    <w:rsid w:val="00E53212"/>
    <w:rsid w:val="00E720D3"/>
    <w:rsid w:val="00E8619F"/>
    <w:rsid w:val="00EA2D06"/>
    <w:rsid w:val="00ED74A3"/>
    <w:rsid w:val="00F83A4C"/>
    <w:rsid w:val="00FA10CC"/>
    <w:rsid w:val="00FA5E55"/>
    <w:rsid w:val="00FB3ECD"/>
    <w:rsid w:val="00FD184C"/>
    <w:rsid w:val="00FD62C6"/>
    <w:rsid w:val="00FD7867"/>
    <w:rsid w:val="00FE3AD3"/>
    <w:rsid w:val="00FF367E"/>
    <w:rsid w:val="00FF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8F20"/>
  <w15:chartTrackingRefBased/>
  <w15:docId w15:val="{47A643DE-E5FB-4683-BFFD-A9AB5C7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A3"/>
    <w:pPr>
      <w:spacing w:line="360" w:lineRule="auto"/>
      <w:contextualSpacing/>
    </w:pPr>
    <w:rPr>
      <w:rFonts w:ascii="Roboto Lt" w:hAnsi="Roboto Lt"/>
      <w:szCs w:val="24"/>
    </w:rPr>
  </w:style>
  <w:style w:type="paragraph" w:styleId="Heading1">
    <w:name w:val="heading 1"/>
    <w:basedOn w:val="Normal"/>
    <w:next w:val="Normal"/>
    <w:link w:val="Heading1Char"/>
    <w:uiPriority w:val="9"/>
    <w:qFormat/>
    <w:rsid w:val="00ED7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ED74A3"/>
    <w:pPr>
      <w:pBdr>
        <w:top w:val="single" w:sz="24" w:space="8" w:color="464646"/>
        <w:bottom w:val="single" w:sz="24" w:space="8" w:color="464646"/>
      </w:pBdr>
      <w:jc w:val="right"/>
    </w:pPr>
    <w:rPr>
      <w:rFonts w:ascii="Libre Caslon Display" w:hAnsi="Libre Caslon Display"/>
      <w:color w:val="1F4B18"/>
      <w:sz w:val="40"/>
      <w:szCs w:val="40"/>
    </w:rPr>
  </w:style>
  <w:style w:type="character" w:customStyle="1" w:styleId="Style1Char">
    <w:name w:val="Style1 Char"/>
    <w:basedOn w:val="DefaultParagraphFont"/>
    <w:link w:val="Style1"/>
    <w:rsid w:val="00ED74A3"/>
    <w:rPr>
      <w:rFonts w:ascii="Libre Caslon Display" w:eastAsiaTheme="majorEastAsia" w:hAnsi="Libre Caslon Display" w:cstheme="majorBidi"/>
      <w:color w:val="1F4B18"/>
      <w:sz w:val="40"/>
      <w:szCs w:val="40"/>
    </w:rPr>
  </w:style>
  <w:style w:type="paragraph" w:styleId="ListParagraph">
    <w:name w:val="List Paragraph"/>
    <w:basedOn w:val="Normal"/>
    <w:link w:val="ListParagraphChar"/>
    <w:uiPriority w:val="34"/>
    <w:qFormat/>
    <w:rsid w:val="00ED74A3"/>
    <w:pPr>
      <w:ind w:left="720"/>
    </w:pPr>
  </w:style>
  <w:style w:type="character" w:customStyle="1" w:styleId="ListParagraphChar">
    <w:name w:val="List Paragraph Char"/>
    <w:basedOn w:val="DefaultParagraphFont"/>
    <w:link w:val="ListParagraph"/>
    <w:uiPriority w:val="34"/>
    <w:rsid w:val="00ED74A3"/>
    <w:rPr>
      <w:rFonts w:ascii="Roboto Lt" w:hAnsi="Roboto Lt"/>
      <w:szCs w:val="24"/>
    </w:rPr>
  </w:style>
  <w:style w:type="character" w:customStyle="1" w:styleId="Heading1Char">
    <w:name w:val="Heading 1 Char"/>
    <w:basedOn w:val="DefaultParagraphFont"/>
    <w:link w:val="Heading1"/>
    <w:uiPriority w:val="9"/>
    <w:rsid w:val="00ED74A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02B22"/>
    <w:rPr>
      <w:color w:val="808080"/>
    </w:rPr>
  </w:style>
  <w:style w:type="table" w:styleId="TableGrid">
    <w:name w:val="Table Grid"/>
    <w:basedOn w:val="TableNormal"/>
    <w:uiPriority w:val="39"/>
    <w:rsid w:val="0054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d-t-body">
    <w:name w:val="nhsd-t-body"/>
    <w:basedOn w:val="Normal"/>
    <w:rsid w:val="00B579A2"/>
    <w:pPr>
      <w:spacing w:before="100" w:beforeAutospacing="1" w:after="100" w:afterAutospacing="1" w:line="240" w:lineRule="auto"/>
      <w:contextualSpacing w:val="0"/>
    </w:pPr>
    <w:rPr>
      <w:rFonts w:ascii="Times New Roman" w:eastAsia="Times New Roman" w:hAnsi="Times New Roman" w:cs="Times New Roman"/>
      <w:sz w:val="24"/>
      <w:lang w:eastAsia="en-GB"/>
    </w:rPr>
  </w:style>
  <w:style w:type="character" w:styleId="Hyperlink">
    <w:name w:val="Hyperlink"/>
    <w:basedOn w:val="DefaultParagraphFont"/>
    <w:uiPriority w:val="99"/>
    <w:unhideWhenUsed/>
    <w:rsid w:val="002308EE"/>
    <w:rPr>
      <w:color w:val="0563C1" w:themeColor="hyperlink"/>
      <w:u w:val="single"/>
    </w:rPr>
  </w:style>
  <w:style w:type="character" w:styleId="UnresolvedMention">
    <w:name w:val="Unresolved Mention"/>
    <w:basedOn w:val="DefaultParagraphFont"/>
    <w:uiPriority w:val="99"/>
    <w:semiHidden/>
    <w:unhideWhenUsed/>
    <w:rsid w:val="002308EE"/>
    <w:rPr>
      <w:color w:val="605E5C"/>
      <w:shd w:val="clear" w:color="auto" w:fill="E1DFDD"/>
    </w:rPr>
  </w:style>
  <w:style w:type="paragraph" w:styleId="FootnoteText">
    <w:name w:val="footnote text"/>
    <w:basedOn w:val="Normal"/>
    <w:link w:val="FootnoteTextChar"/>
    <w:uiPriority w:val="99"/>
    <w:semiHidden/>
    <w:unhideWhenUsed/>
    <w:rsid w:val="00FD18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84C"/>
    <w:rPr>
      <w:rFonts w:ascii="Roboto Lt" w:hAnsi="Roboto Lt"/>
      <w:sz w:val="20"/>
      <w:szCs w:val="20"/>
    </w:rPr>
  </w:style>
  <w:style w:type="character" w:styleId="FootnoteReference">
    <w:name w:val="footnote reference"/>
    <w:basedOn w:val="DefaultParagraphFont"/>
    <w:uiPriority w:val="99"/>
    <w:semiHidden/>
    <w:unhideWhenUsed/>
    <w:rsid w:val="00FD184C"/>
    <w:rPr>
      <w:vertAlign w:val="superscript"/>
    </w:rPr>
  </w:style>
  <w:style w:type="character" w:styleId="Strong">
    <w:name w:val="Strong"/>
    <w:basedOn w:val="DefaultParagraphFont"/>
    <w:uiPriority w:val="22"/>
    <w:qFormat/>
    <w:rsid w:val="00C77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word/fontTable.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settings" Target="/word/settings.xml" Id="rId4" /><Relationship Type="http://schemas.openxmlformats.org/officeDocument/2006/relationships/glossaryDocument" Target="/word/glossary/document.xml" Id="rId14" /><Relationship Type="http://schemas.openxmlformats.org/officeDocument/2006/relationships/hyperlink" Target="https://www.nhs.uk/your-nhs-data-matters/" TargetMode="External" Id="rId8" /><Relationship Type="http://schemas.openxmlformats.org/officeDocument/2006/relationships/hyperlink" Target="https://digital.nhs.uk/services/national-data-opt-out/compliance-with-the-national-data-opt-out/check-for-national-data-opt-outs-service" TargetMode="External" Id="rId12" /><Relationship Type="http://schemas.openxmlformats.org/officeDocument/2006/relationships/hyperlink" Target="https://www.england.nhs.uk/integratedcare/what-is-integrated-care/phm/" TargetMode="External" Id="rId11" /><Relationship Type="http://schemas.openxmlformats.org/officeDocument/2006/relationships/hyperlink" Target="https://www.england.nhs.uk/ig/risk-stratification/" TargetMode="External" Id="rId10" /><Relationship Type="http://schemas.openxmlformats.org/officeDocument/2006/relationships/hyperlink" Target="https://digital.nhs.uk/services/spine" TargetMode="External" Id="rId9" /></Relationships>
</file>

<file path=word/_rels/footnotes.xml.rels>&#65279;<?xml version="1.0" encoding="utf-8"?><Relationships xmlns="http://schemas.openxmlformats.org/package/2006/relationships"><Relationship Type="http://schemas.openxmlformats.org/officeDocument/2006/relationships/hyperlink" Target="https://assets.publishing.service.gov.uk/government/uploads/system/uploads/attachment_data/file/192572/2900774_InfoGovernance_accv2.pdf" TargetMode="External" Id="rId2" /><Relationship Type="http://schemas.openxmlformats.org/officeDocument/2006/relationships/hyperlink" Target="https://assets.publishing.service.gov.uk/government/uploads/system/uploads/attachment_data/file/192572/2900774_InfoGovernance_accv2.pdf" TargetMode="External" Id="rId1"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896D8B-7217-4E10-B2B9-3541CB27DB4B}"/>
      </w:docPartPr>
      <w:docPartBody>
        <w:p w:rsidR="00D749AF" w:rsidRDefault="008121CB">
          <w:r w:rsidRPr="00C328B7">
            <w:rPr>
              <w:rStyle w:val="PlaceholderText"/>
            </w:rPr>
            <w:t>Click or tap here to enter text.</w:t>
          </w:r>
        </w:p>
      </w:docPartBody>
    </w:docPart>
    <w:docPart>
      <w:docPartPr>
        <w:name w:val="5D8CD7886CC943659CD954AC39FC2C8F"/>
        <w:category>
          <w:name w:val="General"/>
          <w:gallery w:val="placeholder"/>
        </w:category>
        <w:types>
          <w:type w:val="bbPlcHdr"/>
        </w:types>
        <w:behaviors>
          <w:behavior w:val="content"/>
        </w:behaviors>
        <w:guid w:val="{5B89AF6E-959F-4DF8-B920-66F568A752B8}"/>
      </w:docPartPr>
      <w:docPartBody>
        <w:p w:rsidR="00000000" w:rsidRDefault="0037365F" w:rsidP="0037365F">
          <w:pPr>
            <w:pStyle w:val="5D8CD7886CC943659CD954AC39FC2C8F"/>
          </w:pPr>
          <w:r w:rsidRPr="00C328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Arial">
    <w:altName w:val="Arial Narrow"/>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7"/>
    <w:rsid w:val="002E421E"/>
    <w:rsid w:val="0037365F"/>
    <w:rsid w:val="004E748C"/>
    <w:rsid w:val="006B4756"/>
    <w:rsid w:val="006F6307"/>
    <w:rsid w:val="008121CB"/>
    <w:rsid w:val="00A150B4"/>
    <w:rsid w:val="00AF1359"/>
    <w:rsid w:val="00D74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65F"/>
    <w:rPr>
      <w:color w:val="808080"/>
    </w:rPr>
  </w:style>
  <w:style w:type="paragraph" w:customStyle="1" w:styleId="5D8CD7886CC943659CD954AC39FC2C8F">
    <w:name w:val="5D8CD7886CC943659CD954AC39FC2C8F"/>
    <w:rsid w:val="00373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C5975-5152-45E6-A150-CB1CDFE6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1642</Words>
  <Characters>9084</Characters>
  <Application>Microsoft Office Word</Application>
  <DocSecurity>0</DocSecurity>
  <Lines>313</Lines>
  <Paragraphs>275</Paragraphs>
  <ScaleCrop>false</ScaleCrop>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Emma Cooper</cp:lastModifiedBy>
  <cp:revision>98</cp:revision>
  <dcterms:created xsi:type="dcterms:W3CDTF">2022-03-01T07:45:00Z</dcterms:created>
  <dcterms:modified xsi:type="dcterms:W3CDTF">2023-04-17T14:47:00Z</dcterms:modified>
</cp:coreProperties>
</file>