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Pr="00A708FD" w:rsidR="00ED74A3" w:rsidP="00ED74A3" w:rsidRDefault="00BD3D4A" w14:paraId="31130D4B" w14:textId="640978E8">
          <w:pPr>
            <w:rPr>
              <w:rFonts w:ascii="Libre Caslon Display" w:hAnsi="Libre Caslon Display" w:eastAsiaTheme="majorEastAsia" w:cstheme="majorBidi"/>
              <w:color w:val="1F4B18"/>
              <w:sz w:val="50"/>
              <w:szCs w:val="50"/>
            </w:rPr>
          </w:pPr>
          <w:r>
            <w:rPr>
              <w:rFonts w:ascii="Libre Caslon Display" w:hAnsi="Libre Caslon Display" w:eastAsiaTheme="majorEastAsia" w:cstheme="majorBidi"/>
              <w:color w:val="1F4B18"/>
              <w:sz w:val="50"/>
              <w:szCs w:val="50"/>
            </w:rPr>
            <w:t>Information Incident Protocol</w:t>
          </w:r>
        </w:p>
        <w:p w:rsidR="00546579" w:rsidP="00ED74A3" w:rsidRDefault="00546579" w14:paraId="24EB551E" w14:textId="77777777">
          <w:pPr>
            <w:rPr>
              <w:rFonts w:ascii="Libre Caslon Display" w:hAnsi="Libre Caslon Display" w:eastAsiaTheme="majorEastAsia" w:cstheme="majorBidi"/>
              <w:color w:val="1F4B18"/>
              <w:sz w:val="40"/>
              <w:szCs w:val="40"/>
            </w:rPr>
          </w:pP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129"/>
            <w:gridCol w:w="2410"/>
            <w:gridCol w:w="5103"/>
          </w:tblGrid>
          <w:tr w:rsidR="000829ED" w:rsidTr="000829ED" w14:paraId="3A9EA582" w14:textId="77777777">
            <w:tc>
              <w:tcPr>
                <w:tcW w:w="1129" w:type="dxa"/>
                <w:shd w:val="clear" w:color="auto" w:fill="000000" w:themeFill="text1"/>
              </w:tcPr>
              <w:p w:rsidR="000829ED" w:rsidP="00ED74A3" w:rsidRDefault="000829ED" w14:paraId="2A919376" w14:textId="7C6F092D">
                <w:pPr>
                  <w:rPr>
                    <w:noProof/>
                    <w:sz w:val="24"/>
                  </w:rPr>
                </w:pPr>
                <w:r>
                  <w:rPr>
                    <w:noProof/>
                    <w:sz w:val="24"/>
                  </w:rPr>
                  <w:t>Version</w:t>
                </w:r>
              </w:p>
            </w:tc>
            <w:tc>
              <w:tcPr>
                <w:tcW w:w="2410" w:type="dxa"/>
                <w:shd w:val="clear" w:color="auto" w:fill="000000" w:themeFill="text1"/>
              </w:tcPr>
              <w:p w:rsidR="000829ED" w:rsidP="00ED74A3" w:rsidRDefault="000829ED" w14:paraId="2DD2D94E" w14:textId="6E0AA224">
                <w:pPr>
                  <w:rPr>
                    <w:noProof/>
                    <w:sz w:val="24"/>
                  </w:rPr>
                </w:pPr>
                <w:r>
                  <w:rPr>
                    <w:noProof/>
                    <w:sz w:val="24"/>
                  </w:rPr>
                  <w:t>Author</w:t>
                </w:r>
              </w:p>
            </w:tc>
            <w:tc>
              <w:tcPr>
                <w:tcW w:w="5103" w:type="dxa"/>
                <w:shd w:val="clear" w:color="auto" w:fill="000000" w:themeFill="text1"/>
              </w:tcPr>
              <w:p w:rsidR="000829ED" w:rsidP="00ED74A3" w:rsidRDefault="000829ED" w14:paraId="2038B5AE" w14:textId="7CD49FE5">
                <w:pPr>
                  <w:rPr>
                    <w:noProof/>
                    <w:sz w:val="24"/>
                  </w:rPr>
                </w:pPr>
                <w:r>
                  <w:rPr>
                    <w:noProof/>
                    <w:sz w:val="24"/>
                  </w:rPr>
                  <w:t>Notes</w:t>
                </w:r>
              </w:p>
            </w:tc>
          </w:tr>
          <w:tr w:rsidR="000829ED" w:rsidTr="000829ED" w14:paraId="74A74198" w14:textId="77777777">
            <w:tc>
              <w:tcPr>
                <w:tcW w:w="1129" w:type="dxa"/>
              </w:tcPr>
              <w:p w:rsidRPr="003D3B97" w:rsidR="000829ED" w:rsidP="000829ED" w:rsidRDefault="000829ED" w14:paraId="73404923" w14:textId="444CE588">
                <w:pPr>
                  <w:rPr>
                    <w:noProof/>
                    <w:sz w:val="20"/>
                    <w:szCs w:val="20"/>
                  </w:rPr>
                </w:pPr>
                <w:r w:rsidRPr="7FCD1E32">
                  <w:rPr>
                    <w:sz w:val="18"/>
                    <w:szCs w:val="18"/>
                  </w:rPr>
                  <w:t>1</w:t>
                </w:r>
              </w:p>
            </w:tc>
            <w:tc>
              <w:tcPr>
                <w:tcW w:w="2410" w:type="dxa"/>
              </w:tcPr>
              <w:p w:rsidRPr="003D3B97" w:rsidR="000829ED" w:rsidP="000829ED" w:rsidRDefault="000829ED" w14:paraId="0442A68D" w14:textId="237E5407">
                <w:pPr>
                  <w:rPr>
                    <w:noProof/>
                    <w:sz w:val="20"/>
                    <w:szCs w:val="20"/>
                  </w:rPr>
                </w:pPr>
                <w:r w:rsidRPr="7FCD1E32">
                  <w:rPr>
                    <w:sz w:val="18"/>
                    <w:szCs w:val="18"/>
                  </w:rPr>
                  <w:t>Emma Cooper, Kafico Ltd (DPO)</w:t>
                </w:r>
              </w:p>
            </w:tc>
            <w:tc>
              <w:tcPr>
                <w:tcW w:w="5103" w:type="dxa"/>
              </w:tcPr>
              <w:p w:rsidRPr="003D3B97" w:rsidR="000829ED" w:rsidP="000829ED" w:rsidRDefault="000829ED" w14:paraId="606A9A1D" w14:textId="029A5BC9">
                <w:pPr>
                  <w:rPr>
                    <w:noProof/>
                    <w:sz w:val="20"/>
                    <w:szCs w:val="20"/>
                  </w:rPr>
                </w:pPr>
                <w:r w:rsidRPr="7FCD1E32">
                  <w:rPr>
                    <w:sz w:val="18"/>
                    <w:szCs w:val="18"/>
                  </w:rPr>
                  <w:t>Jan 18 New Draft</w:t>
                </w:r>
              </w:p>
            </w:tc>
          </w:tr>
          <w:tr w:rsidR="000829ED" w:rsidTr="000829ED" w14:paraId="70D584A8" w14:textId="77777777">
            <w:tc>
              <w:tcPr>
                <w:tcW w:w="1129" w:type="dxa"/>
              </w:tcPr>
              <w:p w:rsidRPr="003D3B97" w:rsidR="000829ED" w:rsidP="000829ED" w:rsidRDefault="000829ED" w14:paraId="3FA21F44" w14:textId="4C778F2C">
                <w:pPr>
                  <w:rPr>
                    <w:noProof/>
                    <w:sz w:val="20"/>
                    <w:szCs w:val="20"/>
                  </w:rPr>
                </w:pPr>
                <w:r w:rsidRPr="7FCD1E32">
                  <w:rPr>
                    <w:sz w:val="18"/>
                    <w:szCs w:val="18"/>
                  </w:rPr>
                  <w:t>1.1</w:t>
                </w:r>
              </w:p>
            </w:tc>
            <w:tc>
              <w:tcPr>
                <w:tcW w:w="2410" w:type="dxa"/>
              </w:tcPr>
              <w:p w:rsidRPr="003D3B97" w:rsidR="000829ED" w:rsidP="000829ED" w:rsidRDefault="000829ED" w14:paraId="499646A6" w14:textId="21BC5FE1">
                <w:pPr>
                  <w:rPr>
                    <w:noProof/>
                    <w:sz w:val="20"/>
                    <w:szCs w:val="20"/>
                  </w:rPr>
                </w:pPr>
                <w:r w:rsidRPr="7FCD1E32">
                  <w:rPr>
                    <w:sz w:val="18"/>
                    <w:szCs w:val="18"/>
                  </w:rPr>
                  <w:t>Emma Cooper, Kafico Ltd (DPO)</w:t>
                </w:r>
              </w:p>
            </w:tc>
            <w:tc>
              <w:tcPr>
                <w:tcW w:w="5103" w:type="dxa"/>
              </w:tcPr>
              <w:p w:rsidR="000829ED" w:rsidP="000829ED" w:rsidRDefault="000829ED" w14:paraId="3C59DE5E" w14:textId="77777777">
                <w:pPr>
                  <w:rPr>
                    <w:sz w:val="18"/>
                    <w:szCs w:val="18"/>
                  </w:rPr>
                </w:pPr>
                <w:r w:rsidRPr="7FCD1E32">
                  <w:rPr>
                    <w:sz w:val="18"/>
                    <w:szCs w:val="18"/>
                  </w:rPr>
                  <w:t>Jan 19 Replaced 1998 DPA with 2018 Act. Replaced GDPR with “data protection legislation”.</w:t>
                </w:r>
              </w:p>
              <w:p w:rsidR="000829ED" w:rsidP="000829ED" w:rsidRDefault="000829ED" w14:paraId="5EB4A0ED" w14:textId="77777777">
                <w:pPr>
                  <w:rPr>
                    <w:sz w:val="18"/>
                    <w:szCs w:val="18"/>
                  </w:rPr>
                </w:pPr>
                <w:r w:rsidRPr="7FCD1E32">
                  <w:rPr>
                    <w:sz w:val="18"/>
                    <w:szCs w:val="18"/>
                  </w:rPr>
                  <w:t>Clarified that incidents must come through DPO.</w:t>
                </w:r>
              </w:p>
              <w:p w:rsidRPr="003D3B97" w:rsidR="000829ED" w:rsidP="000829ED" w:rsidRDefault="000829ED" w14:paraId="047E0013" w14:textId="528E89B3">
                <w:pPr>
                  <w:rPr>
                    <w:noProof/>
                    <w:sz w:val="20"/>
                    <w:szCs w:val="20"/>
                  </w:rPr>
                </w:pPr>
                <w:r w:rsidRPr="7FCD1E32">
                  <w:rPr>
                    <w:sz w:val="18"/>
                    <w:szCs w:val="18"/>
                  </w:rPr>
                  <w:t>Inserted new incident form at appendix. Added information about the required contents of notification to affected individuals</w:t>
                </w:r>
              </w:p>
            </w:tc>
          </w:tr>
          <w:tr w:rsidR="000829ED" w:rsidTr="000829ED" w14:paraId="594E9FBC" w14:textId="77777777">
            <w:tc>
              <w:tcPr>
                <w:tcW w:w="1129" w:type="dxa"/>
              </w:tcPr>
              <w:p w:rsidRPr="003D3B97" w:rsidR="000829ED" w:rsidP="000829ED" w:rsidRDefault="000829ED" w14:paraId="133B8BA6" w14:textId="0E1BFD9C">
                <w:pPr>
                  <w:rPr>
                    <w:noProof/>
                    <w:sz w:val="20"/>
                    <w:szCs w:val="20"/>
                  </w:rPr>
                </w:pPr>
                <w:r w:rsidRPr="7FCD1E32">
                  <w:rPr>
                    <w:sz w:val="18"/>
                    <w:szCs w:val="18"/>
                  </w:rPr>
                  <w:t>1.2</w:t>
                </w:r>
              </w:p>
            </w:tc>
            <w:tc>
              <w:tcPr>
                <w:tcW w:w="2410" w:type="dxa"/>
              </w:tcPr>
              <w:p w:rsidRPr="003D3B97" w:rsidR="000829ED" w:rsidP="000829ED" w:rsidRDefault="000829ED" w14:paraId="6E69152D" w14:textId="62DD0085">
                <w:pPr>
                  <w:rPr>
                    <w:noProof/>
                    <w:sz w:val="20"/>
                    <w:szCs w:val="20"/>
                  </w:rPr>
                </w:pPr>
                <w:r w:rsidRPr="7FCD1E32">
                  <w:rPr>
                    <w:sz w:val="18"/>
                    <w:szCs w:val="18"/>
                  </w:rPr>
                  <w:t>Emma Cooper, Kafico Ltd (DPO)</w:t>
                </w:r>
              </w:p>
            </w:tc>
            <w:tc>
              <w:tcPr>
                <w:tcW w:w="5103" w:type="dxa"/>
              </w:tcPr>
              <w:p w:rsidRPr="003D3B97" w:rsidR="000829ED" w:rsidP="000829ED" w:rsidRDefault="000829ED" w14:paraId="4D37308E" w14:textId="21EE8F26">
                <w:pPr>
                  <w:rPr>
                    <w:noProof/>
                    <w:sz w:val="20"/>
                    <w:szCs w:val="20"/>
                  </w:rPr>
                </w:pPr>
                <w:r w:rsidRPr="7FCD1E32">
                  <w:rPr>
                    <w:sz w:val="18"/>
                    <w:szCs w:val="18"/>
                  </w:rPr>
                  <w:t>Feb 19 Added information about how to respond when unauthorised access to personal data is discovered</w:t>
                </w:r>
              </w:p>
            </w:tc>
          </w:tr>
          <w:tr w:rsidR="000829ED" w:rsidTr="000829ED" w14:paraId="47437D93" w14:textId="77777777">
            <w:tc>
              <w:tcPr>
                <w:tcW w:w="1129" w:type="dxa"/>
              </w:tcPr>
              <w:p w:rsidRPr="003D3B97" w:rsidR="000829ED" w:rsidP="000829ED" w:rsidRDefault="000829ED" w14:paraId="47468E0B" w14:textId="1BF6FACB">
                <w:pPr>
                  <w:rPr>
                    <w:noProof/>
                    <w:sz w:val="20"/>
                    <w:szCs w:val="20"/>
                  </w:rPr>
                </w:pPr>
                <w:r w:rsidRPr="7FCD1E32">
                  <w:rPr>
                    <w:sz w:val="18"/>
                    <w:szCs w:val="18"/>
                  </w:rPr>
                  <w:t>1.3</w:t>
                </w:r>
              </w:p>
            </w:tc>
            <w:tc>
              <w:tcPr>
                <w:tcW w:w="2410" w:type="dxa"/>
              </w:tcPr>
              <w:p w:rsidRPr="003D3B97" w:rsidR="000829ED" w:rsidP="000829ED" w:rsidRDefault="000829ED" w14:paraId="78C42963" w14:textId="6CFFF677">
                <w:pPr>
                  <w:rPr>
                    <w:noProof/>
                    <w:sz w:val="20"/>
                    <w:szCs w:val="20"/>
                  </w:rPr>
                </w:pPr>
                <w:r w:rsidRPr="7FCD1E32">
                  <w:rPr>
                    <w:sz w:val="18"/>
                    <w:szCs w:val="18"/>
                  </w:rPr>
                  <w:t>Hannah Calway, Kafico Ltd (DPO)</w:t>
                </w:r>
              </w:p>
            </w:tc>
            <w:tc>
              <w:tcPr>
                <w:tcW w:w="5103" w:type="dxa"/>
              </w:tcPr>
              <w:p w:rsidRPr="003D3B97" w:rsidR="000829ED" w:rsidP="000829ED" w:rsidRDefault="000829ED" w14:paraId="525CA56F" w14:textId="21F8C492">
                <w:pPr>
                  <w:rPr>
                    <w:noProof/>
                    <w:sz w:val="20"/>
                    <w:szCs w:val="20"/>
                  </w:rPr>
                </w:pPr>
                <w:r w:rsidRPr="7FCD1E32">
                  <w:rPr>
                    <w:sz w:val="18"/>
                    <w:szCs w:val="18"/>
                  </w:rPr>
                  <w:t>Mar 19 Updated to Information Incident form to ensure streamline initial responses.</w:t>
                </w:r>
              </w:p>
            </w:tc>
          </w:tr>
          <w:tr w:rsidR="000829ED" w:rsidTr="000829ED" w14:paraId="6CD3BAA6" w14:textId="77777777">
            <w:tc>
              <w:tcPr>
                <w:tcW w:w="1129" w:type="dxa"/>
              </w:tcPr>
              <w:p w:rsidRPr="003D3B97" w:rsidR="000829ED" w:rsidP="000829ED" w:rsidRDefault="000829ED" w14:paraId="2A6C91B2" w14:textId="1DA7FBFA">
                <w:pPr>
                  <w:rPr>
                    <w:noProof/>
                    <w:sz w:val="20"/>
                    <w:szCs w:val="20"/>
                  </w:rPr>
                </w:pPr>
                <w:r w:rsidRPr="7FCD1E32">
                  <w:rPr>
                    <w:sz w:val="18"/>
                    <w:szCs w:val="18"/>
                  </w:rPr>
                  <w:t>1.4</w:t>
                </w:r>
              </w:p>
            </w:tc>
            <w:tc>
              <w:tcPr>
                <w:tcW w:w="2410" w:type="dxa"/>
              </w:tcPr>
              <w:p w:rsidRPr="003D3B97" w:rsidR="000829ED" w:rsidP="000829ED" w:rsidRDefault="000829ED" w14:paraId="221E2F9C" w14:textId="507A67E8">
                <w:pPr>
                  <w:rPr>
                    <w:noProof/>
                    <w:sz w:val="20"/>
                    <w:szCs w:val="20"/>
                  </w:rPr>
                </w:pPr>
                <w:r w:rsidRPr="7FCD1E32">
                  <w:rPr>
                    <w:sz w:val="18"/>
                    <w:szCs w:val="18"/>
                  </w:rPr>
                  <w:t>Hannah Calway, Kafico Ltd (DPO)</w:t>
                </w:r>
              </w:p>
            </w:tc>
            <w:tc>
              <w:tcPr>
                <w:tcW w:w="5103" w:type="dxa"/>
              </w:tcPr>
              <w:p w:rsidRPr="003D3B97" w:rsidR="000829ED" w:rsidP="000829ED" w:rsidRDefault="000829ED" w14:paraId="7782B7D7" w14:textId="2B7A2CEF">
                <w:pPr>
                  <w:rPr>
                    <w:noProof/>
                    <w:sz w:val="20"/>
                    <w:szCs w:val="20"/>
                  </w:rPr>
                </w:pPr>
                <w:r w:rsidRPr="7FCD1E32">
                  <w:rPr>
                    <w:sz w:val="18"/>
                    <w:szCs w:val="18"/>
                  </w:rPr>
                  <w:t>May 19 – updated to include hand over of investigation due to absence.</w:t>
                </w:r>
              </w:p>
            </w:tc>
          </w:tr>
          <w:tr w:rsidR="000829ED" w:rsidTr="000829ED" w14:paraId="6829A38F" w14:textId="77777777">
            <w:tc>
              <w:tcPr>
                <w:tcW w:w="1129" w:type="dxa"/>
              </w:tcPr>
              <w:p w:rsidRPr="003D3B97" w:rsidR="000829ED" w:rsidP="000829ED" w:rsidRDefault="000829ED" w14:paraId="44CBBD8B" w14:textId="75286E39">
                <w:pPr>
                  <w:rPr>
                    <w:noProof/>
                    <w:sz w:val="20"/>
                    <w:szCs w:val="20"/>
                  </w:rPr>
                </w:pPr>
                <w:r w:rsidRPr="7FCD1E32">
                  <w:rPr>
                    <w:sz w:val="18"/>
                    <w:szCs w:val="18"/>
                  </w:rPr>
                  <w:t>1.5</w:t>
                </w:r>
              </w:p>
            </w:tc>
            <w:tc>
              <w:tcPr>
                <w:tcW w:w="2410" w:type="dxa"/>
              </w:tcPr>
              <w:p w:rsidRPr="003D3B97" w:rsidR="000829ED" w:rsidP="000829ED" w:rsidRDefault="000829ED" w14:paraId="5733645F" w14:textId="2B1971A1">
                <w:pPr>
                  <w:rPr>
                    <w:noProof/>
                    <w:sz w:val="20"/>
                    <w:szCs w:val="20"/>
                  </w:rPr>
                </w:pPr>
                <w:r w:rsidRPr="7FCD1E32">
                  <w:rPr>
                    <w:sz w:val="18"/>
                    <w:szCs w:val="18"/>
                  </w:rPr>
                  <w:t>Hannah Calway. Kafico Ltd (DPO)</w:t>
                </w:r>
              </w:p>
            </w:tc>
            <w:tc>
              <w:tcPr>
                <w:tcW w:w="5103" w:type="dxa"/>
              </w:tcPr>
              <w:p w:rsidRPr="003D3B97" w:rsidR="000829ED" w:rsidP="000829ED" w:rsidRDefault="000829ED" w14:paraId="7FA4965E" w14:textId="5D53669F">
                <w:pPr>
                  <w:rPr>
                    <w:noProof/>
                    <w:sz w:val="20"/>
                    <w:szCs w:val="20"/>
                  </w:rPr>
                </w:pPr>
                <w:r w:rsidRPr="7FCD1E32">
                  <w:rPr>
                    <w:sz w:val="18"/>
                    <w:szCs w:val="18"/>
                  </w:rPr>
                  <w:t>August 19 – Amendments to Incident form</w:t>
                </w:r>
              </w:p>
            </w:tc>
          </w:tr>
          <w:tr w:rsidR="000829ED" w:rsidTr="000829ED" w14:paraId="6470F881" w14:textId="77777777">
            <w:tc>
              <w:tcPr>
                <w:tcW w:w="1129" w:type="dxa"/>
              </w:tcPr>
              <w:p w:rsidRPr="003D3B97" w:rsidR="000829ED" w:rsidP="000829ED" w:rsidRDefault="000829ED" w14:paraId="7A512111" w14:textId="5F33DF6A">
                <w:pPr>
                  <w:rPr>
                    <w:noProof/>
                    <w:sz w:val="20"/>
                    <w:szCs w:val="20"/>
                  </w:rPr>
                </w:pPr>
                <w:r w:rsidRPr="7FCD1E32">
                  <w:rPr>
                    <w:sz w:val="18"/>
                    <w:szCs w:val="18"/>
                  </w:rPr>
                  <w:t>1.5</w:t>
                </w:r>
              </w:p>
            </w:tc>
            <w:tc>
              <w:tcPr>
                <w:tcW w:w="2410" w:type="dxa"/>
              </w:tcPr>
              <w:p w:rsidRPr="003D3B97" w:rsidR="000829ED" w:rsidP="000829ED" w:rsidRDefault="000829ED" w14:paraId="156E8A35" w14:textId="640EDB38">
                <w:pPr>
                  <w:rPr>
                    <w:noProof/>
                    <w:sz w:val="20"/>
                    <w:szCs w:val="20"/>
                  </w:rPr>
                </w:pPr>
                <w:r w:rsidRPr="7FCD1E32">
                  <w:rPr>
                    <w:sz w:val="18"/>
                    <w:szCs w:val="18"/>
                  </w:rPr>
                  <w:t>Emma Cooper, Kafico Ltd (DPO)</w:t>
                </w:r>
              </w:p>
            </w:tc>
            <w:tc>
              <w:tcPr>
                <w:tcW w:w="5103" w:type="dxa"/>
              </w:tcPr>
              <w:p w:rsidR="000829ED" w:rsidP="000829ED" w:rsidRDefault="000829ED" w14:paraId="5B9D583D" w14:textId="77777777">
                <w:pPr>
                  <w:rPr>
                    <w:rFonts w:eastAsia="Arial Nova Light" w:cs="Arial Nova Light"/>
                    <w:sz w:val="18"/>
                    <w:szCs w:val="18"/>
                  </w:rPr>
                </w:pPr>
                <w:r w:rsidRPr="7FCD1E32">
                  <w:rPr>
                    <w:rFonts w:eastAsia="Arial Nova Light" w:cs="Arial Nova Light"/>
                    <w:sz w:val="18"/>
                    <w:szCs w:val="18"/>
                  </w:rPr>
                  <w:t>Jan / Feb 20 – Annual review – no amendments</w:t>
                </w:r>
              </w:p>
              <w:p w:rsidRPr="003D3B97" w:rsidR="000829ED" w:rsidP="000829ED" w:rsidRDefault="000829ED" w14:paraId="66765392" w14:textId="6394B980">
                <w:pPr>
                  <w:rPr>
                    <w:noProof/>
                    <w:sz w:val="20"/>
                    <w:szCs w:val="20"/>
                  </w:rPr>
                </w:pPr>
              </w:p>
            </w:tc>
          </w:tr>
          <w:tr w:rsidR="000829ED" w:rsidTr="000829ED" w14:paraId="43106F30" w14:textId="77777777">
            <w:tc>
              <w:tcPr>
                <w:tcW w:w="1129" w:type="dxa"/>
              </w:tcPr>
              <w:p w:rsidRPr="003D3B97" w:rsidR="000829ED" w:rsidP="000829ED" w:rsidRDefault="000829ED" w14:paraId="504F3C0D" w14:textId="07665E15">
                <w:pPr>
                  <w:rPr>
                    <w:noProof/>
                    <w:sz w:val="20"/>
                    <w:szCs w:val="20"/>
                  </w:rPr>
                </w:pPr>
                <w:r w:rsidRPr="6887552F">
                  <w:rPr>
                    <w:sz w:val="18"/>
                    <w:szCs w:val="18"/>
                  </w:rPr>
                  <w:t>1.6</w:t>
                </w:r>
              </w:p>
            </w:tc>
            <w:tc>
              <w:tcPr>
                <w:tcW w:w="2410" w:type="dxa"/>
              </w:tcPr>
              <w:p w:rsidRPr="003D3B97" w:rsidR="000829ED" w:rsidP="000829ED" w:rsidRDefault="000829ED" w14:paraId="0ABF95DE" w14:textId="7D340BC4">
                <w:pPr>
                  <w:rPr>
                    <w:noProof/>
                    <w:sz w:val="20"/>
                    <w:szCs w:val="20"/>
                  </w:rPr>
                </w:pPr>
                <w:r w:rsidRPr="6887552F">
                  <w:rPr>
                    <w:sz w:val="18"/>
                    <w:szCs w:val="18"/>
                  </w:rPr>
                  <w:t>Hannah Calway, Kafico Ltd (DPO)</w:t>
                </w:r>
              </w:p>
            </w:tc>
            <w:tc>
              <w:tcPr>
                <w:tcW w:w="5103" w:type="dxa"/>
              </w:tcPr>
              <w:p w:rsidRPr="003D3B97" w:rsidR="000829ED" w:rsidP="000829ED" w:rsidRDefault="000829ED" w14:paraId="5B6EC1DF" w14:textId="763A6FED">
                <w:pPr>
                  <w:rPr>
                    <w:noProof/>
                    <w:sz w:val="20"/>
                    <w:szCs w:val="20"/>
                  </w:rPr>
                </w:pPr>
                <w:r w:rsidRPr="6887552F">
                  <w:rPr>
                    <w:rFonts w:eastAsia="Arial Nova Light" w:cs="Arial Nova Light"/>
                    <w:sz w:val="18"/>
                    <w:szCs w:val="18"/>
                  </w:rPr>
                  <w:t>Jun 20 – Updates to incident form</w:t>
                </w:r>
              </w:p>
            </w:tc>
          </w:tr>
          <w:tr w:rsidR="000829ED" w:rsidTr="000829ED" w14:paraId="37E9B8D2" w14:textId="77777777">
            <w:tc>
              <w:tcPr>
                <w:tcW w:w="1129" w:type="dxa"/>
              </w:tcPr>
              <w:p w:rsidRPr="003D3B97" w:rsidR="000829ED" w:rsidP="000829ED" w:rsidRDefault="000829ED" w14:paraId="2EA9292C" w14:textId="2F9FAFAC">
                <w:pPr>
                  <w:rPr>
                    <w:noProof/>
                    <w:sz w:val="20"/>
                    <w:szCs w:val="20"/>
                  </w:rPr>
                </w:pPr>
                <w:r>
                  <w:rPr>
                    <w:sz w:val="18"/>
                    <w:szCs w:val="18"/>
                  </w:rPr>
                  <w:t>1.7</w:t>
                </w:r>
              </w:p>
            </w:tc>
            <w:tc>
              <w:tcPr>
                <w:tcW w:w="2410" w:type="dxa"/>
              </w:tcPr>
              <w:p w:rsidRPr="003D3B97" w:rsidR="000829ED" w:rsidP="000829ED" w:rsidRDefault="000829ED" w14:paraId="2A9D5208" w14:textId="1C232145">
                <w:pPr>
                  <w:rPr>
                    <w:noProof/>
                    <w:sz w:val="20"/>
                    <w:szCs w:val="20"/>
                  </w:rPr>
                </w:pPr>
                <w:r>
                  <w:rPr>
                    <w:sz w:val="18"/>
                    <w:szCs w:val="18"/>
                  </w:rPr>
                  <w:t>Hannah Calway, Kafico Ltd (DPO)</w:t>
                </w:r>
              </w:p>
            </w:tc>
            <w:tc>
              <w:tcPr>
                <w:tcW w:w="5103" w:type="dxa"/>
              </w:tcPr>
              <w:p w:rsidRPr="003D3B97" w:rsidR="000829ED" w:rsidP="000829ED" w:rsidRDefault="000829ED" w14:paraId="494A068A" w14:textId="794F6944">
                <w:pPr>
                  <w:rPr>
                    <w:noProof/>
                    <w:sz w:val="20"/>
                    <w:szCs w:val="20"/>
                  </w:rPr>
                </w:pPr>
                <w:r>
                  <w:rPr>
                    <w:rFonts w:eastAsia="Arial Nova Light" w:cs="Arial Nova Light"/>
                    <w:sz w:val="18"/>
                    <w:szCs w:val="18"/>
                  </w:rPr>
                  <w:t>Dec 20 – Updates to incident form</w:t>
                </w:r>
              </w:p>
            </w:tc>
          </w:tr>
          <w:tr w:rsidR="000829ED" w:rsidTr="000829ED" w14:paraId="4F5B6153" w14:textId="77777777">
            <w:tc>
              <w:tcPr>
                <w:tcW w:w="1129" w:type="dxa"/>
              </w:tcPr>
              <w:p w:rsidRPr="003D3B97" w:rsidR="000829ED" w:rsidP="000829ED" w:rsidRDefault="000829ED" w14:paraId="69C836F7" w14:textId="03FF7065">
                <w:pPr>
                  <w:rPr>
                    <w:noProof/>
                    <w:sz w:val="20"/>
                    <w:szCs w:val="20"/>
                  </w:rPr>
                </w:pPr>
                <w:r>
                  <w:rPr>
                    <w:sz w:val="18"/>
                    <w:szCs w:val="18"/>
                  </w:rPr>
                  <w:t>1.7</w:t>
                </w:r>
              </w:p>
            </w:tc>
            <w:tc>
              <w:tcPr>
                <w:tcW w:w="2410" w:type="dxa"/>
              </w:tcPr>
              <w:p w:rsidRPr="003D3B97" w:rsidR="000829ED" w:rsidP="000829ED" w:rsidRDefault="000829ED" w14:paraId="40F1A36E" w14:textId="7987935A">
                <w:pPr>
                  <w:rPr>
                    <w:noProof/>
                    <w:sz w:val="20"/>
                    <w:szCs w:val="20"/>
                  </w:rPr>
                </w:pPr>
                <w:r>
                  <w:rPr>
                    <w:sz w:val="18"/>
                    <w:szCs w:val="18"/>
                  </w:rPr>
                  <w:t>Emma Cooper, Kafico Ltd (DPO)</w:t>
                </w:r>
              </w:p>
            </w:tc>
            <w:tc>
              <w:tcPr>
                <w:tcW w:w="5103" w:type="dxa"/>
              </w:tcPr>
              <w:p w:rsidRPr="003D3B97" w:rsidR="000829ED" w:rsidP="000829ED" w:rsidRDefault="000829ED" w14:paraId="51EB6A57" w14:textId="1A97973C">
                <w:pPr>
                  <w:rPr>
                    <w:noProof/>
                    <w:sz w:val="20"/>
                    <w:szCs w:val="20"/>
                  </w:rPr>
                </w:pPr>
                <w:r>
                  <w:rPr>
                    <w:rFonts w:eastAsia="Arial Nova Light" w:cs="Arial Nova Light"/>
                    <w:sz w:val="18"/>
                    <w:szCs w:val="18"/>
                  </w:rPr>
                  <w:t>Feb 21 - Annual Review – no amendments.</w:t>
                </w:r>
              </w:p>
            </w:tc>
          </w:tr>
          <w:tr w:rsidR="000829ED" w:rsidTr="000829ED" w14:paraId="47511FA7" w14:textId="77777777">
            <w:tc>
              <w:tcPr>
                <w:tcW w:w="1129" w:type="dxa"/>
              </w:tcPr>
              <w:p w:rsidRPr="003D3B97" w:rsidR="000829ED" w:rsidP="000829ED" w:rsidRDefault="000829ED" w14:paraId="27890B79" w14:textId="62151C2D">
                <w:pPr>
                  <w:rPr>
                    <w:noProof/>
                    <w:sz w:val="20"/>
                    <w:szCs w:val="20"/>
                  </w:rPr>
                </w:pPr>
                <w:r w:rsidRPr="7FCD1E32">
                  <w:rPr>
                    <w:sz w:val="18"/>
                    <w:szCs w:val="18"/>
                  </w:rPr>
                  <w:t>1</w:t>
                </w:r>
                <w:r>
                  <w:rPr>
                    <w:sz w:val="18"/>
                    <w:szCs w:val="18"/>
                  </w:rPr>
                  <w:t>.7</w:t>
                </w:r>
              </w:p>
            </w:tc>
            <w:tc>
              <w:tcPr>
                <w:tcW w:w="2410" w:type="dxa"/>
              </w:tcPr>
              <w:p w:rsidRPr="003D3B97" w:rsidR="000829ED" w:rsidP="000829ED" w:rsidRDefault="000829ED" w14:paraId="4F89E84A" w14:textId="749255DE">
                <w:pPr>
                  <w:rPr>
                    <w:noProof/>
                    <w:sz w:val="20"/>
                    <w:szCs w:val="20"/>
                  </w:rPr>
                </w:pPr>
                <w:r w:rsidRPr="7FCD1E32">
                  <w:rPr>
                    <w:sz w:val="18"/>
                    <w:szCs w:val="18"/>
                  </w:rPr>
                  <w:t>Emma Cooper, Kafico Ltd (DPO)</w:t>
                </w:r>
              </w:p>
            </w:tc>
            <w:tc>
              <w:tcPr>
                <w:tcW w:w="5103" w:type="dxa"/>
              </w:tcPr>
              <w:p w:rsidRPr="003D3B97" w:rsidR="000829ED" w:rsidP="000829ED" w:rsidRDefault="000829ED" w14:paraId="5B96E80D" w14:textId="57645AA7">
                <w:pPr>
                  <w:rPr>
                    <w:noProof/>
                    <w:sz w:val="20"/>
                    <w:szCs w:val="20"/>
                  </w:rPr>
                </w:pPr>
                <w:r>
                  <w:rPr>
                    <w:sz w:val="18"/>
                    <w:szCs w:val="18"/>
                  </w:rPr>
                  <w:t>Mar 22 – annual review – no amendments.</w:t>
                </w:r>
              </w:p>
            </w:tc>
          </w:tr>
          <w:tr w:rsidR="00E05125" w:rsidTr="000829ED" w14:paraId="68F55A9A" w14:textId="77777777">
            <w:tc>
              <w:tcPr>
                <w:tcW w:w="1129" w:type="dxa"/>
              </w:tcPr>
              <w:p w:rsidRPr="7FCD1E32" w:rsidR="00E05125" w:rsidP="000829ED" w:rsidRDefault="00E05125" w14:paraId="171128B2" w14:textId="2057737A">
                <w:pPr>
                  <w:rPr>
                    <w:sz w:val="18"/>
                    <w:szCs w:val="18"/>
                  </w:rPr>
                </w:pPr>
                <w:r>
                  <w:rPr>
                    <w:sz w:val="18"/>
                    <w:szCs w:val="18"/>
                  </w:rPr>
                  <w:t>1.8</w:t>
                </w:r>
              </w:p>
            </w:tc>
            <w:tc>
              <w:tcPr>
                <w:tcW w:w="2410" w:type="dxa"/>
              </w:tcPr>
              <w:p w:rsidRPr="7FCD1E32" w:rsidR="00E05125" w:rsidP="000829ED" w:rsidRDefault="00E05125" w14:paraId="0852FBB3" w14:textId="0FC755CC">
                <w:pPr>
                  <w:rPr>
                    <w:sz w:val="18"/>
                    <w:szCs w:val="18"/>
                  </w:rPr>
                </w:pPr>
                <w:r>
                  <w:rPr>
                    <w:sz w:val="18"/>
                    <w:szCs w:val="18"/>
                  </w:rPr>
                  <w:t>Emma Kitcher, Kafico Ltd</w:t>
                </w:r>
              </w:p>
            </w:tc>
            <w:tc>
              <w:tcPr>
                <w:tcW w:w="5103" w:type="dxa"/>
              </w:tcPr>
              <w:p w:rsidR="00E05125" w:rsidP="000829ED" w:rsidRDefault="00E05125" w14:paraId="4FA97765" w14:textId="77777777">
                <w:pPr>
                  <w:rPr>
                    <w:sz w:val="18"/>
                    <w:szCs w:val="18"/>
                  </w:rPr>
                </w:pPr>
                <w:r>
                  <w:rPr>
                    <w:sz w:val="18"/>
                    <w:szCs w:val="18"/>
                  </w:rPr>
                  <w:t>Mar 23 – added an item under section 6 about ensuring incident trends are reported to senior organisation members.</w:t>
                </w:r>
              </w:p>
              <w:p w:rsidR="00E05125" w:rsidP="000829ED" w:rsidRDefault="00E05125" w14:paraId="728EBCFE" w14:textId="695B4C3E">
                <w:pPr>
                  <w:rPr>
                    <w:sz w:val="18"/>
                    <w:szCs w:val="18"/>
                  </w:rPr>
                </w:pPr>
                <w:r>
                  <w:rPr>
                    <w:sz w:val="18"/>
                    <w:szCs w:val="18"/>
                  </w:rPr>
                  <w:t>Added items under Section around how the DPO supports with incidents.</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F65949" w:rsidRDefault="005E68D9" w14:paraId="49E3869C" w14:textId="140010ED">
              <w:pPr>
                <w:pStyle w:val="TOC1"/>
                <w:tabs>
                  <w:tab w:val="left" w:pos="440"/>
                  <w:tab w:val="right" w:leader="dot" w:pos="9016"/>
                </w:tabs>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129367526">
                <w:r w:rsidRPr="00BA13B9" w:rsidR="00F65949">
                  <w:rPr>
                    <w:rStyle w:val="Hyperlink"/>
                    <w:noProof/>
                  </w:rPr>
                  <w:t>1.</w:t>
                </w:r>
                <w:r w:rsidR="00F65949">
                  <w:rPr>
                    <w:rFonts w:asciiTheme="minorHAnsi" w:hAnsiTheme="minorHAnsi" w:eastAsiaTheme="minorEastAsia"/>
                    <w:noProof/>
                    <w:szCs w:val="22"/>
                    <w:lang w:eastAsia="en-GB"/>
                  </w:rPr>
                  <w:tab/>
                </w:r>
                <w:r w:rsidRPr="00BA13B9" w:rsidR="00F65949">
                  <w:rPr>
                    <w:rStyle w:val="Hyperlink"/>
                    <w:noProof/>
                  </w:rPr>
                  <w:t>INTRODUCTION</w:t>
                </w:r>
                <w:r w:rsidR="00F65949">
                  <w:rPr>
                    <w:noProof/>
                    <w:webHidden/>
                  </w:rPr>
                  <w:tab/>
                </w:r>
                <w:r w:rsidR="00F65949">
                  <w:rPr>
                    <w:noProof/>
                    <w:webHidden/>
                  </w:rPr>
                  <w:fldChar w:fldCharType="begin"/>
                </w:r>
                <w:r w:rsidR="00F65949">
                  <w:rPr>
                    <w:noProof/>
                    <w:webHidden/>
                  </w:rPr>
                  <w:instrText xml:space="preserve"> PAGEREF _Toc129367526 \h </w:instrText>
                </w:r>
                <w:r w:rsidR="00F65949">
                  <w:rPr>
                    <w:noProof/>
                    <w:webHidden/>
                  </w:rPr>
                </w:r>
                <w:r w:rsidR="00F65949">
                  <w:rPr>
                    <w:noProof/>
                    <w:webHidden/>
                  </w:rPr>
                  <w:fldChar w:fldCharType="separate"/>
                </w:r>
                <w:r w:rsidR="00F65949">
                  <w:rPr>
                    <w:noProof/>
                    <w:webHidden/>
                  </w:rPr>
                  <w:t>2</w:t>
                </w:r>
                <w:r w:rsidR="00F65949">
                  <w:rPr>
                    <w:noProof/>
                    <w:webHidden/>
                  </w:rPr>
                  <w:fldChar w:fldCharType="end"/>
                </w:r>
              </w:hyperlink>
            </w:p>
            <w:p w:rsidR="00F65949" w:rsidRDefault="00F65949" w14:paraId="38AFF8FF" w14:textId="0248E923">
              <w:pPr>
                <w:pStyle w:val="TOC1"/>
                <w:tabs>
                  <w:tab w:val="left" w:pos="440"/>
                  <w:tab w:val="right" w:leader="dot" w:pos="9016"/>
                </w:tabs>
                <w:rPr>
                  <w:rFonts w:asciiTheme="minorHAnsi" w:hAnsiTheme="minorHAnsi" w:eastAsiaTheme="minorEastAsia"/>
                  <w:noProof/>
                  <w:szCs w:val="22"/>
                  <w:lang w:eastAsia="en-GB"/>
                </w:rPr>
              </w:pPr>
              <w:hyperlink w:history="1" w:anchor="_Toc129367527">
                <w:r w:rsidRPr="00BA13B9">
                  <w:rPr>
                    <w:rStyle w:val="Hyperlink"/>
                    <w:noProof/>
                  </w:rPr>
                  <w:t>2.</w:t>
                </w:r>
                <w:r>
                  <w:rPr>
                    <w:rFonts w:asciiTheme="minorHAnsi" w:hAnsiTheme="minorHAnsi" w:eastAsiaTheme="minorEastAsia"/>
                    <w:noProof/>
                    <w:szCs w:val="22"/>
                    <w:lang w:eastAsia="en-GB"/>
                  </w:rPr>
                  <w:tab/>
                </w:r>
                <w:r w:rsidRPr="00BA13B9">
                  <w:rPr>
                    <w:rStyle w:val="Hyperlink"/>
                    <w:noProof/>
                  </w:rPr>
                  <w:t>QUICK REFERENCE POINTS</w:t>
                </w:r>
                <w:r>
                  <w:rPr>
                    <w:noProof/>
                    <w:webHidden/>
                  </w:rPr>
                  <w:tab/>
                </w:r>
                <w:r>
                  <w:rPr>
                    <w:noProof/>
                    <w:webHidden/>
                  </w:rPr>
                  <w:fldChar w:fldCharType="begin"/>
                </w:r>
                <w:r>
                  <w:rPr>
                    <w:noProof/>
                    <w:webHidden/>
                  </w:rPr>
                  <w:instrText xml:space="preserve"> PAGEREF _Toc129367527 \h </w:instrText>
                </w:r>
                <w:r>
                  <w:rPr>
                    <w:noProof/>
                    <w:webHidden/>
                  </w:rPr>
                </w:r>
                <w:r>
                  <w:rPr>
                    <w:noProof/>
                    <w:webHidden/>
                  </w:rPr>
                  <w:fldChar w:fldCharType="separate"/>
                </w:r>
                <w:r>
                  <w:rPr>
                    <w:noProof/>
                    <w:webHidden/>
                  </w:rPr>
                  <w:t>3</w:t>
                </w:r>
                <w:r>
                  <w:rPr>
                    <w:noProof/>
                    <w:webHidden/>
                  </w:rPr>
                  <w:fldChar w:fldCharType="end"/>
                </w:r>
              </w:hyperlink>
            </w:p>
            <w:p w:rsidR="00F65949" w:rsidRDefault="00F65949" w14:paraId="51F01ECF" w14:textId="75937F6E">
              <w:pPr>
                <w:pStyle w:val="TOC1"/>
                <w:tabs>
                  <w:tab w:val="left" w:pos="440"/>
                  <w:tab w:val="right" w:leader="dot" w:pos="9016"/>
                </w:tabs>
                <w:rPr>
                  <w:rFonts w:asciiTheme="minorHAnsi" w:hAnsiTheme="minorHAnsi" w:eastAsiaTheme="minorEastAsia"/>
                  <w:noProof/>
                  <w:szCs w:val="22"/>
                  <w:lang w:eastAsia="en-GB"/>
                </w:rPr>
              </w:pPr>
              <w:hyperlink w:history="1" w:anchor="_Toc129367528">
                <w:r w:rsidRPr="00BA13B9">
                  <w:rPr>
                    <w:rStyle w:val="Hyperlink"/>
                    <w:noProof/>
                  </w:rPr>
                  <w:t>3.</w:t>
                </w:r>
                <w:r>
                  <w:rPr>
                    <w:rFonts w:asciiTheme="minorHAnsi" w:hAnsiTheme="minorHAnsi" w:eastAsiaTheme="minorEastAsia"/>
                    <w:noProof/>
                    <w:szCs w:val="22"/>
                    <w:lang w:eastAsia="en-GB"/>
                  </w:rPr>
                  <w:tab/>
                </w:r>
                <w:r w:rsidRPr="00BA13B9">
                  <w:rPr>
                    <w:rStyle w:val="Hyperlink"/>
                    <w:noProof/>
                  </w:rPr>
                  <w:t>KEY DEFINITIONS</w:t>
                </w:r>
                <w:r>
                  <w:rPr>
                    <w:noProof/>
                    <w:webHidden/>
                  </w:rPr>
                  <w:tab/>
                </w:r>
                <w:r>
                  <w:rPr>
                    <w:noProof/>
                    <w:webHidden/>
                  </w:rPr>
                  <w:fldChar w:fldCharType="begin"/>
                </w:r>
                <w:r>
                  <w:rPr>
                    <w:noProof/>
                    <w:webHidden/>
                  </w:rPr>
                  <w:instrText xml:space="preserve"> PAGEREF _Toc129367528 \h </w:instrText>
                </w:r>
                <w:r>
                  <w:rPr>
                    <w:noProof/>
                    <w:webHidden/>
                  </w:rPr>
                </w:r>
                <w:r>
                  <w:rPr>
                    <w:noProof/>
                    <w:webHidden/>
                  </w:rPr>
                  <w:fldChar w:fldCharType="separate"/>
                </w:r>
                <w:r>
                  <w:rPr>
                    <w:noProof/>
                    <w:webHidden/>
                  </w:rPr>
                  <w:t>3</w:t>
                </w:r>
                <w:r>
                  <w:rPr>
                    <w:noProof/>
                    <w:webHidden/>
                  </w:rPr>
                  <w:fldChar w:fldCharType="end"/>
                </w:r>
              </w:hyperlink>
            </w:p>
            <w:p w:rsidR="00F65949" w:rsidRDefault="00F65949" w14:paraId="03DAD2AE" w14:textId="66D7725F">
              <w:pPr>
                <w:pStyle w:val="TOC1"/>
                <w:tabs>
                  <w:tab w:val="left" w:pos="440"/>
                  <w:tab w:val="right" w:leader="dot" w:pos="9016"/>
                </w:tabs>
                <w:rPr>
                  <w:rFonts w:asciiTheme="minorHAnsi" w:hAnsiTheme="minorHAnsi" w:eastAsiaTheme="minorEastAsia"/>
                  <w:noProof/>
                  <w:szCs w:val="22"/>
                  <w:lang w:eastAsia="en-GB"/>
                </w:rPr>
              </w:pPr>
              <w:hyperlink w:history="1" w:anchor="_Toc129367529">
                <w:r w:rsidRPr="00BA13B9">
                  <w:rPr>
                    <w:rStyle w:val="Hyperlink"/>
                    <w:noProof/>
                  </w:rPr>
                  <w:t>4.</w:t>
                </w:r>
                <w:r>
                  <w:rPr>
                    <w:rFonts w:asciiTheme="minorHAnsi" w:hAnsiTheme="minorHAnsi" w:eastAsiaTheme="minorEastAsia"/>
                    <w:noProof/>
                    <w:szCs w:val="22"/>
                    <w:lang w:eastAsia="en-GB"/>
                  </w:rPr>
                  <w:tab/>
                </w:r>
                <w:r w:rsidRPr="00BA13B9">
                  <w:rPr>
                    <w:rStyle w:val="Hyperlink"/>
                    <w:noProof/>
                  </w:rPr>
                  <w:t>SCOPE</w:t>
                </w:r>
                <w:r>
                  <w:rPr>
                    <w:noProof/>
                    <w:webHidden/>
                  </w:rPr>
                  <w:tab/>
                </w:r>
                <w:r>
                  <w:rPr>
                    <w:noProof/>
                    <w:webHidden/>
                  </w:rPr>
                  <w:fldChar w:fldCharType="begin"/>
                </w:r>
                <w:r>
                  <w:rPr>
                    <w:noProof/>
                    <w:webHidden/>
                  </w:rPr>
                  <w:instrText xml:space="preserve"> PAGEREF _Toc129367529 \h </w:instrText>
                </w:r>
                <w:r>
                  <w:rPr>
                    <w:noProof/>
                    <w:webHidden/>
                  </w:rPr>
                </w:r>
                <w:r>
                  <w:rPr>
                    <w:noProof/>
                    <w:webHidden/>
                  </w:rPr>
                  <w:fldChar w:fldCharType="separate"/>
                </w:r>
                <w:r>
                  <w:rPr>
                    <w:noProof/>
                    <w:webHidden/>
                  </w:rPr>
                  <w:t>4</w:t>
                </w:r>
                <w:r>
                  <w:rPr>
                    <w:noProof/>
                    <w:webHidden/>
                  </w:rPr>
                  <w:fldChar w:fldCharType="end"/>
                </w:r>
              </w:hyperlink>
            </w:p>
            <w:p w:rsidR="00F65949" w:rsidRDefault="00F65949" w14:paraId="7CD10AC4" w14:textId="35A4B2F5">
              <w:pPr>
                <w:pStyle w:val="TOC1"/>
                <w:tabs>
                  <w:tab w:val="left" w:pos="440"/>
                  <w:tab w:val="right" w:leader="dot" w:pos="9016"/>
                </w:tabs>
                <w:rPr>
                  <w:rFonts w:asciiTheme="minorHAnsi" w:hAnsiTheme="minorHAnsi" w:eastAsiaTheme="minorEastAsia"/>
                  <w:noProof/>
                  <w:szCs w:val="22"/>
                  <w:lang w:eastAsia="en-GB"/>
                </w:rPr>
              </w:pPr>
              <w:hyperlink w:history="1" w:anchor="_Toc129367530">
                <w:r w:rsidRPr="00BA13B9">
                  <w:rPr>
                    <w:rStyle w:val="Hyperlink"/>
                    <w:noProof/>
                  </w:rPr>
                  <w:t>5.</w:t>
                </w:r>
                <w:r>
                  <w:rPr>
                    <w:rFonts w:asciiTheme="minorHAnsi" w:hAnsiTheme="minorHAnsi" w:eastAsiaTheme="minorEastAsia"/>
                    <w:noProof/>
                    <w:szCs w:val="22"/>
                    <w:lang w:eastAsia="en-GB"/>
                  </w:rPr>
                  <w:tab/>
                </w:r>
                <w:r w:rsidRPr="00BA13B9">
                  <w:rPr>
                    <w:rStyle w:val="Hyperlink"/>
                    <w:noProof/>
                  </w:rPr>
                  <w:t>KEY LEGISLATION / FRAMEWORK</w:t>
                </w:r>
                <w:r>
                  <w:rPr>
                    <w:noProof/>
                    <w:webHidden/>
                  </w:rPr>
                  <w:tab/>
                </w:r>
                <w:r>
                  <w:rPr>
                    <w:noProof/>
                    <w:webHidden/>
                  </w:rPr>
                  <w:fldChar w:fldCharType="begin"/>
                </w:r>
                <w:r>
                  <w:rPr>
                    <w:noProof/>
                    <w:webHidden/>
                  </w:rPr>
                  <w:instrText xml:space="preserve"> PAGEREF _Toc129367530 \h </w:instrText>
                </w:r>
                <w:r>
                  <w:rPr>
                    <w:noProof/>
                    <w:webHidden/>
                  </w:rPr>
                </w:r>
                <w:r>
                  <w:rPr>
                    <w:noProof/>
                    <w:webHidden/>
                  </w:rPr>
                  <w:fldChar w:fldCharType="separate"/>
                </w:r>
                <w:r>
                  <w:rPr>
                    <w:noProof/>
                    <w:webHidden/>
                  </w:rPr>
                  <w:t>4</w:t>
                </w:r>
                <w:r>
                  <w:rPr>
                    <w:noProof/>
                    <w:webHidden/>
                  </w:rPr>
                  <w:fldChar w:fldCharType="end"/>
                </w:r>
              </w:hyperlink>
            </w:p>
            <w:p w:rsidR="00F65949" w:rsidRDefault="00F65949" w14:paraId="7A96EBD3" w14:textId="76A1C551">
              <w:pPr>
                <w:pStyle w:val="TOC1"/>
                <w:tabs>
                  <w:tab w:val="left" w:pos="440"/>
                  <w:tab w:val="right" w:leader="dot" w:pos="9016"/>
                </w:tabs>
                <w:rPr>
                  <w:rFonts w:asciiTheme="minorHAnsi" w:hAnsiTheme="minorHAnsi" w:eastAsiaTheme="minorEastAsia"/>
                  <w:noProof/>
                  <w:szCs w:val="22"/>
                  <w:lang w:eastAsia="en-GB"/>
                </w:rPr>
              </w:pPr>
              <w:hyperlink w:history="1" w:anchor="_Toc129367531">
                <w:r w:rsidRPr="00BA13B9">
                  <w:rPr>
                    <w:rStyle w:val="Hyperlink"/>
                    <w:noProof/>
                  </w:rPr>
                  <w:t>6.</w:t>
                </w:r>
                <w:r>
                  <w:rPr>
                    <w:rFonts w:asciiTheme="minorHAnsi" w:hAnsiTheme="minorHAnsi" w:eastAsiaTheme="minorEastAsia"/>
                    <w:noProof/>
                    <w:szCs w:val="22"/>
                    <w:lang w:eastAsia="en-GB"/>
                  </w:rPr>
                  <w:tab/>
                </w:r>
                <w:r w:rsidRPr="00BA13B9">
                  <w:rPr>
                    <w:rStyle w:val="Hyperlink"/>
                    <w:noProof/>
                  </w:rPr>
                  <w:t>INFORMATION INCIDENT REPORTING</w:t>
                </w:r>
                <w:r>
                  <w:rPr>
                    <w:noProof/>
                    <w:webHidden/>
                  </w:rPr>
                  <w:tab/>
                </w:r>
                <w:r>
                  <w:rPr>
                    <w:noProof/>
                    <w:webHidden/>
                  </w:rPr>
                  <w:fldChar w:fldCharType="begin"/>
                </w:r>
                <w:r>
                  <w:rPr>
                    <w:noProof/>
                    <w:webHidden/>
                  </w:rPr>
                  <w:instrText xml:space="preserve"> PAGEREF _Toc129367531 \h </w:instrText>
                </w:r>
                <w:r>
                  <w:rPr>
                    <w:noProof/>
                    <w:webHidden/>
                  </w:rPr>
                </w:r>
                <w:r>
                  <w:rPr>
                    <w:noProof/>
                    <w:webHidden/>
                  </w:rPr>
                  <w:fldChar w:fldCharType="separate"/>
                </w:r>
                <w:r>
                  <w:rPr>
                    <w:noProof/>
                    <w:webHidden/>
                  </w:rPr>
                  <w:t>4</w:t>
                </w:r>
                <w:r>
                  <w:rPr>
                    <w:noProof/>
                    <w:webHidden/>
                  </w:rPr>
                  <w:fldChar w:fldCharType="end"/>
                </w:r>
              </w:hyperlink>
            </w:p>
            <w:p w:rsidR="00F65949" w:rsidRDefault="00F65949" w14:paraId="0AE1E9C7" w14:textId="27A94F66">
              <w:pPr>
                <w:pStyle w:val="TOC1"/>
                <w:tabs>
                  <w:tab w:val="left" w:pos="440"/>
                  <w:tab w:val="right" w:leader="dot" w:pos="9016"/>
                </w:tabs>
                <w:rPr>
                  <w:rFonts w:asciiTheme="minorHAnsi" w:hAnsiTheme="minorHAnsi" w:eastAsiaTheme="minorEastAsia"/>
                  <w:noProof/>
                  <w:szCs w:val="22"/>
                  <w:lang w:eastAsia="en-GB"/>
                </w:rPr>
              </w:pPr>
              <w:hyperlink w:history="1" w:anchor="_Toc129367532">
                <w:r w:rsidRPr="00BA13B9">
                  <w:rPr>
                    <w:rStyle w:val="Hyperlink"/>
                    <w:noProof/>
                  </w:rPr>
                  <w:t>7.</w:t>
                </w:r>
                <w:r>
                  <w:rPr>
                    <w:rFonts w:asciiTheme="minorHAnsi" w:hAnsiTheme="minorHAnsi" w:eastAsiaTheme="minorEastAsia"/>
                    <w:noProof/>
                    <w:szCs w:val="22"/>
                    <w:lang w:eastAsia="en-GB"/>
                  </w:rPr>
                  <w:tab/>
                </w:r>
                <w:r w:rsidRPr="00BA13B9">
                  <w:rPr>
                    <w:rStyle w:val="Hyperlink"/>
                    <w:noProof/>
                  </w:rPr>
                  <w:t>UNAUTHORISED ACCESS TO PERSONAL DATA</w:t>
                </w:r>
                <w:r>
                  <w:rPr>
                    <w:noProof/>
                    <w:webHidden/>
                  </w:rPr>
                  <w:tab/>
                </w:r>
                <w:r>
                  <w:rPr>
                    <w:noProof/>
                    <w:webHidden/>
                  </w:rPr>
                  <w:fldChar w:fldCharType="begin"/>
                </w:r>
                <w:r>
                  <w:rPr>
                    <w:noProof/>
                    <w:webHidden/>
                  </w:rPr>
                  <w:instrText xml:space="preserve"> PAGEREF _Toc129367532 \h </w:instrText>
                </w:r>
                <w:r>
                  <w:rPr>
                    <w:noProof/>
                    <w:webHidden/>
                  </w:rPr>
                </w:r>
                <w:r>
                  <w:rPr>
                    <w:noProof/>
                    <w:webHidden/>
                  </w:rPr>
                  <w:fldChar w:fldCharType="separate"/>
                </w:r>
                <w:r>
                  <w:rPr>
                    <w:noProof/>
                    <w:webHidden/>
                  </w:rPr>
                  <w:t>5</w:t>
                </w:r>
                <w:r>
                  <w:rPr>
                    <w:noProof/>
                    <w:webHidden/>
                  </w:rPr>
                  <w:fldChar w:fldCharType="end"/>
                </w:r>
              </w:hyperlink>
            </w:p>
            <w:p w:rsidR="00F65949" w:rsidRDefault="00F65949" w14:paraId="17D22EF8" w14:textId="216941E5">
              <w:pPr>
                <w:pStyle w:val="TOC1"/>
                <w:tabs>
                  <w:tab w:val="left" w:pos="440"/>
                  <w:tab w:val="right" w:leader="dot" w:pos="9016"/>
                </w:tabs>
                <w:rPr>
                  <w:rFonts w:asciiTheme="minorHAnsi" w:hAnsiTheme="minorHAnsi" w:eastAsiaTheme="minorEastAsia"/>
                  <w:noProof/>
                  <w:szCs w:val="22"/>
                  <w:lang w:eastAsia="en-GB"/>
                </w:rPr>
              </w:pPr>
              <w:hyperlink w:history="1" w:anchor="_Toc129367533">
                <w:r w:rsidRPr="00BA13B9">
                  <w:rPr>
                    <w:rStyle w:val="Hyperlink"/>
                    <w:noProof/>
                  </w:rPr>
                  <w:t>8.</w:t>
                </w:r>
                <w:r>
                  <w:rPr>
                    <w:rFonts w:asciiTheme="minorHAnsi" w:hAnsiTheme="minorHAnsi" w:eastAsiaTheme="minorEastAsia"/>
                    <w:noProof/>
                    <w:szCs w:val="22"/>
                    <w:lang w:eastAsia="en-GB"/>
                  </w:rPr>
                  <w:tab/>
                </w:r>
                <w:r w:rsidRPr="00BA13B9">
                  <w:rPr>
                    <w:rStyle w:val="Hyperlink"/>
                    <w:noProof/>
                  </w:rPr>
                  <w:t>INCIDENT COMMUNICATION</w:t>
                </w:r>
                <w:r>
                  <w:rPr>
                    <w:noProof/>
                    <w:webHidden/>
                  </w:rPr>
                  <w:tab/>
                </w:r>
                <w:r>
                  <w:rPr>
                    <w:noProof/>
                    <w:webHidden/>
                  </w:rPr>
                  <w:fldChar w:fldCharType="begin"/>
                </w:r>
                <w:r>
                  <w:rPr>
                    <w:noProof/>
                    <w:webHidden/>
                  </w:rPr>
                  <w:instrText xml:space="preserve"> PAGEREF _Toc129367533 \h </w:instrText>
                </w:r>
                <w:r>
                  <w:rPr>
                    <w:noProof/>
                    <w:webHidden/>
                  </w:rPr>
                </w:r>
                <w:r>
                  <w:rPr>
                    <w:noProof/>
                    <w:webHidden/>
                  </w:rPr>
                  <w:fldChar w:fldCharType="separate"/>
                </w:r>
                <w:r>
                  <w:rPr>
                    <w:noProof/>
                    <w:webHidden/>
                  </w:rPr>
                  <w:t>5</w:t>
                </w:r>
                <w:r>
                  <w:rPr>
                    <w:noProof/>
                    <w:webHidden/>
                  </w:rPr>
                  <w:fldChar w:fldCharType="end"/>
                </w:r>
              </w:hyperlink>
            </w:p>
            <w:p w:rsidR="00F65949" w:rsidRDefault="00F65949" w14:paraId="756091FE" w14:textId="4D09E62F">
              <w:pPr>
                <w:pStyle w:val="TOC1"/>
                <w:tabs>
                  <w:tab w:val="left" w:pos="440"/>
                  <w:tab w:val="right" w:leader="dot" w:pos="9016"/>
                </w:tabs>
                <w:rPr>
                  <w:rFonts w:asciiTheme="minorHAnsi" w:hAnsiTheme="minorHAnsi" w:eastAsiaTheme="minorEastAsia"/>
                  <w:noProof/>
                  <w:szCs w:val="22"/>
                  <w:lang w:eastAsia="en-GB"/>
                </w:rPr>
              </w:pPr>
              <w:hyperlink w:history="1" w:anchor="_Toc129367534">
                <w:r w:rsidRPr="00BA13B9">
                  <w:rPr>
                    <w:rStyle w:val="Hyperlink"/>
                    <w:noProof/>
                  </w:rPr>
                  <w:t>9.</w:t>
                </w:r>
                <w:r>
                  <w:rPr>
                    <w:rFonts w:asciiTheme="minorHAnsi" w:hAnsiTheme="minorHAnsi" w:eastAsiaTheme="minorEastAsia"/>
                    <w:noProof/>
                    <w:szCs w:val="22"/>
                    <w:lang w:eastAsia="en-GB"/>
                  </w:rPr>
                  <w:tab/>
                </w:r>
                <w:r w:rsidRPr="00BA13B9">
                  <w:rPr>
                    <w:rStyle w:val="Hyperlink"/>
                    <w:noProof/>
                  </w:rPr>
                  <w:t>HANDING OVER INVESTIGATION – ANNUAL LEAVE / SICKNESS / ABSENCE</w:t>
                </w:r>
                <w:r>
                  <w:rPr>
                    <w:noProof/>
                    <w:webHidden/>
                  </w:rPr>
                  <w:tab/>
                </w:r>
                <w:r>
                  <w:rPr>
                    <w:noProof/>
                    <w:webHidden/>
                  </w:rPr>
                  <w:fldChar w:fldCharType="begin"/>
                </w:r>
                <w:r>
                  <w:rPr>
                    <w:noProof/>
                    <w:webHidden/>
                  </w:rPr>
                  <w:instrText xml:space="preserve"> PAGEREF _Toc129367534 \h </w:instrText>
                </w:r>
                <w:r>
                  <w:rPr>
                    <w:noProof/>
                    <w:webHidden/>
                  </w:rPr>
                </w:r>
                <w:r>
                  <w:rPr>
                    <w:noProof/>
                    <w:webHidden/>
                  </w:rPr>
                  <w:fldChar w:fldCharType="separate"/>
                </w:r>
                <w:r>
                  <w:rPr>
                    <w:noProof/>
                    <w:webHidden/>
                  </w:rPr>
                  <w:t>6</w:t>
                </w:r>
                <w:r>
                  <w:rPr>
                    <w:noProof/>
                    <w:webHidden/>
                  </w:rPr>
                  <w:fldChar w:fldCharType="end"/>
                </w:r>
              </w:hyperlink>
            </w:p>
            <w:p w:rsidR="00F65949" w:rsidRDefault="00F65949" w14:paraId="14CDBC6E" w14:textId="566B42C9">
              <w:pPr>
                <w:pStyle w:val="TOC1"/>
                <w:tabs>
                  <w:tab w:val="left" w:pos="660"/>
                  <w:tab w:val="right" w:leader="dot" w:pos="9016"/>
                </w:tabs>
                <w:rPr>
                  <w:rFonts w:asciiTheme="minorHAnsi" w:hAnsiTheme="minorHAnsi" w:eastAsiaTheme="minorEastAsia"/>
                  <w:noProof/>
                  <w:szCs w:val="22"/>
                  <w:lang w:eastAsia="en-GB"/>
                </w:rPr>
              </w:pPr>
              <w:hyperlink w:history="1" w:anchor="_Toc129367535">
                <w:r w:rsidRPr="00BA13B9">
                  <w:rPr>
                    <w:rStyle w:val="Hyperlink"/>
                    <w:noProof/>
                  </w:rPr>
                  <w:t>10.</w:t>
                </w:r>
                <w:r>
                  <w:rPr>
                    <w:rFonts w:asciiTheme="minorHAnsi" w:hAnsiTheme="minorHAnsi" w:eastAsiaTheme="minorEastAsia"/>
                    <w:noProof/>
                    <w:szCs w:val="22"/>
                    <w:lang w:eastAsia="en-GB"/>
                  </w:rPr>
                  <w:tab/>
                </w:r>
                <w:r w:rsidRPr="00BA13B9">
                  <w:rPr>
                    <w:rStyle w:val="Hyperlink"/>
                    <w:noProof/>
                  </w:rPr>
                  <w:t>REPORTING AN INCIDENT</w:t>
                </w:r>
                <w:r>
                  <w:rPr>
                    <w:noProof/>
                    <w:webHidden/>
                  </w:rPr>
                  <w:tab/>
                </w:r>
                <w:r>
                  <w:rPr>
                    <w:noProof/>
                    <w:webHidden/>
                  </w:rPr>
                  <w:fldChar w:fldCharType="begin"/>
                </w:r>
                <w:r>
                  <w:rPr>
                    <w:noProof/>
                    <w:webHidden/>
                  </w:rPr>
                  <w:instrText xml:space="preserve"> PAGEREF _Toc129367535 \h </w:instrText>
                </w:r>
                <w:r>
                  <w:rPr>
                    <w:noProof/>
                    <w:webHidden/>
                  </w:rPr>
                </w:r>
                <w:r>
                  <w:rPr>
                    <w:noProof/>
                    <w:webHidden/>
                  </w:rPr>
                  <w:fldChar w:fldCharType="separate"/>
                </w:r>
                <w:r>
                  <w:rPr>
                    <w:noProof/>
                    <w:webHidden/>
                  </w:rPr>
                  <w:t>6</w:t>
                </w:r>
                <w:r>
                  <w:rPr>
                    <w:noProof/>
                    <w:webHidden/>
                  </w:rPr>
                  <w:fldChar w:fldCharType="end"/>
                </w:r>
              </w:hyperlink>
            </w:p>
            <w:p w:rsidR="00F65949" w:rsidRDefault="00F65949" w14:paraId="33C284E1" w14:textId="72C8F595">
              <w:pPr>
                <w:pStyle w:val="TOC1"/>
                <w:tabs>
                  <w:tab w:val="left" w:pos="660"/>
                  <w:tab w:val="right" w:leader="dot" w:pos="9016"/>
                </w:tabs>
                <w:rPr>
                  <w:rFonts w:asciiTheme="minorHAnsi" w:hAnsiTheme="minorHAnsi" w:eastAsiaTheme="minorEastAsia"/>
                  <w:noProof/>
                  <w:szCs w:val="22"/>
                  <w:lang w:eastAsia="en-GB"/>
                </w:rPr>
              </w:pPr>
              <w:hyperlink w:history="1" w:anchor="_Toc129367536">
                <w:r w:rsidRPr="00BA13B9">
                  <w:rPr>
                    <w:rStyle w:val="Hyperlink"/>
                    <w:noProof/>
                  </w:rPr>
                  <w:t>11.</w:t>
                </w:r>
                <w:r>
                  <w:rPr>
                    <w:rFonts w:asciiTheme="minorHAnsi" w:hAnsiTheme="minorHAnsi" w:eastAsiaTheme="minorEastAsia"/>
                    <w:noProof/>
                    <w:szCs w:val="22"/>
                    <w:lang w:eastAsia="en-GB"/>
                  </w:rPr>
                  <w:tab/>
                </w:r>
                <w:r w:rsidRPr="00BA13B9">
                  <w:rPr>
                    <w:rStyle w:val="Hyperlink"/>
                    <w:noProof/>
                  </w:rPr>
                  <w:t>APPLICATION AND AUDIT</w:t>
                </w:r>
                <w:r>
                  <w:rPr>
                    <w:noProof/>
                    <w:webHidden/>
                  </w:rPr>
                  <w:tab/>
                </w:r>
                <w:r>
                  <w:rPr>
                    <w:noProof/>
                    <w:webHidden/>
                  </w:rPr>
                  <w:fldChar w:fldCharType="begin"/>
                </w:r>
                <w:r>
                  <w:rPr>
                    <w:noProof/>
                    <w:webHidden/>
                  </w:rPr>
                  <w:instrText xml:space="preserve"> PAGEREF _Toc129367536 \h </w:instrText>
                </w:r>
                <w:r>
                  <w:rPr>
                    <w:noProof/>
                    <w:webHidden/>
                  </w:rPr>
                </w:r>
                <w:r>
                  <w:rPr>
                    <w:noProof/>
                    <w:webHidden/>
                  </w:rPr>
                  <w:fldChar w:fldCharType="separate"/>
                </w:r>
                <w:r>
                  <w:rPr>
                    <w:noProof/>
                    <w:webHidden/>
                  </w:rPr>
                  <w:t>7</w:t>
                </w:r>
                <w:r>
                  <w:rPr>
                    <w:noProof/>
                    <w:webHidden/>
                  </w:rPr>
                  <w:fldChar w:fldCharType="end"/>
                </w:r>
              </w:hyperlink>
            </w:p>
            <w:p w:rsidR="005E68D9" w:rsidRDefault="005E68D9" w14:paraId="4FB3BA89" w14:textId="75D51537">
              <w:r>
                <w:rPr>
                  <w:b/>
                  <w:bCs/>
                  <w:noProof/>
                </w:rPr>
                <w:fldChar w:fldCharType="end"/>
              </w:r>
            </w:p>
          </w:sdtContent>
        </w:sdt>
        <w:p w:rsidRPr="00546579" w:rsidR="003D3B97" w:rsidP="00ED74A3" w:rsidRDefault="003D3B97" w14:paraId="028C8034" w14:textId="77777777">
          <w:pPr>
            <w:rPr>
              <w:noProof/>
              <w:sz w:val="24"/>
            </w:rPr>
          </w:pPr>
        </w:p>
        <w:p w:rsidR="00ED74A3" w:rsidP="005F5665" w:rsidRDefault="006919D1" w14:paraId="42F1BF9A" w14:textId="02AAF3B9">
          <w:pPr>
            <w:pStyle w:val="Style1"/>
            <w:ind w:left="360"/>
            <w:rPr>
              <w:noProof/>
            </w:rPr>
          </w:pPr>
          <w:bookmarkStart w:name="_Toc129367526" w:id="0"/>
          <w:r>
            <w:t>INTRODUCTION</w:t>
          </w:r>
          <w:bookmarkEnd w:id="0"/>
        </w:p>
        <w:p w:rsidR="008F0E90" w:rsidP="00ED74A3" w:rsidRDefault="008F0E90" w14:paraId="0B1F0ABF" w14:textId="77777777">
          <w:pPr>
            <w:rPr>
              <w:noProof/>
            </w:rPr>
          </w:pPr>
        </w:p>
        <w:p w:rsidR="00A94C4A" w:rsidP="00ED74A3" w:rsidRDefault="00A94C4A" w14:paraId="3DDBA230" w14:textId="77777777">
          <w:pPr>
            <w:rPr>
              <w:noProof/>
            </w:rPr>
          </w:pPr>
          <w:r w:rsidRPr="00A94C4A">
            <w:rPr>
              <w:noProof/>
            </w:rPr>
            <w:t>This protocol supports staff to deal with incidents involving Personal Confidential Information to ensure that they are appropriately controlled, reported and that lessons are effectively fed back into the risk management cycle.</w:t>
          </w:r>
        </w:p>
        <w:p w:rsidRPr="00D8568D" w:rsidR="00821E3A" w:rsidP="00821E3A" w:rsidRDefault="00821E3A" w14:paraId="103A3ADD" w14:textId="77777777">
          <w:pPr>
            <w:rPr>
              <w:lang w:val="en-US"/>
            </w:rPr>
          </w:pPr>
          <w:r w:rsidRPr="00D8568D">
            <w:rPr>
              <w:lang w:val="en-US"/>
            </w:rPr>
            <w:t>It is essential that all Information Governance Serious Incidents Requiring Investigation (IG SIRIs) including IG Cyber SIRIS which occur in Health, Public Health and Adult Social Care services are reported appropriately and handled effectively.</w:t>
          </w:r>
        </w:p>
        <w:p w:rsidRPr="00D8568D" w:rsidR="00821E3A" w:rsidP="00821E3A" w:rsidRDefault="00821E3A" w14:paraId="24F0F3A6" w14:textId="77777777">
          <w:pPr>
            <w:rPr>
              <w:lang w:val="en-US"/>
            </w:rPr>
          </w:pPr>
          <w:r w:rsidRPr="00D8568D">
            <w:rPr>
              <w:lang w:val="en-US"/>
            </w:rPr>
            <w:t xml:space="preserve">All Organisations processing Health, Public Health and Adult Social Care Personal Confidential Information are required to use the IG Toolkit Incident Reporting Tool to report level 2 IG SIRIs to the DH, ICO and other regulators. </w:t>
          </w:r>
        </w:p>
        <w:p w:rsidRPr="00D8568D" w:rsidR="00821E3A" w:rsidP="00821E3A" w:rsidRDefault="00821E3A" w14:paraId="4ABFE618" w14:textId="77777777">
          <w:pPr>
            <w:rPr>
              <w:lang w:val="en-US"/>
            </w:rPr>
          </w:pPr>
          <w:r w:rsidRPr="00D8568D">
            <w:rPr>
              <w:lang w:val="en-US"/>
            </w:rPr>
            <w:t xml:space="preserve">All Organisations processing Health, Public Health and Adult Social Care personal data are expected to use the IG Toolkit Cyber SIRI extended functionality to contribute to health and social response to the UK’s Cyber Security Strategy. </w:t>
          </w:r>
        </w:p>
        <w:p w:rsidR="00821E3A" w:rsidP="00821E3A" w:rsidRDefault="00821E3A" w14:paraId="3EEB08CD" w14:textId="77777777">
          <w:pPr>
            <w:rPr>
              <w:lang w:val="en-US"/>
            </w:rPr>
          </w:pPr>
          <w:r w:rsidRPr="00D8568D">
            <w:rPr>
              <w:lang w:val="en-US"/>
            </w:rPr>
            <w:t xml:space="preserve">Level 2 Cyber Incidents will be notified to the Department of Health and </w:t>
          </w:r>
          <w:r>
            <w:rPr>
              <w:lang w:val="en-US"/>
            </w:rPr>
            <w:t>NHS Digital / Information Commissioners Office</w:t>
          </w:r>
          <w:r w:rsidRPr="00D8568D">
            <w:rPr>
              <w:lang w:val="en-US"/>
            </w:rPr>
            <w:t>.</w:t>
          </w:r>
        </w:p>
        <w:p w:rsidR="00ED74A3" w:rsidP="00ED74A3" w:rsidRDefault="00940077" w14:paraId="05A623F8" w14:textId="27F6B071">
          <w:pPr>
            <w:rPr>
              <w:noProof/>
            </w:rPr>
          </w:pPr>
        </w:p>
      </w:sdtContent>
    </w:sdt>
    <w:p w:rsidR="006F3D6C" w:rsidP="006F3D6C" w:rsidRDefault="006F3D6C" w14:paraId="3B3A14E4" w14:textId="67156178">
      <w:pPr>
        <w:pStyle w:val="Style1"/>
        <w:ind w:left="360"/>
        <w:rPr>
          <w:noProof/>
        </w:rPr>
      </w:pPr>
      <w:bookmarkStart w:name="_Toc129367527" w:id="1"/>
      <w:r>
        <w:t>QUICK REFERENCE POINTS</w:t>
      </w:r>
      <w:bookmarkEnd w:id="1"/>
    </w:p>
    <w:p w:rsidR="008F0E90" w:rsidP="00C90EF1" w:rsidRDefault="008F0E90" w14:paraId="38D5602C" w14:textId="5A705870"/>
    <w:p w:rsidR="00BD3D4A" w:rsidP="00BD3D4A" w:rsidRDefault="00BD3D4A" w14:paraId="22FD99B4" w14:textId="12F68650">
      <w:pPr>
        <w:pStyle w:val="ListParagraph"/>
        <w:numPr>
          <w:ilvl w:val="0"/>
          <w:numId w:val="29"/>
        </w:numPr>
      </w:pPr>
      <w:r>
        <w:lastRenderedPageBreak/>
        <w:t xml:space="preserve">Staff must be able to recognise an incident and promptly report </w:t>
      </w:r>
      <w:proofErr w:type="gramStart"/>
      <w:r>
        <w:t>it</w:t>
      </w:r>
      <w:proofErr w:type="gramEnd"/>
    </w:p>
    <w:p w:rsidR="00BD3D4A" w:rsidP="00BD3D4A" w:rsidRDefault="00BD3D4A" w14:paraId="168B545A" w14:textId="4ECCAF34">
      <w:pPr>
        <w:pStyle w:val="ListParagraph"/>
        <w:numPr>
          <w:ilvl w:val="0"/>
          <w:numId w:val="29"/>
        </w:numPr>
      </w:pPr>
      <w:r>
        <w:t xml:space="preserve">An incident is where the confidentiality, availability or integrity of personal data has been </w:t>
      </w:r>
      <w:proofErr w:type="gramStart"/>
      <w:r>
        <w:t>affected</w:t>
      </w:r>
      <w:proofErr w:type="gramEnd"/>
    </w:p>
    <w:p w:rsidR="00BD3D4A" w:rsidP="00BD3D4A" w:rsidRDefault="00BD3D4A" w14:paraId="1D6A2E97" w14:textId="2911A3A8">
      <w:pPr>
        <w:pStyle w:val="ListParagraph"/>
        <w:numPr>
          <w:ilvl w:val="0"/>
          <w:numId w:val="29"/>
        </w:numPr>
      </w:pPr>
      <w:r>
        <w:t xml:space="preserve">If you are investigating an incident, make sure you hand it to a colleague when you are </w:t>
      </w:r>
      <w:proofErr w:type="gramStart"/>
      <w:r>
        <w:t>absent</w:t>
      </w:r>
      <w:proofErr w:type="gramEnd"/>
    </w:p>
    <w:p w:rsidR="00BD3D4A" w:rsidP="00BD3D4A" w:rsidRDefault="00BD3D4A" w14:paraId="24C03E9F" w14:textId="60C2446A">
      <w:pPr>
        <w:pStyle w:val="ListParagraph"/>
        <w:numPr>
          <w:ilvl w:val="0"/>
          <w:numId w:val="29"/>
        </w:numPr>
      </w:pPr>
      <w:r>
        <w:t xml:space="preserve">Sometimes the patient will need to be </w:t>
      </w:r>
      <w:proofErr w:type="gramStart"/>
      <w:r>
        <w:t>notified</w:t>
      </w:r>
      <w:proofErr w:type="gramEnd"/>
    </w:p>
    <w:p w:rsidR="00BD3D4A" w:rsidP="00BD3D4A" w:rsidRDefault="00BD3D4A" w14:paraId="17C79238" w14:textId="620C9646">
      <w:pPr>
        <w:pStyle w:val="ListParagraph"/>
        <w:numPr>
          <w:ilvl w:val="0"/>
          <w:numId w:val="29"/>
        </w:numPr>
      </w:pPr>
      <w:r>
        <w:t xml:space="preserve">Sometimes the authorities will need to be </w:t>
      </w:r>
      <w:proofErr w:type="gramStart"/>
      <w:r>
        <w:t>notified</w:t>
      </w:r>
      <w:proofErr w:type="gramEnd"/>
    </w:p>
    <w:p w:rsidR="00BD3D4A" w:rsidP="00BD3D4A" w:rsidRDefault="00BD3D4A" w14:paraId="001CD76D" w14:textId="70E4DF18">
      <w:pPr>
        <w:pStyle w:val="ListParagraph"/>
        <w:numPr>
          <w:ilvl w:val="0"/>
          <w:numId w:val="29"/>
        </w:numPr>
      </w:pPr>
      <w:r>
        <w:t xml:space="preserve">A timely response is </w:t>
      </w:r>
      <w:proofErr w:type="gramStart"/>
      <w:r>
        <w:t>important</w:t>
      </w:r>
      <w:proofErr w:type="gramEnd"/>
    </w:p>
    <w:p w:rsidR="00535F69" w:rsidP="00535F69" w:rsidRDefault="00535F69" w14:paraId="0321AC1A" w14:textId="308D191F">
      <w:pPr>
        <w:pStyle w:val="Style1"/>
        <w:ind w:left="360"/>
        <w:rPr>
          <w:noProof/>
        </w:rPr>
      </w:pPr>
      <w:bookmarkStart w:name="_Toc129367528" w:id="2"/>
      <w:r>
        <w:t>KEY DEFINITIONS</w:t>
      </w:r>
      <w:bookmarkEnd w:id="2"/>
    </w:p>
    <w:p w:rsidR="008F0E90" w:rsidP="00C90EF1" w:rsidRDefault="008F0E90" w14:paraId="18D89AF1" w14:textId="77777777"/>
    <w:p w:rsidR="00535F69" w:rsidP="00C90EF1" w:rsidRDefault="00535F69" w14:paraId="79DFA27C" w14:textId="77777777"/>
    <w:p w:rsidRPr="005E6604" w:rsidR="00687325" w:rsidP="00687325" w:rsidRDefault="00687325" w14:paraId="5E30E753" w14:textId="77777777">
      <w:pPr>
        <w:ind w:left="4320" w:hanging="4320"/>
      </w:pPr>
      <w:r w:rsidRPr="00687325">
        <w:rPr>
          <w:b/>
          <w:bCs/>
        </w:rPr>
        <w:t>Personal Confidential Information</w:t>
      </w:r>
      <w:r>
        <w:t xml:space="preserve"> </w:t>
      </w:r>
      <w:r>
        <w:tab/>
        <w:t>This term is intended to cover information captured by the Data Protection Act 2018 / GDPR (identifiable information about the living), information covered by the Common Law Duty of Confidence / Tort of Misuse of Private Information and finally, information covered by Article 8 European Convention for Human Rights.</w:t>
      </w:r>
    </w:p>
    <w:p w:rsidR="00535F69" w:rsidP="00C90EF1" w:rsidRDefault="00535F69" w14:paraId="4F81948D" w14:textId="77777777"/>
    <w:p w:rsidR="00BA1866" w:rsidP="00BA1866" w:rsidRDefault="006919D1" w14:paraId="648B500A" w14:textId="53570FE9">
      <w:pPr>
        <w:pStyle w:val="Style1"/>
        <w:ind w:left="360"/>
        <w:rPr>
          <w:noProof/>
        </w:rPr>
      </w:pPr>
      <w:bookmarkStart w:name="_Toc129367529" w:id="3"/>
      <w:r>
        <w:t>SCOPE</w:t>
      </w:r>
      <w:bookmarkEnd w:id="3"/>
    </w:p>
    <w:p w:rsidR="00451847" w:rsidP="00C90EF1" w:rsidRDefault="00451847" w14:paraId="5EE1C09F" w14:textId="36DA8305"/>
    <w:p w:rsidR="00D80043" w:rsidP="00D80043" w:rsidRDefault="00D80043" w14:paraId="75CFD38E" w14:textId="77777777">
      <w:pPr>
        <w:tabs>
          <w:tab w:val="left" w:pos="1702"/>
        </w:tabs>
      </w:pPr>
      <w:r>
        <w:t>See Information Governance Policy for key roles.</w:t>
      </w:r>
    </w:p>
    <w:p w:rsidR="00D80043" w:rsidP="00D80043" w:rsidRDefault="00D80043" w14:paraId="40F3DCA8" w14:textId="462E5F59">
      <w:pPr>
        <w:tabs>
          <w:tab w:val="left" w:pos="1702"/>
        </w:tabs>
      </w:pPr>
      <w:r>
        <w:t xml:space="preserve">All staff, whether management or administrative, who create, </w:t>
      </w:r>
      <w:proofErr w:type="gramStart"/>
      <w:r>
        <w:t>receive</w:t>
      </w:r>
      <w:proofErr w:type="gramEnd"/>
      <w:r>
        <w:t xml:space="preserve"> and use Personal Confidential Information have responsibilities to ensure effective reporting and management of information </w:t>
      </w:r>
      <w:r w:rsidR="00E55666">
        <w:t>incidents</w:t>
      </w:r>
      <w:r>
        <w:t>. Employees have a contractual and legal obligation to read and comply with all company policies and to attend mandatory training to support the appropriate management of information.</w:t>
      </w:r>
    </w:p>
    <w:p w:rsidR="006919D1" w:rsidP="00C90EF1" w:rsidRDefault="006919D1" w14:paraId="5E96181F" w14:textId="77777777"/>
    <w:p w:rsidR="006919D1" w:rsidP="006919D1" w:rsidRDefault="00935C9D" w14:paraId="23722E74" w14:textId="0B7ABEC2">
      <w:pPr>
        <w:pStyle w:val="Style1"/>
        <w:ind w:left="360"/>
        <w:rPr>
          <w:noProof/>
        </w:rPr>
      </w:pPr>
      <w:bookmarkStart w:name="_Toc129367530" w:id="4"/>
      <w:r>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005C5F06" w:rsidP="00687325" w:rsidRDefault="005C5F06" w14:paraId="71413E81" w14:textId="1C8F8FB5">
      <w:pPr>
        <w:pStyle w:val="ListParagraph"/>
        <w:numPr>
          <w:ilvl w:val="0"/>
          <w:numId w:val="10"/>
        </w:numPr>
      </w:pPr>
      <w:r>
        <w:t xml:space="preserve">UK GDPR / Data Protection Act 2018 </w:t>
      </w:r>
    </w:p>
    <w:p w:rsidR="00BA1866" w:rsidP="00C90EF1" w:rsidRDefault="00F17971" w14:paraId="77E12770" w14:textId="6977358C">
      <w:pPr>
        <w:pStyle w:val="ListParagraph"/>
        <w:numPr>
          <w:ilvl w:val="0"/>
          <w:numId w:val="10"/>
        </w:numPr>
      </w:pPr>
      <w:r>
        <w:t>Human Rights Act 1998</w:t>
      </w:r>
    </w:p>
    <w:p w:rsidR="007B09F0" w:rsidP="007B09F0" w:rsidRDefault="007B09F0" w14:paraId="565AA6E0" w14:textId="77777777"/>
    <w:p w:rsidR="007B09F0" w:rsidP="007B09F0" w:rsidRDefault="009119EB" w14:paraId="4E42EDB9" w14:textId="26C9F44B">
      <w:pPr>
        <w:pStyle w:val="Style1"/>
        <w:ind w:left="360"/>
        <w:rPr>
          <w:noProof/>
        </w:rPr>
      </w:pPr>
      <w:bookmarkStart w:name="_Toc129367531" w:id="5"/>
      <w:r>
        <w:t>INFORMATION INCIDENT REPORTING</w:t>
      </w:r>
      <w:bookmarkEnd w:id="5"/>
    </w:p>
    <w:p w:rsidR="00827665" w:rsidP="00827665" w:rsidRDefault="00827665" w14:paraId="3E02A63E" w14:textId="77777777"/>
    <w:p w:rsidRPr="006457AE" w:rsidR="009119EB" w:rsidP="006457AE" w:rsidRDefault="00940077" w14:paraId="13F7FCB8" w14:textId="590AE200">
      <w:pPr>
        <w:pStyle w:val="ListParagraph"/>
        <w:numPr>
          <w:ilvl w:val="0"/>
          <w:numId w:val="20"/>
        </w:numPr>
        <w:rPr>
          <w:lang w:val="en-US"/>
        </w:rPr>
      </w:pPr>
      <w:sdt>
        <w:sdtPr>
          <w:rPr>
            <w:lang w:val="en-US"/>
          </w:rPr>
          <w:alias w:val="PRACTICE"/>
          <w:tag w:val="PRACTICE"/>
          <w:id w:val="1402179404"/>
          <w:placeholder>
            <w:docPart w:val="DefaultPlaceholder_-1854013440"/>
          </w:placeholder>
          <w:showingPlcHdr/>
          <w:text/>
        </w:sdtPr>
        <w:sdtEndPr/>
        <w:sdtContent>
          <w:r w:rsidRPr="006457AE" w:rsidR="009119EB">
            <w:rPr>
              <w:lang w:val="en-US"/>
            </w:rPr>
            <w:t>Upwell Health Centre and Welle Ltd (Pharmacy)</w:t>
          </w:r>
        </w:sdtContent>
      </w:sdt>
      <w:r w:rsidRPr="006457AE" w:rsidR="009119EB">
        <w:rPr>
          <w:lang w:val="en-US"/>
        </w:rPr>
        <w:t xml:space="preserve"> is committed to compliance with the above requirements. </w:t>
      </w:r>
    </w:p>
    <w:p w:rsidRPr="006457AE" w:rsidR="00C3742D" w:rsidP="00C3742D" w:rsidRDefault="00C3742D" w14:paraId="2FBEC45B" w14:textId="77777777">
      <w:pPr>
        <w:pStyle w:val="ListParagraph"/>
        <w:numPr>
          <w:ilvl w:val="0"/>
          <w:numId w:val="20"/>
        </w:numPr>
        <w:rPr>
          <w:lang w:val="en-US"/>
        </w:rPr>
      </w:pPr>
      <w:r w:rsidRPr="006457AE">
        <w:rPr>
          <w:lang w:val="en-US"/>
        </w:rPr>
        <w:t>Where an incident of this type occurs, staff are required to complete an Incident Record Form (</w:t>
      </w:r>
      <w:hyperlink w:history="1" r:id="rId7">
        <w:r>
          <w:rPr>
            <w:rStyle w:val="Hyperlink"/>
            <w:lang w:val="en-US"/>
          </w:rPr>
          <w:t>Submit Incident Form</w:t>
        </w:r>
      </w:hyperlink>
      <w:r w:rsidRPr="006457AE">
        <w:rPr>
          <w:lang w:val="en-US"/>
        </w:rPr>
        <w:t xml:space="preserve">) </w:t>
      </w:r>
      <w:r>
        <w:rPr>
          <w:lang w:val="en-US"/>
        </w:rPr>
        <w:t xml:space="preserve">or raise with the SIRO / Caldicott Guardian </w:t>
      </w:r>
      <w:r w:rsidRPr="006457AE">
        <w:rPr>
          <w:lang w:val="en-US"/>
        </w:rPr>
        <w:t>in the first instance.</w:t>
      </w:r>
    </w:p>
    <w:p w:rsidRPr="006457AE" w:rsidR="009119EB" w:rsidP="006457AE" w:rsidRDefault="009119EB" w14:paraId="3BBC8FFE" w14:textId="77777777">
      <w:pPr>
        <w:pStyle w:val="ListParagraph"/>
        <w:numPr>
          <w:ilvl w:val="0"/>
          <w:numId w:val="20"/>
        </w:numPr>
        <w:rPr>
          <w:lang w:val="en-US"/>
        </w:rPr>
      </w:pPr>
      <w:r w:rsidRPr="006457AE">
        <w:rPr>
          <w:lang w:val="en-US"/>
        </w:rPr>
        <w:t>This must be escalated to the DPO for review.</w:t>
      </w:r>
    </w:p>
    <w:p w:rsidRPr="006457AE" w:rsidR="009119EB" w:rsidP="006457AE" w:rsidRDefault="009119EB" w14:paraId="4BECE31B" w14:textId="77777777">
      <w:pPr>
        <w:pStyle w:val="ListParagraph"/>
        <w:numPr>
          <w:ilvl w:val="0"/>
          <w:numId w:val="20"/>
        </w:numPr>
        <w:rPr>
          <w:lang w:val="en-US"/>
        </w:rPr>
      </w:pPr>
      <w:r w:rsidRPr="006457AE">
        <w:rPr>
          <w:lang w:val="en-US"/>
        </w:rPr>
        <w:t xml:space="preserve">The IG Lead or Data Protection Officer will then investigate and grade the incident </w:t>
      </w:r>
      <w:proofErr w:type="gramStart"/>
      <w:r w:rsidRPr="006457AE">
        <w:rPr>
          <w:lang w:val="en-US"/>
        </w:rPr>
        <w:t>with in</w:t>
      </w:r>
      <w:proofErr w:type="gramEnd"/>
      <w:r w:rsidRPr="006457AE">
        <w:rPr>
          <w:lang w:val="en-US"/>
        </w:rPr>
        <w:t xml:space="preserve"> line with the NHS Digital Checklist</w:t>
      </w:r>
      <w:r>
        <w:rPr>
          <w:rStyle w:val="FootnoteReference"/>
          <w:lang w:val="en-US"/>
        </w:rPr>
        <w:footnoteReference w:id="1"/>
      </w:r>
      <w:r w:rsidRPr="006457AE">
        <w:rPr>
          <w:lang w:val="en-US"/>
        </w:rPr>
        <w:t xml:space="preserve"> and grade the incident. </w:t>
      </w:r>
    </w:p>
    <w:p w:rsidRPr="006457AE" w:rsidR="009119EB" w:rsidP="006457AE" w:rsidRDefault="009119EB" w14:paraId="59D168DC" w14:textId="77777777">
      <w:pPr>
        <w:pStyle w:val="ListParagraph"/>
        <w:numPr>
          <w:ilvl w:val="0"/>
          <w:numId w:val="20"/>
        </w:numPr>
        <w:rPr>
          <w:lang w:val="en-US"/>
        </w:rPr>
      </w:pPr>
      <w:r w:rsidRPr="006457AE">
        <w:rPr>
          <w:lang w:val="en-US"/>
        </w:rPr>
        <w:t>Incidents must be reported as soon as possible (usually within 72 hours of a breach being notified/identified locally) and so it is important to contact the DPO as soon as possible with as much information as can be ascertained at the time.</w:t>
      </w:r>
    </w:p>
    <w:p w:rsidR="009119EB" w:rsidP="006457AE" w:rsidRDefault="009119EB" w14:paraId="51B0A8E5" w14:textId="6A018796">
      <w:pPr>
        <w:pStyle w:val="ListParagraph"/>
        <w:numPr>
          <w:ilvl w:val="0"/>
          <w:numId w:val="20"/>
        </w:numPr>
        <w:rPr>
          <w:lang w:val="en-US"/>
        </w:rPr>
      </w:pPr>
      <w:r w:rsidRPr="006457AE">
        <w:rPr>
          <w:lang w:val="en-US"/>
        </w:rPr>
        <w:t xml:space="preserve">All incident data, trends and lessons learned will be fed into the </w:t>
      </w:r>
      <w:sdt>
        <w:sdtPr>
          <w:rPr>
            <w:lang w:val="en-US"/>
          </w:rPr>
          <w:alias w:val="PRACTICE"/>
          <w:tag w:val="PRACTICE"/>
          <w:id w:val="1112712145"/>
          <w:placeholder>
            <w:docPart w:val="9A9BD9923E9249EDBD4549BFB0330AFA"/>
          </w:placeholder>
          <w:showingPlcHdr/>
          <w:text/>
        </w:sdtPr>
        <w:sdtEndPr/>
        <w:sdtContent>
          <w:r w:rsidRPr="006457AE">
            <w:rPr>
              <w:lang w:val="en-US"/>
            </w:rPr>
            <w:t>Upwell Health Centre and Welle Ltd (Pharmacy)</w:t>
          </w:r>
        </w:sdtContent>
      </w:sdt>
      <w:r w:rsidRPr="006457AE">
        <w:rPr>
          <w:lang w:val="en-US"/>
        </w:rPr>
        <w:t xml:space="preserve"> </w:t>
      </w:r>
      <w:r w:rsidRPr="006457AE" w:rsidR="006457AE">
        <w:rPr>
          <w:lang w:val="en-US"/>
        </w:rPr>
        <w:t xml:space="preserve">Information </w:t>
      </w:r>
      <w:r w:rsidRPr="006457AE">
        <w:rPr>
          <w:lang w:val="en-US"/>
        </w:rPr>
        <w:t>Risk Management process and suitable mitigations implemented such as additional staff training or process improvement.</w:t>
      </w:r>
    </w:p>
    <w:p w:rsidRPr="006457AE" w:rsidR="00FE3876" w:rsidP="006457AE" w:rsidRDefault="00FE3876" w14:paraId="4DE2A7E8" w14:textId="479998BB">
      <w:pPr>
        <w:pStyle w:val="ListParagraph"/>
        <w:numPr>
          <w:ilvl w:val="0"/>
          <w:numId w:val="20"/>
        </w:numPr>
        <w:rPr>
          <w:lang w:val="en-US"/>
        </w:rPr>
      </w:pPr>
      <w:r>
        <w:rPr>
          <w:lang w:val="en-US"/>
        </w:rPr>
        <w:t>Key incident trends and lessons will be escalated to the most senior members of the organisation</w:t>
      </w:r>
      <w:r w:rsidR="00E05125">
        <w:rPr>
          <w:lang w:val="en-US"/>
        </w:rPr>
        <w:t>.</w:t>
      </w:r>
    </w:p>
    <w:p w:rsidR="00B91D88" w:rsidP="0088637C" w:rsidRDefault="00B91D88" w14:paraId="094D15C2" w14:textId="77777777"/>
    <w:p w:rsidR="00CF1407" w:rsidP="00CF1407" w:rsidRDefault="00D37330" w14:paraId="16A19783" w14:textId="70306610">
      <w:pPr>
        <w:pStyle w:val="Style1"/>
        <w:ind w:left="360"/>
        <w:rPr>
          <w:noProof/>
        </w:rPr>
      </w:pPr>
      <w:bookmarkStart w:name="_Toc129367532" w:id="6"/>
      <w:r>
        <w:t>UNAUTHORISED ACCESS TO PERSONAL DATA</w:t>
      </w:r>
      <w:bookmarkEnd w:id="6"/>
    </w:p>
    <w:p w:rsidR="0073236E" w:rsidP="0088637C" w:rsidRDefault="0073236E" w14:paraId="0B8A09E1" w14:textId="77777777"/>
    <w:p w:rsidR="003A342A" w:rsidP="003A342A" w:rsidRDefault="003A342A" w14:paraId="68CAB695" w14:textId="77777777">
      <w:pPr>
        <w:pStyle w:val="ListParagraph"/>
        <w:numPr>
          <w:ilvl w:val="0"/>
          <w:numId w:val="20"/>
        </w:numPr>
        <w:rPr>
          <w:lang w:val="en-US"/>
        </w:rPr>
      </w:pPr>
      <w:r>
        <w:rPr>
          <w:lang w:val="en-US"/>
        </w:rPr>
        <w:t xml:space="preserve">Where it is discovered that a staff member has accessed personal data inappropriately, for example accessing patients records without a genuine business need or accessing their own records or those of family, </w:t>
      </w:r>
      <w:proofErr w:type="gramStart"/>
      <w:r>
        <w:rPr>
          <w:lang w:val="en-US"/>
        </w:rPr>
        <w:t>friends</w:t>
      </w:r>
      <w:proofErr w:type="gramEnd"/>
      <w:r>
        <w:rPr>
          <w:lang w:val="en-US"/>
        </w:rPr>
        <w:t xml:space="preserve"> or colleagues without the permission of the organization. </w:t>
      </w:r>
    </w:p>
    <w:p w:rsidR="003A342A" w:rsidP="003A342A" w:rsidRDefault="003A342A" w14:paraId="695970D3" w14:textId="42379137">
      <w:pPr>
        <w:pStyle w:val="ListParagraph"/>
        <w:numPr>
          <w:ilvl w:val="0"/>
          <w:numId w:val="20"/>
        </w:numPr>
        <w:rPr>
          <w:lang w:val="en-US"/>
        </w:rPr>
      </w:pPr>
      <w:r>
        <w:rPr>
          <w:lang w:val="en-US"/>
        </w:rPr>
        <w:t xml:space="preserve">The information must be passed to the DPO immediately and a full audit performed of staff members’ access to </w:t>
      </w:r>
      <w:proofErr w:type="gramStart"/>
      <w:r>
        <w:rPr>
          <w:lang w:val="en-US"/>
        </w:rPr>
        <w:t>clinical</w:t>
      </w:r>
      <w:proofErr w:type="gramEnd"/>
      <w:r>
        <w:rPr>
          <w:lang w:val="en-US"/>
        </w:rPr>
        <w:t xml:space="preserve"> system and shared drives (where available).</w:t>
      </w:r>
    </w:p>
    <w:p w:rsidR="003A342A" w:rsidP="003A342A" w:rsidRDefault="003A342A" w14:paraId="274A4D22" w14:textId="77777777">
      <w:pPr>
        <w:pStyle w:val="ListParagraph"/>
        <w:numPr>
          <w:ilvl w:val="0"/>
          <w:numId w:val="20"/>
        </w:numPr>
        <w:rPr>
          <w:lang w:val="en-US"/>
        </w:rPr>
      </w:pPr>
      <w:proofErr w:type="gramStart"/>
      <w:r>
        <w:rPr>
          <w:lang w:val="en-US"/>
        </w:rPr>
        <w:t>This</w:t>
      </w:r>
      <w:proofErr w:type="gramEnd"/>
      <w:r>
        <w:rPr>
          <w:lang w:val="en-US"/>
        </w:rPr>
        <w:t xml:space="preserve"> audit results must be passed to the DPO for review and staff member should be interviewed to determine the circumstances of the potentially inappropriate access. Staff members’ access should be limited or monitored whilst investigation is ongoing.</w:t>
      </w:r>
    </w:p>
    <w:p w:rsidR="00710FA8" w:rsidP="00710FA8" w:rsidRDefault="00710FA8" w14:paraId="526CC11F" w14:textId="77777777">
      <w:pPr>
        <w:rPr>
          <w:lang w:val="en-US"/>
        </w:rPr>
      </w:pPr>
    </w:p>
    <w:p w:rsidR="00710FA8" w:rsidP="00710FA8" w:rsidRDefault="00710FA8" w14:paraId="46A53B4D" w14:textId="6459AF3F">
      <w:pPr>
        <w:pStyle w:val="Style1"/>
        <w:ind w:left="360"/>
        <w:rPr>
          <w:noProof/>
        </w:rPr>
      </w:pPr>
      <w:bookmarkStart w:name="_Toc129367533" w:id="7"/>
      <w:r>
        <w:t>INCIDENT COMMUNICATION</w:t>
      </w:r>
      <w:bookmarkEnd w:id="7"/>
    </w:p>
    <w:p w:rsidRPr="00710FA8" w:rsidR="00710FA8" w:rsidP="00710FA8" w:rsidRDefault="00710FA8" w14:paraId="7BB41562" w14:textId="77777777">
      <w:pPr>
        <w:rPr>
          <w:lang w:val="en-US"/>
        </w:rPr>
      </w:pPr>
    </w:p>
    <w:p w:rsidR="00446D8A" w:rsidP="00446D8A" w:rsidRDefault="00446D8A" w14:paraId="18655E8C" w14:textId="77777777">
      <w:pPr>
        <w:rPr>
          <w:lang w:val="en-US"/>
        </w:rPr>
      </w:pPr>
    </w:p>
    <w:p w:rsidR="00710FA8" w:rsidP="00446D8A" w:rsidRDefault="00446D8A" w14:paraId="7325CD71" w14:textId="77777777">
      <w:pPr>
        <w:pStyle w:val="ListParagraph"/>
        <w:numPr>
          <w:ilvl w:val="0"/>
          <w:numId w:val="25"/>
        </w:numPr>
      </w:pPr>
      <w:r>
        <w:t>During investigation, the DPO will determine whether there needs to be communication with the affected data subjects based on whether the incident mi</w:t>
      </w:r>
      <w:r w:rsidRPr="00387A63">
        <w:t>ght result in 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person concerned</w:t>
      </w:r>
      <w:r>
        <w:t>.</w:t>
      </w:r>
    </w:p>
    <w:p w:rsidR="00446D8A" w:rsidP="00446D8A" w:rsidRDefault="00446D8A" w14:paraId="413146CF" w14:textId="29D889A8">
      <w:pPr>
        <w:pStyle w:val="ListParagraph"/>
        <w:numPr>
          <w:ilvl w:val="0"/>
          <w:numId w:val="25"/>
        </w:numPr>
      </w:pPr>
      <w:r>
        <w:t xml:space="preserve">The following methods have been identified as possible </w:t>
      </w:r>
      <w:proofErr w:type="gramStart"/>
      <w:r>
        <w:t>approaches;</w:t>
      </w:r>
      <w:proofErr w:type="gramEnd"/>
    </w:p>
    <w:p w:rsidR="00446D8A" w:rsidP="00710FA8" w:rsidRDefault="00446D8A" w14:paraId="1A765C54" w14:textId="77777777">
      <w:pPr>
        <w:pStyle w:val="ListParagraph"/>
        <w:numPr>
          <w:ilvl w:val="0"/>
          <w:numId w:val="23"/>
        </w:numPr>
      </w:pPr>
      <w:r>
        <w:t>1 – 10 data subjects affected</w:t>
      </w:r>
      <w:r>
        <w:tab/>
      </w:r>
      <w:r>
        <w:tab/>
        <w:t>direct postal contact</w:t>
      </w:r>
    </w:p>
    <w:p w:rsidR="00446D8A" w:rsidP="00710FA8" w:rsidRDefault="00446D8A" w14:paraId="49C0AFEC" w14:textId="476828EC">
      <w:pPr>
        <w:pStyle w:val="ListParagraph"/>
        <w:numPr>
          <w:ilvl w:val="0"/>
          <w:numId w:val="23"/>
        </w:numPr>
      </w:pPr>
      <w:r>
        <w:t>10 – 50 data subjects affected</w:t>
      </w:r>
      <w:r>
        <w:tab/>
        <w:t>direct email contact</w:t>
      </w:r>
    </w:p>
    <w:p w:rsidR="00446D8A" w:rsidP="00710FA8" w:rsidRDefault="00446D8A" w14:paraId="0029CD6D" w14:textId="77777777">
      <w:pPr>
        <w:pStyle w:val="ListParagraph"/>
        <w:numPr>
          <w:ilvl w:val="0"/>
          <w:numId w:val="23"/>
        </w:numPr>
      </w:pPr>
      <w:r>
        <w:t>50+ data subjects affected</w:t>
      </w:r>
      <w:r>
        <w:tab/>
      </w:r>
      <w:r>
        <w:tab/>
        <w:t xml:space="preserve">website alert, clinical system generated texts, in situ </w:t>
      </w:r>
      <w:proofErr w:type="gramStart"/>
      <w:r>
        <w:t>posters</w:t>
      </w:r>
      <w:proofErr w:type="gramEnd"/>
    </w:p>
    <w:p w:rsidR="00446D8A" w:rsidP="00710FA8" w:rsidRDefault="00446D8A" w14:paraId="5EBA7629" w14:textId="77777777">
      <w:pPr>
        <w:pStyle w:val="ListParagraph"/>
        <w:numPr>
          <w:ilvl w:val="0"/>
          <w:numId w:val="25"/>
        </w:numPr>
      </w:pPr>
      <w:r>
        <w:t xml:space="preserve">This approach reflects that breaches affecting a greater volume of data subjects may cause concern amongst patient population or be difficult to arrange direct contact for. It is therefore necessary to ensure proactive communication and an opportunity for patients to ascertain if their information was involved and make enquiries or </w:t>
      </w:r>
      <w:proofErr w:type="spellStart"/>
      <w:r>
        <w:t>complaints.</w:t>
      </w:r>
      <w:proofErr w:type="spellEnd"/>
      <w:r>
        <w:t xml:space="preserve"> </w:t>
      </w:r>
    </w:p>
    <w:p w:rsidR="00446D8A" w:rsidP="00710FA8" w:rsidRDefault="00446D8A" w14:paraId="3253D924" w14:textId="77777777">
      <w:pPr>
        <w:pStyle w:val="ListParagraph"/>
        <w:numPr>
          <w:ilvl w:val="0"/>
          <w:numId w:val="26"/>
        </w:numPr>
      </w:pPr>
      <w:r>
        <w:t xml:space="preserve">When notifying patients, the following information must be </w:t>
      </w:r>
      <w:proofErr w:type="gramStart"/>
      <w:r>
        <w:t>included;</w:t>
      </w:r>
      <w:proofErr w:type="gramEnd"/>
    </w:p>
    <w:p w:rsidR="00446D8A" w:rsidP="00710FA8" w:rsidRDefault="00446D8A" w14:paraId="55BDFE90" w14:textId="77777777">
      <w:pPr>
        <w:pStyle w:val="ListParagraph"/>
        <w:numPr>
          <w:ilvl w:val="0"/>
          <w:numId w:val="26"/>
        </w:numPr>
      </w:pPr>
      <w:r>
        <w:t xml:space="preserve">Name and contact details of DPO or other point of contact where more information can be </w:t>
      </w:r>
      <w:proofErr w:type="gramStart"/>
      <w:r>
        <w:t>obtained</w:t>
      </w:r>
      <w:proofErr w:type="gramEnd"/>
    </w:p>
    <w:p w:rsidR="00446D8A" w:rsidP="00710FA8" w:rsidRDefault="00446D8A" w14:paraId="74DBB4E6" w14:textId="77777777">
      <w:pPr>
        <w:pStyle w:val="ListParagraph"/>
        <w:numPr>
          <w:ilvl w:val="0"/>
          <w:numId w:val="26"/>
        </w:numPr>
      </w:pPr>
      <w:r>
        <w:t>Nature of the breach and the contents of the information</w:t>
      </w:r>
    </w:p>
    <w:p w:rsidRPr="00E2366C" w:rsidR="00446D8A" w:rsidP="00710FA8" w:rsidRDefault="00446D8A" w14:paraId="2BB7CC8C" w14:textId="77777777">
      <w:pPr>
        <w:pStyle w:val="ListParagraph"/>
        <w:numPr>
          <w:ilvl w:val="0"/>
          <w:numId w:val="26"/>
        </w:numPr>
      </w:pPr>
      <w:r>
        <w:t>A description of measures taken / being taken to address the breach.</w:t>
      </w:r>
    </w:p>
    <w:p w:rsidR="00446D8A" w:rsidP="00710FA8" w:rsidRDefault="00446D8A" w14:paraId="452EED67" w14:textId="77777777">
      <w:pPr>
        <w:pStyle w:val="ListParagraph"/>
        <w:numPr>
          <w:ilvl w:val="0"/>
          <w:numId w:val="26"/>
        </w:numPr>
      </w:pPr>
      <w:r>
        <w:t xml:space="preserve">A description of the likely consequences </w:t>
      </w:r>
    </w:p>
    <w:p w:rsidR="004D60E6" w:rsidP="004D60E6" w:rsidRDefault="004D60E6" w14:paraId="2C31190E" w14:textId="77777777"/>
    <w:p w:rsidR="004D60E6" w:rsidP="004D60E6" w:rsidRDefault="004D60E6" w14:paraId="4E024F19" w14:textId="0754C8BB">
      <w:pPr>
        <w:pStyle w:val="Style1"/>
        <w:ind w:left="360"/>
        <w:rPr>
          <w:noProof/>
        </w:rPr>
      </w:pPr>
      <w:bookmarkStart w:name="_Toc129367534" w:id="8"/>
      <w:r>
        <w:t>HANDING OVER INVESTIGATION – ANNUAL LEAVE / SICKNESS / ABSENCE</w:t>
      </w:r>
      <w:bookmarkEnd w:id="8"/>
    </w:p>
    <w:p w:rsidR="004D60E6" w:rsidP="004D60E6" w:rsidRDefault="004D60E6" w14:paraId="6AC0B7E3" w14:textId="77777777"/>
    <w:p w:rsidR="00A06EDA" w:rsidP="004D60E6" w:rsidRDefault="00446D8A" w14:paraId="4CBE4BD2" w14:textId="77777777">
      <w:pPr>
        <w:pStyle w:val="ListParagraph"/>
        <w:numPr>
          <w:ilvl w:val="0"/>
          <w:numId w:val="25"/>
        </w:numPr>
      </w:pPr>
      <w:bookmarkStart w:name="_Toc8195970" w:id="9"/>
      <w:bookmarkEnd w:id="9"/>
      <w:r>
        <w:t>When an incident arises</w:t>
      </w:r>
      <w:r w:rsidR="004D60E6">
        <w:t>,</w:t>
      </w:r>
      <w:r>
        <w:t xml:space="preserve"> the primary investigator within</w:t>
      </w:r>
      <w:r w:rsidR="00857B05">
        <w:t xml:space="preserve"> </w:t>
      </w:r>
      <w:sdt>
        <w:sdtPr>
          <w:id w:val="944899043"/>
          <w:placeholder>
            <w:docPart w:val="DefaultPlaceholder_-1854013440"/>
          </w:placeholder>
          <w:showingPlcHdr/>
          <w:text/>
        </w:sdtPr>
        <w:sdtEndPr/>
        <w:sdtContent>
          <w:r w:rsidRPr="00A06EDA" w:rsidR="00857B05">
            <w:t>Upwell Health Centre and Welle Ltd (Pharmacy)</w:t>
          </w:r>
        </w:sdtContent>
      </w:sdt>
      <w:r>
        <w:t xml:space="preserve">  must ensure they document their investigation and findings in a shared space for those who have need to view and / or continue the investigation in the event of expected or unexpected absence. </w:t>
      </w:r>
    </w:p>
    <w:p w:rsidR="00A06EDA" w:rsidP="004D60E6" w:rsidRDefault="00446D8A" w14:paraId="42674D6D" w14:textId="77777777">
      <w:pPr>
        <w:pStyle w:val="ListParagraph"/>
        <w:numPr>
          <w:ilvl w:val="0"/>
          <w:numId w:val="25"/>
        </w:numPr>
      </w:pPr>
      <w:r>
        <w:t xml:space="preserve">The ICO can issue fines for incidents reported outside of the legal </w:t>
      </w:r>
      <w:proofErr w:type="gramStart"/>
      <w:r>
        <w:t>72 hour</w:t>
      </w:r>
      <w:proofErr w:type="gramEnd"/>
      <w:r>
        <w:t xml:space="preserve"> time frame unless they are satisfied with the reasons behind the delay. </w:t>
      </w:r>
    </w:p>
    <w:p w:rsidR="00446D8A" w:rsidP="004D60E6" w:rsidRDefault="00446D8A" w14:paraId="6FD67D3A" w14:textId="5AFDD100">
      <w:pPr>
        <w:pStyle w:val="ListParagraph"/>
        <w:numPr>
          <w:ilvl w:val="0"/>
          <w:numId w:val="25"/>
        </w:numPr>
      </w:pPr>
      <w:r>
        <w:t xml:space="preserve">Furthermore, </w:t>
      </w:r>
      <w:r w:rsidR="00A06EDA">
        <w:t>the Data Protection Officer (</w:t>
      </w:r>
      <w:r>
        <w:t>DPO</w:t>
      </w:r>
      <w:r w:rsidR="00A06EDA">
        <w:t xml:space="preserve">) </w:t>
      </w:r>
      <w:r>
        <w:t xml:space="preserve">will be continuing the investigation and must be able to contact any member of staff for further details when necessary. </w:t>
      </w:r>
    </w:p>
    <w:p w:rsidR="00A06EDA" w:rsidP="00117451" w:rsidRDefault="00997CD3" w14:paraId="777925A5" w14:textId="752E00C6">
      <w:pPr>
        <w:pStyle w:val="Style1"/>
        <w:ind w:left="360"/>
        <w:rPr>
          <w:noProof/>
        </w:rPr>
      </w:pPr>
      <w:bookmarkStart w:name="_Toc129367535" w:id="10"/>
      <w:r>
        <w:t>REPORTING AN INCIDENT</w:t>
      </w:r>
      <w:bookmarkEnd w:id="10"/>
    </w:p>
    <w:p w:rsidRPr="00A22736" w:rsidR="00A06EDA" w:rsidP="00A06EDA" w:rsidRDefault="00A06EDA" w14:paraId="44DE9412" w14:textId="77777777"/>
    <w:p w:rsidRPr="0086638F" w:rsidR="00446D8A" w:rsidP="00446D8A" w:rsidRDefault="00446D8A" w14:paraId="20DF708D" w14:textId="77777777">
      <w:bookmarkStart w:name="_Toc503693199" w:id="11"/>
      <w:r>
        <w:t xml:space="preserve">Examples of types of information incidents </w:t>
      </w:r>
      <w:proofErr w:type="gramStart"/>
      <w:r>
        <w:t>include;</w:t>
      </w:r>
      <w:proofErr w:type="gramEnd"/>
    </w:p>
    <w:p w:rsidR="00446D8A" w:rsidP="00446D8A" w:rsidRDefault="00446D8A" w14:paraId="36ED8DC4" w14:textId="77777777">
      <w:pPr>
        <w:pStyle w:val="ListParagraph"/>
        <w:numPr>
          <w:ilvl w:val="0"/>
          <w:numId w:val="21"/>
        </w:numPr>
      </w:pPr>
      <w:r>
        <w:t xml:space="preserve">Corruption or inability to recover electronic </w:t>
      </w:r>
      <w:proofErr w:type="gramStart"/>
      <w:r>
        <w:t>data</w:t>
      </w:r>
      <w:proofErr w:type="gramEnd"/>
    </w:p>
    <w:p w:rsidR="00446D8A" w:rsidP="00446D8A" w:rsidRDefault="00446D8A" w14:paraId="5264690D" w14:textId="77777777">
      <w:pPr>
        <w:pStyle w:val="ListParagraph"/>
        <w:numPr>
          <w:ilvl w:val="0"/>
          <w:numId w:val="21"/>
        </w:numPr>
      </w:pPr>
      <w:r>
        <w:t xml:space="preserve">Data disclosed in </w:t>
      </w:r>
      <w:proofErr w:type="gramStart"/>
      <w:r>
        <w:t>error</w:t>
      </w:r>
      <w:proofErr w:type="gramEnd"/>
    </w:p>
    <w:p w:rsidR="00446D8A" w:rsidP="00446D8A" w:rsidRDefault="00446D8A" w14:paraId="711EF12F" w14:textId="77777777">
      <w:pPr>
        <w:pStyle w:val="ListParagraph"/>
        <w:numPr>
          <w:ilvl w:val="0"/>
          <w:numId w:val="21"/>
        </w:numPr>
      </w:pPr>
      <w:r>
        <w:t xml:space="preserve">Data lost in </w:t>
      </w:r>
      <w:proofErr w:type="gramStart"/>
      <w:r>
        <w:t>transit</w:t>
      </w:r>
      <w:proofErr w:type="gramEnd"/>
    </w:p>
    <w:p w:rsidR="00446D8A" w:rsidP="00446D8A" w:rsidRDefault="00446D8A" w14:paraId="4B1793A1" w14:textId="77777777">
      <w:pPr>
        <w:pStyle w:val="ListParagraph"/>
        <w:numPr>
          <w:ilvl w:val="0"/>
          <w:numId w:val="21"/>
        </w:numPr>
      </w:pPr>
      <w:r>
        <w:t>Lost or stolen hardware</w:t>
      </w:r>
    </w:p>
    <w:p w:rsidR="00446D8A" w:rsidP="00446D8A" w:rsidRDefault="00446D8A" w14:paraId="6287758E" w14:textId="77777777">
      <w:pPr>
        <w:pStyle w:val="ListParagraph"/>
        <w:numPr>
          <w:ilvl w:val="0"/>
          <w:numId w:val="21"/>
        </w:numPr>
      </w:pPr>
      <w:r>
        <w:t>Lost or stolen paperwork</w:t>
      </w:r>
    </w:p>
    <w:p w:rsidR="00446D8A" w:rsidP="00446D8A" w:rsidRDefault="00446D8A" w14:paraId="01B5C246" w14:textId="77777777">
      <w:pPr>
        <w:pStyle w:val="ListParagraph"/>
        <w:numPr>
          <w:ilvl w:val="0"/>
          <w:numId w:val="21"/>
        </w:numPr>
      </w:pPr>
      <w:r>
        <w:t>Non-secure disposal – hardware or paperwork</w:t>
      </w:r>
    </w:p>
    <w:p w:rsidR="00446D8A" w:rsidP="00446D8A" w:rsidRDefault="00446D8A" w14:paraId="34EAAA4F" w14:textId="77777777">
      <w:pPr>
        <w:pStyle w:val="ListParagraph"/>
        <w:numPr>
          <w:ilvl w:val="0"/>
          <w:numId w:val="21"/>
        </w:numPr>
      </w:pPr>
      <w:r>
        <w:t xml:space="preserve">Technical security failing – including </w:t>
      </w:r>
      <w:proofErr w:type="gramStart"/>
      <w:r>
        <w:t>hacking</w:t>
      </w:r>
      <w:proofErr w:type="gramEnd"/>
    </w:p>
    <w:p w:rsidR="00446D8A" w:rsidP="00446D8A" w:rsidRDefault="00446D8A" w14:paraId="299458FE" w14:textId="77777777">
      <w:pPr>
        <w:pStyle w:val="ListParagraph"/>
        <w:numPr>
          <w:ilvl w:val="0"/>
          <w:numId w:val="21"/>
        </w:numPr>
      </w:pPr>
      <w:r>
        <w:t>Unauthorised access / disclosure</w:t>
      </w:r>
    </w:p>
    <w:p w:rsidR="00446D8A" w:rsidP="00446D8A" w:rsidRDefault="00446D8A" w14:paraId="3B26CCE9" w14:textId="77777777">
      <w:pPr>
        <w:pStyle w:val="ListParagraph"/>
        <w:numPr>
          <w:ilvl w:val="0"/>
          <w:numId w:val="21"/>
        </w:numPr>
      </w:pPr>
      <w:r>
        <w:t xml:space="preserve">Uploaded to website in </w:t>
      </w:r>
      <w:proofErr w:type="gramStart"/>
      <w:r>
        <w:t>error</w:t>
      </w:r>
      <w:proofErr w:type="gramEnd"/>
    </w:p>
    <w:p w:rsidR="00446D8A" w:rsidP="00446D8A" w:rsidRDefault="00446D8A" w14:paraId="5A8FC8CE" w14:textId="77777777">
      <w:pPr>
        <w:pStyle w:val="ListParagraph"/>
        <w:numPr>
          <w:ilvl w:val="0"/>
          <w:numId w:val="21"/>
        </w:numPr>
      </w:pPr>
      <w:r>
        <w:t>Data quality issue</w:t>
      </w:r>
    </w:p>
    <w:p w:rsidR="008839E2" w:rsidP="008839E2" w:rsidRDefault="008839E2" w14:paraId="426A4E8D" w14:textId="4486433F">
      <w:r>
        <w:t>To report an incident</w:t>
      </w:r>
      <w:r w:rsidR="00997CD3">
        <w:t xml:space="preserve"> to the DPO</w:t>
      </w:r>
      <w:r>
        <w:t xml:space="preserve">, please use the link at </w:t>
      </w:r>
      <w:hyperlink w:history="1" r:id="rId8">
        <w:r w:rsidRPr="00566437" w:rsidR="00065D60">
          <w:rPr>
            <w:rStyle w:val="Hyperlink"/>
          </w:rPr>
          <w:t>https://forms.office.com/Pages/ResponsePage.aspx?id=Epvrg5Qa9UO0Lcg2kMrUjF8ZumccUwdJrZFK-zu_2xpUMFRLS0xTUFNJSFRESzIxMVBVUzY1QjlQWS4u</w:t>
        </w:r>
      </w:hyperlink>
      <w:r w:rsidR="00065D60">
        <w:t xml:space="preserve"> </w:t>
      </w:r>
    </w:p>
    <w:p w:rsidR="000C2FD4" w:rsidP="008839E2" w:rsidRDefault="000C2FD4" w14:paraId="3B9ACCE7" w14:textId="77777777"/>
    <w:p w:rsidR="000C2FD4" w:rsidP="00940077" w:rsidRDefault="000C2FD4" w14:paraId="4317179A" w14:textId="1E9F206B">
      <w:pPr>
        <w:pStyle w:val="ListParagraph"/>
        <w:numPr>
          <w:ilvl w:val="0"/>
          <w:numId w:val="30"/>
        </w:numPr>
      </w:pPr>
      <w:r>
        <w:t xml:space="preserve">Once reported, the DPO will be in touch to obtain further information as </w:t>
      </w:r>
      <w:proofErr w:type="gramStart"/>
      <w:r>
        <w:t>required</w:t>
      </w:r>
      <w:proofErr w:type="gramEnd"/>
    </w:p>
    <w:p w:rsidR="002E1D94" w:rsidP="00940077" w:rsidRDefault="001973B7" w14:paraId="71A29F53" w14:textId="650BAAC9">
      <w:pPr>
        <w:pStyle w:val="ListParagraph"/>
        <w:numPr>
          <w:ilvl w:val="0"/>
          <w:numId w:val="30"/>
        </w:numPr>
      </w:pPr>
      <w:r>
        <w:t xml:space="preserve">The DPO will advise of any immediate or longer-term mitigation steps to be </w:t>
      </w:r>
      <w:proofErr w:type="gramStart"/>
      <w:r>
        <w:t>taken</w:t>
      </w:r>
      <w:proofErr w:type="gramEnd"/>
    </w:p>
    <w:p w:rsidR="001973B7" w:rsidP="00940077" w:rsidRDefault="001973B7" w14:paraId="55DDD40D" w14:textId="4E2A346C">
      <w:pPr>
        <w:pStyle w:val="ListParagraph"/>
        <w:numPr>
          <w:ilvl w:val="0"/>
          <w:numId w:val="30"/>
        </w:numPr>
      </w:pPr>
      <w:r>
        <w:t xml:space="preserve">Support will be provided in relation to making contact with affected data </w:t>
      </w:r>
      <w:proofErr w:type="gramStart"/>
      <w:r>
        <w:t>subjects</w:t>
      </w:r>
      <w:proofErr w:type="gramEnd"/>
    </w:p>
    <w:p w:rsidR="001973B7" w:rsidP="00940077" w:rsidRDefault="001973B7" w14:paraId="7BC23B59" w14:textId="27DCA211">
      <w:pPr>
        <w:pStyle w:val="ListParagraph"/>
        <w:numPr>
          <w:ilvl w:val="0"/>
          <w:numId w:val="30"/>
        </w:numPr>
      </w:pPr>
      <w:r>
        <w:t xml:space="preserve">A final incident report will be produced for practice </w:t>
      </w:r>
      <w:proofErr w:type="gramStart"/>
      <w:r>
        <w:t>records</w:t>
      </w:r>
      <w:proofErr w:type="gramEnd"/>
    </w:p>
    <w:bookmarkEnd w:id="11"/>
    <w:p w:rsidRPr="00446D8A" w:rsidR="00446D8A" w:rsidP="00446D8A" w:rsidRDefault="00446D8A" w14:paraId="191D96C6" w14:textId="77777777">
      <w:pPr>
        <w:rPr>
          <w:lang w:val="en-US"/>
        </w:rPr>
      </w:pPr>
    </w:p>
    <w:p w:rsidR="00384B78" w:rsidP="00384B78" w:rsidRDefault="00BB2906" w14:paraId="15A70F98" w14:textId="400F2A44">
      <w:pPr>
        <w:pStyle w:val="Style1"/>
        <w:ind w:left="360"/>
        <w:rPr>
          <w:noProof/>
        </w:rPr>
      </w:pPr>
      <w:bookmarkStart w:name="_Toc129367536" w:id="12"/>
      <w:r>
        <w:t>APPLICATION AND AUDIT</w:t>
      </w:r>
      <w:bookmarkEnd w:id="12"/>
    </w:p>
    <w:p w:rsidR="00384B78" w:rsidP="00D07BEF" w:rsidRDefault="00384B78" w14:paraId="72847DFB" w14:textId="77777777"/>
    <w:p w:rsidR="00D07BEF" w:rsidP="00D07BEF" w:rsidRDefault="00D07BEF" w14:paraId="5DEE5BF3" w14:textId="449DBDBB">
      <w:r>
        <w:t>Compliance with this protocol will be audited and the results fed into the Plan, Do, Check, Act Cycle described in the Information Risk and Audit Protocol.</w:t>
      </w:r>
    </w:p>
    <w:p w:rsidR="00384B78" w:rsidP="008F61C3" w:rsidRDefault="00384B78" w14:paraId="3A64581D" w14:textId="242FF54E">
      <w:pPr>
        <w:pStyle w:val="ListParagraph"/>
        <w:numPr>
          <w:ilvl w:val="0"/>
          <w:numId w:val="18"/>
        </w:numPr>
      </w:pPr>
      <w:r>
        <w:t xml:space="preserve">The organisation will list the information rights on our privacy </w:t>
      </w:r>
      <w:proofErr w:type="gramStart"/>
      <w:r>
        <w:t>policy</w:t>
      </w:r>
      <w:proofErr w:type="gramEnd"/>
    </w:p>
    <w:p w:rsidR="00384B78" w:rsidP="008F61C3" w:rsidRDefault="00384B78" w14:paraId="32F99AEB" w14:textId="038B6591">
      <w:pPr>
        <w:pStyle w:val="ListParagraph"/>
        <w:numPr>
          <w:ilvl w:val="0"/>
          <w:numId w:val="18"/>
        </w:numPr>
      </w:pPr>
      <w:r>
        <w:t xml:space="preserve">All staff should be able to recognise and refer information rights requests to the right </w:t>
      </w:r>
      <w:proofErr w:type="gramStart"/>
      <w:r>
        <w:t>person</w:t>
      </w:r>
      <w:proofErr w:type="gramEnd"/>
    </w:p>
    <w:p w:rsidR="00384B78" w:rsidP="008F61C3" w:rsidRDefault="00384B78" w14:paraId="1FBB0F0A" w14:textId="762071C5">
      <w:pPr>
        <w:pStyle w:val="ListParagraph"/>
        <w:numPr>
          <w:ilvl w:val="0"/>
          <w:numId w:val="18"/>
        </w:numPr>
      </w:pPr>
      <w:r>
        <w:t xml:space="preserve">All staff, visitors and service users should have access to the Data Protection Officer’s </w:t>
      </w:r>
      <w:r w:rsidR="008F61C3">
        <w:t xml:space="preserve">contact details to support with </w:t>
      </w:r>
      <w:proofErr w:type="gramStart"/>
      <w:r w:rsidR="008F61C3">
        <w:t>rights</w:t>
      </w:r>
      <w:proofErr w:type="gramEnd"/>
    </w:p>
    <w:p w:rsidR="008F61C3" w:rsidP="00974730" w:rsidRDefault="008F61C3" w14:paraId="582BB604" w14:textId="64D3F8B8">
      <w:pPr>
        <w:pStyle w:val="ListParagraph"/>
        <w:numPr>
          <w:ilvl w:val="0"/>
          <w:numId w:val="18"/>
        </w:numPr>
      </w:pPr>
      <w:r>
        <w:t xml:space="preserve">New projects, suppliers or systems must be raised with the Data Protection Officer for </w:t>
      </w:r>
      <w:proofErr w:type="gramStart"/>
      <w:r>
        <w:t>review</w:t>
      </w:r>
      <w:proofErr w:type="gramEnd"/>
    </w:p>
    <w:p w:rsidR="00235CAE" w:rsidP="00974730" w:rsidRDefault="008F61C3" w14:paraId="150B7107" w14:textId="63A480F3">
      <w:pPr>
        <w:pStyle w:val="ListParagraph"/>
        <w:numPr>
          <w:ilvl w:val="0"/>
          <w:numId w:val="18"/>
        </w:numPr>
      </w:pPr>
      <w:r>
        <w:t xml:space="preserve">The organisation will keep a log of all information rights requests to ensure that we are responding in a consistent and timely </w:t>
      </w:r>
      <w:proofErr w:type="gramStart"/>
      <w:r>
        <w:t>way</w:t>
      </w:r>
      <w:proofErr w:type="gramEnd"/>
    </w:p>
    <w:p w:rsidR="00FF4FB7" w:rsidP="00974730" w:rsidRDefault="00FF4FB7" w14:paraId="7E4C7B50" w14:textId="69844E06">
      <w:pPr>
        <w:pStyle w:val="ListParagraph"/>
        <w:numPr>
          <w:ilvl w:val="0"/>
          <w:numId w:val="18"/>
        </w:numPr>
      </w:pPr>
      <w:r>
        <w:t xml:space="preserve">Staff must confirm that they have read and understood this </w:t>
      </w:r>
      <w:proofErr w:type="gramStart"/>
      <w:r>
        <w:t>protocol</w:t>
      </w:r>
      <w:proofErr w:type="gramEnd"/>
    </w:p>
    <w:p w:rsidR="00431138" w:rsidP="00974730" w:rsidRDefault="00431138" w14:paraId="6D9FB78F" w14:textId="2EF791A9">
      <w:pPr>
        <w:pStyle w:val="ListParagraph"/>
        <w:numPr>
          <w:ilvl w:val="0"/>
          <w:numId w:val="18"/>
        </w:numPr>
      </w:pPr>
      <w:r>
        <w:t xml:space="preserve">This protocol will be </w:t>
      </w:r>
      <w:r w:rsidR="003B3816">
        <w:t xml:space="preserve">reviewed annually or sooner in the event of significant learning or </w:t>
      </w:r>
      <w:proofErr w:type="gramStart"/>
      <w:r w:rsidR="003B3816">
        <w:t>change</w:t>
      </w:r>
      <w:proofErr w:type="gramEnd"/>
    </w:p>
    <w:p w:rsidR="007122BA" w:rsidP="00974730" w:rsidRDefault="007122BA" w14:paraId="7DC58BC8" w14:textId="6683665B">
      <w:pPr>
        <w:pStyle w:val="ListParagraph"/>
        <w:numPr>
          <w:ilvl w:val="0"/>
          <w:numId w:val="18"/>
        </w:numPr>
      </w:pPr>
      <w:r>
        <w:t xml:space="preserve">This protocol should be read in conjunction with the other protocols in the Data Protection and Security </w:t>
      </w:r>
      <w:r w:rsidR="006F1BFC">
        <w:t xml:space="preserve">policy </w:t>
      </w:r>
      <w:proofErr w:type="gramStart"/>
      <w:r w:rsidR="006F1BFC">
        <w:t>suite</w:t>
      </w:r>
      <w:proofErr w:type="gramEnd"/>
    </w:p>
    <w:p w:rsidR="006F1BFC" w:rsidP="00974730" w:rsidRDefault="006F1BFC" w14:paraId="7F2A8322" w14:textId="1D1C0ED4">
      <w:pPr>
        <w:pStyle w:val="ListParagraph"/>
        <w:numPr>
          <w:ilvl w:val="0"/>
          <w:numId w:val="18"/>
        </w:numPr>
      </w:pPr>
      <w:r>
        <w:t>Subject Access Requests are covered in the Disclosures and Access Protocol</w:t>
      </w:r>
    </w:p>
    <w:sectPr w:rsidR="006F1B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CCA0" w14:textId="77777777" w:rsidR="004B75D0" w:rsidRDefault="004B75D0" w:rsidP="009119EB">
      <w:pPr>
        <w:spacing w:after="0" w:line="240" w:lineRule="auto"/>
      </w:pPr>
      <w:r>
        <w:separator/>
      </w:r>
    </w:p>
  </w:endnote>
  <w:endnote w:type="continuationSeparator" w:id="0">
    <w:p w14:paraId="480A3115" w14:textId="77777777" w:rsidR="004B75D0" w:rsidRDefault="004B75D0" w:rsidP="0091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761" w14:textId="77777777" w:rsidR="004B75D0" w:rsidRDefault="004B75D0" w:rsidP="009119EB">
      <w:pPr>
        <w:spacing w:after="0" w:line="240" w:lineRule="auto"/>
      </w:pPr>
      <w:r>
        <w:separator/>
      </w:r>
    </w:p>
  </w:footnote>
  <w:footnote w:type="continuationSeparator" w:id="0">
    <w:p w14:paraId="0152AF1D" w14:textId="77777777" w:rsidR="004B75D0" w:rsidRDefault="004B75D0" w:rsidP="009119EB">
      <w:pPr>
        <w:spacing w:after="0" w:line="240" w:lineRule="auto"/>
      </w:pPr>
      <w:r>
        <w:continuationSeparator/>
      </w:r>
    </w:p>
  </w:footnote>
  <w:footnote w:id="1">
    <w:p w14:paraId="014C4564" w14:textId="77777777" w:rsidR="009119EB" w:rsidRDefault="009119EB" w:rsidP="009119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2D1"/>
    <w:multiLevelType w:val="hybridMultilevel"/>
    <w:tmpl w:val="1D7678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C6A5C"/>
    <w:multiLevelType w:val="hybridMultilevel"/>
    <w:tmpl w:val="4DD67A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32D2"/>
    <w:multiLevelType w:val="hybridMultilevel"/>
    <w:tmpl w:val="D8A84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04F83"/>
    <w:multiLevelType w:val="hybridMultilevel"/>
    <w:tmpl w:val="4C049216"/>
    <w:lvl w:ilvl="0" w:tplc="0DCCAFF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356CF"/>
    <w:multiLevelType w:val="hybridMultilevel"/>
    <w:tmpl w:val="386A85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C71A2"/>
    <w:multiLevelType w:val="hybridMultilevel"/>
    <w:tmpl w:val="45ECDF5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22CC8"/>
    <w:multiLevelType w:val="hybridMultilevel"/>
    <w:tmpl w:val="3F040CE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72168"/>
    <w:multiLevelType w:val="hybridMultilevel"/>
    <w:tmpl w:val="B2DE9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8F3D46"/>
    <w:multiLevelType w:val="hybridMultilevel"/>
    <w:tmpl w:val="E35AA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E0DC7"/>
    <w:multiLevelType w:val="hybridMultilevel"/>
    <w:tmpl w:val="6DEE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114C0"/>
    <w:multiLevelType w:val="hybridMultilevel"/>
    <w:tmpl w:val="995A9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B4363"/>
    <w:multiLevelType w:val="hybridMultilevel"/>
    <w:tmpl w:val="F1AABC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B6BDD"/>
    <w:multiLevelType w:val="hybridMultilevel"/>
    <w:tmpl w:val="A80C63EE"/>
    <w:lvl w:ilvl="0" w:tplc="08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D5B3E5E"/>
    <w:multiLevelType w:val="hybridMultilevel"/>
    <w:tmpl w:val="BF98D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693C1B"/>
    <w:multiLevelType w:val="hybridMultilevel"/>
    <w:tmpl w:val="3724D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792005">
    <w:abstractNumId w:val="11"/>
  </w:num>
  <w:num w:numId="2" w16cid:durableId="1874927689">
    <w:abstractNumId w:val="8"/>
  </w:num>
  <w:num w:numId="3" w16cid:durableId="45951685">
    <w:abstractNumId w:val="25"/>
  </w:num>
  <w:num w:numId="4" w16cid:durableId="1582714268">
    <w:abstractNumId w:val="17"/>
  </w:num>
  <w:num w:numId="5" w16cid:durableId="1656910467">
    <w:abstractNumId w:val="18"/>
  </w:num>
  <w:num w:numId="6" w16cid:durableId="403526290">
    <w:abstractNumId w:val="15"/>
  </w:num>
  <w:num w:numId="7" w16cid:durableId="1478493058">
    <w:abstractNumId w:val="20"/>
  </w:num>
  <w:num w:numId="8" w16cid:durableId="1314872874">
    <w:abstractNumId w:val="24"/>
  </w:num>
  <w:num w:numId="9" w16cid:durableId="84694529">
    <w:abstractNumId w:val="2"/>
  </w:num>
  <w:num w:numId="10" w16cid:durableId="1501432198">
    <w:abstractNumId w:val="27"/>
  </w:num>
  <w:num w:numId="11" w16cid:durableId="1743596925">
    <w:abstractNumId w:val="16"/>
  </w:num>
  <w:num w:numId="12" w16cid:durableId="980428563">
    <w:abstractNumId w:val="13"/>
  </w:num>
  <w:num w:numId="13" w16cid:durableId="1824858964">
    <w:abstractNumId w:val="3"/>
  </w:num>
  <w:num w:numId="14" w16cid:durableId="1670211601">
    <w:abstractNumId w:val="7"/>
  </w:num>
  <w:num w:numId="15" w16cid:durableId="999117470">
    <w:abstractNumId w:val="23"/>
  </w:num>
  <w:num w:numId="16" w16cid:durableId="1665357696">
    <w:abstractNumId w:val="26"/>
  </w:num>
  <w:num w:numId="17" w16cid:durableId="1730686346">
    <w:abstractNumId w:val="10"/>
  </w:num>
  <w:num w:numId="18" w16cid:durableId="583073975">
    <w:abstractNumId w:val="28"/>
  </w:num>
  <w:num w:numId="19" w16cid:durableId="1630286527">
    <w:abstractNumId w:val="4"/>
  </w:num>
  <w:num w:numId="20" w16cid:durableId="1221860919">
    <w:abstractNumId w:val="22"/>
  </w:num>
  <w:num w:numId="21" w16cid:durableId="171573496">
    <w:abstractNumId w:val="5"/>
  </w:num>
  <w:num w:numId="22" w16cid:durableId="996690079">
    <w:abstractNumId w:val="12"/>
  </w:num>
  <w:num w:numId="23" w16cid:durableId="1710253587">
    <w:abstractNumId w:val="6"/>
  </w:num>
  <w:num w:numId="24" w16cid:durableId="201669648">
    <w:abstractNumId w:val="0"/>
  </w:num>
  <w:num w:numId="25" w16cid:durableId="557328918">
    <w:abstractNumId w:val="9"/>
  </w:num>
  <w:num w:numId="26" w16cid:durableId="1313408991">
    <w:abstractNumId w:val="21"/>
  </w:num>
  <w:num w:numId="27" w16cid:durableId="1767537579">
    <w:abstractNumId w:val="19"/>
  </w:num>
  <w:num w:numId="28" w16cid:durableId="1241911657">
    <w:abstractNumId w:val="4"/>
  </w:num>
  <w:num w:numId="29" w16cid:durableId="477185385">
    <w:abstractNumId w:val="1"/>
  </w:num>
  <w:num w:numId="30" w16cid:durableId="836459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27B8F"/>
    <w:rsid w:val="0003619F"/>
    <w:rsid w:val="00054103"/>
    <w:rsid w:val="00064AB5"/>
    <w:rsid w:val="00065D60"/>
    <w:rsid w:val="000829ED"/>
    <w:rsid w:val="000C2FD4"/>
    <w:rsid w:val="00117451"/>
    <w:rsid w:val="00122384"/>
    <w:rsid w:val="00177D0F"/>
    <w:rsid w:val="001868EB"/>
    <w:rsid w:val="001973B7"/>
    <w:rsid w:val="001B284E"/>
    <w:rsid w:val="001C6F96"/>
    <w:rsid w:val="00202590"/>
    <w:rsid w:val="00220FFA"/>
    <w:rsid w:val="00231ABE"/>
    <w:rsid w:val="002352C3"/>
    <w:rsid w:val="00235CAE"/>
    <w:rsid w:val="00246FF1"/>
    <w:rsid w:val="002535F1"/>
    <w:rsid w:val="00266506"/>
    <w:rsid w:val="002903B3"/>
    <w:rsid w:val="002B5202"/>
    <w:rsid w:val="002D2555"/>
    <w:rsid w:val="002E1D94"/>
    <w:rsid w:val="002E596D"/>
    <w:rsid w:val="00303EA1"/>
    <w:rsid w:val="00326027"/>
    <w:rsid w:val="0032690E"/>
    <w:rsid w:val="00384B78"/>
    <w:rsid w:val="00397A2F"/>
    <w:rsid w:val="003A342A"/>
    <w:rsid w:val="003A4BD8"/>
    <w:rsid w:val="003B3816"/>
    <w:rsid w:val="003D3B97"/>
    <w:rsid w:val="00431138"/>
    <w:rsid w:val="00445CAC"/>
    <w:rsid w:val="00446D8A"/>
    <w:rsid w:val="00451847"/>
    <w:rsid w:val="00464B53"/>
    <w:rsid w:val="00471BE3"/>
    <w:rsid w:val="00474201"/>
    <w:rsid w:val="00487881"/>
    <w:rsid w:val="004969C0"/>
    <w:rsid w:val="004A144A"/>
    <w:rsid w:val="004B71BF"/>
    <w:rsid w:val="004B75D0"/>
    <w:rsid w:val="004B79B7"/>
    <w:rsid w:val="004D047A"/>
    <w:rsid w:val="004D3BFF"/>
    <w:rsid w:val="004D60E6"/>
    <w:rsid w:val="004D6369"/>
    <w:rsid w:val="004E2374"/>
    <w:rsid w:val="00502B22"/>
    <w:rsid w:val="00511024"/>
    <w:rsid w:val="00521600"/>
    <w:rsid w:val="00535F69"/>
    <w:rsid w:val="00540D66"/>
    <w:rsid w:val="00546579"/>
    <w:rsid w:val="0059126E"/>
    <w:rsid w:val="005A10C1"/>
    <w:rsid w:val="005B6851"/>
    <w:rsid w:val="005C0885"/>
    <w:rsid w:val="005C5F06"/>
    <w:rsid w:val="005C6C28"/>
    <w:rsid w:val="005D0D15"/>
    <w:rsid w:val="005D501F"/>
    <w:rsid w:val="005D6EF4"/>
    <w:rsid w:val="005E68D9"/>
    <w:rsid w:val="005F2B8E"/>
    <w:rsid w:val="005F5665"/>
    <w:rsid w:val="00604011"/>
    <w:rsid w:val="006134DD"/>
    <w:rsid w:val="00624266"/>
    <w:rsid w:val="006457AE"/>
    <w:rsid w:val="006669D1"/>
    <w:rsid w:val="00687325"/>
    <w:rsid w:val="006919D1"/>
    <w:rsid w:val="006D0C1B"/>
    <w:rsid w:val="006F033A"/>
    <w:rsid w:val="006F1BFC"/>
    <w:rsid w:val="006F3D6C"/>
    <w:rsid w:val="00710FA8"/>
    <w:rsid w:val="007122BA"/>
    <w:rsid w:val="0073236E"/>
    <w:rsid w:val="00744F72"/>
    <w:rsid w:val="00750FE2"/>
    <w:rsid w:val="00777508"/>
    <w:rsid w:val="007A13A3"/>
    <w:rsid w:val="007A615C"/>
    <w:rsid w:val="007B09F0"/>
    <w:rsid w:val="007C2A4A"/>
    <w:rsid w:val="00821E3A"/>
    <w:rsid w:val="00827665"/>
    <w:rsid w:val="00854A74"/>
    <w:rsid w:val="00857B05"/>
    <w:rsid w:val="008839E2"/>
    <w:rsid w:val="0088637C"/>
    <w:rsid w:val="008D666F"/>
    <w:rsid w:val="008E0590"/>
    <w:rsid w:val="008E6AF4"/>
    <w:rsid w:val="008F0E90"/>
    <w:rsid w:val="008F61C3"/>
    <w:rsid w:val="009119EB"/>
    <w:rsid w:val="00935C9D"/>
    <w:rsid w:val="00940077"/>
    <w:rsid w:val="00951479"/>
    <w:rsid w:val="00970373"/>
    <w:rsid w:val="00974730"/>
    <w:rsid w:val="00997CD3"/>
    <w:rsid w:val="00997CF2"/>
    <w:rsid w:val="009B1777"/>
    <w:rsid w:val="009F0A77"/>
    <w:rsid w:val="00A06EDA"/>
    <w:rsid w:val="00A65610"/>
    <w:rsid w:val="00A708FD"/>
    <w:rsid w:val="00A83366"/>
    <w:rsid w:val="00A94C4A"/>
    <w:rsid w:val="00AD1F29"/>
    <w:rsid w:val="00AE078B"/>
    <w:rsid w:val="00B01E6E"/>
    <w:rsid w:val="00B02D7C"/>
    <w:rsid w:val="00B525C3"/>
    <w:rsid w:val="00B75D79"/>
    <w:rsid w:val="00B91D88"/>
    <w:rsid w:val="00BA1866"/>
    <w:rsid w:val="00BB2906"/>
    <w:rsid w:val="00BD3D4A"/>
    <w:rsid w:val="00BE3EB6"/>
    <w:rsid w:val="00C03C97"/>
    <w:rsid w:val="00C13407"/>
    <w:rsid w:val="00C154CA"/>
    <w:rsid w:val="00C3742D"/>
    <w:rsid w:val="00C50461"/>
    <w:rsid w:val="00C545A5"/>
    <w:rsid w:val="00C56146"/>
    <w:rsid w:val="00C60877"/>
    <w:rsid w:val="00C63ACF"/>
    <w:rsid w:val="00C90EF1"/>
    <w:rsid w:val="00C95294"/>
    <w:rsid w:val="00CC5E98"/>
    <w:rsid w:val="00CF1407"/>
    <w:rsid w:val="00CF6320"/>
    <w:rsid w:val="00D07BEF"/>
    <w:rsid w:val="00D37330"/>
    <w:rsid w:val="00D80043"/>
    <w:rsid w:val="00DA5CF9"/>
    <w:rsid w:val="00DC27E0"/>
    <w:rsid w:val="00DD00B9"/>
    <w:rsid w:val="00DE0950"/>
    <w:rsid w:val="00E05125"/>
    <w:rsid w:val="00E22DAA"/>
    <w:rsid w:val="00E333F1"/>
    <w:rsid w:val="00E374E9"/>
    <w:rsid w:val="00E41C43"/>
    <w:rsid w:val="00E55666"/>
    <w:rsid w:val="00EA6D5F"/>
    <w:rsid w:val="00ED2AC8"/>
    <w:rsid w:val="00ED74A3"/>
    <w:rsid w:val="00ED7632"/>
    <w:rsid w:val="00EE3E92"/>
    <w:rsid w:val="00EF1827"/>
    <w:rsid w:val="00F17971"/>
    <w:rsid w:val="00F206BA"/>
    <w:rsid w:val="00F65949"/>
    <w:rsid w:val="00F81057"/>
    <w:rsid w:val="00FA33C1"/>
    <w:rsid w:val="00FA5E55"/>
    <w:rsid w:val="00FB3ECD"/>
    <w:rsid w:val="00FE3876"/>
    <w:rsid w:val="00FF2EBE"/>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73724E99-E863-4E98-81B8-1BDF21BA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19"/>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E68D9"/>
    <w:pPr>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styleId="FootnoteText">
    <w:name w:val="footnote text"/>
    <w:basedOn w:val="Normal"/>
    <w:link w:val="FootnoteTextChar"/>
    <w:uiPriority w:val="99"/>
    <w:semiHidden/>
    <w:unhideWhenUsed/>
    <w:rsid w:val="009119EB"/>
    <w:pPr>
      <w:spacing w:after="0" w:line="240" w:lineRule="auto"/>
      <w:contextualSpacing w:val="0"/>
    </w:pPr>
    <w:rPr>
      <w:rFonts w:ascii="Tahoma" w:eastAsia="Times New Roman" w:hAnsi="Tahoma" w:cs="Times New Roman"/>
      <w:sz w:val="20"/>
      <w:szCs w:val="20"/>
    </w:rPr>
  </w:style>
  <w:style w:type="character" w:customStyle="1" w:styleId="FootnoteTextChar">
    <w:name w:val="Footnote Text Char"/>
    <w:basedOn w:val="DefaultParagraphFont"/>
    <w:link w:val="FootnoteText"/>
    <w:uiPriority w:val="99"/>
    <w:semiHidden/>
    <w:rsid w:val="009119EB"/>
    <w:rPr>
      <w:rFonts w:ascii="Tahoma" w:eastAsia="Times New Roman" w:hAnsi="Tahoma" w:cs="Times New Roman"/>
      <w:sz w:val="20"/>
      <w:szCs w:val="20"/>
    </w:rPr>
  </w:style>
  <w:style w:type="character" w:styleId="FootnoteReference">
    <w:name w:val="footnote reference"/>
    <w:uiPriority w:val="99"/>
    <w:semiHidden/>
    <w:unhideWhenUsed/>
    <w:rsid w:val="009119EB"/>
    <w:rPr>
      <w:vertAlign w:val="superscript"/>
    </w:rPr>
  </w:style>
  <w:style w:type="character" w:styleId="UnresolvedMention">
    <w:name w:val="Unresolved Mention"/>
    <w:basedOn w:val="DefaultParagraphFont"/>
    <w:uiPriority w:val="99"/>
    <w:semiHidden/>
    <w:unhideWhenUsed/>
    <w:rsid w:val="00065D60"/>
    <w:rPr>
      <w:color w:val="605E5C"/>
      <w:shd w:val="clear" w:color="auto" w:fill="E1DFDD"/>
    </w:rPr>
  </w:style>
  <w:style w:type="paragraph" w:styleId="Revision">
    <w:name w:val="Revision"/>
    <w:hidden/>
    <w:uiPriority w:val="99"/>
    <w:semiHidden/>
    <w:rsid w:val="00FE3876"/>
    <w:pPr>
      <w:spacing w:after="0" w:line="240" w:lineRule="auto"/>
    </w:pPr>
    <w:rPr>
      <w:rFonts w:ascii="Roboto Lt" w:hAnsi="Roboto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theme" Target="/word/theme/theme1.xml" Id="rId11" /><Relationship Type="http://schemas.openxmlformats.org/officeDocument/2006/relationships/footnotes" Target="/word/footnotes.xml" Id="rId5" /><Relationship Type="http://schemas.openxmlformats.org/officeDocument/2006/relationships/glossaryDocument" Target="/word/glossary/document.xml" Id="rId10" /><Relationship Type="http://schemas.openxmlformats.org/officeDocument/2006/relationships/webSettings" Target="/word/webSettings.xml" Id="rId4" /><Relationship Type="http://schemas.openxmlformats.org/officeDocument/2006/relationships/fontTable" Target="/word/fontTable.xml" Id="rId9" /><Relationship Type="http://schemas.openxmlformats.org/officeDocument/2006/relationships/hyperlink" Target="https://forms.office.com/Pages/ResponsePage.aspx?id=Epvrg5Qa9UO0Lcg2kMrUjF8ZumccUwdJrZFK-zu_2xpUMFRLS0xTUFNJSFRESzIxMVBVUzY1QjlQWS4u" TargetMode="External" Id="rId8" /><Relationship Type="http://schemas.openxmlformats.org/officeDocument/2006/relationships/hyperlink" Target="https://forms.office.com/pages/designpagev2.aspx?origin=NeoPortalPage&amp;collectionid=kd327g80jcjf86swillfmk&amp;subpage=design&amp;id=Epvrg5Qa9UO0Lcg2kMrUjF8ZumccUwdJrZFK-zu_2xpUMFRLS0xTUFNJSFRESzIxMVBVUzY1QjlQWS4u" TargetMode="External" Id="rId7"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9A9BD9923E9249EDBD4549BFB0330AFA"/>
        <w:category>
          <w:name w:val="General"/>
          <w:gallery w:val="placeholder"/>
        </w:category>
        <w:types>
          <w:type w:val="bbPlcHdr"/>
        </w:types>
        <w:behaviors>
          <w:behavior w:val="content"/>
        </w:behaviors>
        <w:guid w:val="{B5DEDD91-60B0-41D7-810F-E8673957197A}"/>
      </w:docPartPr>
      <w:docPartBody>
        <w:p w:rsidR="000162DC" w:rsidRDefault="00055B9E">
          <w:pPr>
            <w:pStyle w:val="9A9BD9923E9249EDBD4549BFB0330AFA"/>
          </w:pPr>
          <w:r w:rsidRPr="00C32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0162DC"/>
    <w:rsid w:val="00055B9E"/>
    <w:rsid w:val="002E421E"/>
    <w:rsid w:val="003A49F5"/>
    <w:rsid w:val="004E748C"/>
    <w:rsid w:val="006B4756"/>
    <w:rsid w:val="006F6307"/>
    <w:rsid w:val="008121CB"/>
    <w:rsid w:val="00A150B4"/>
    <w:rsid w:val="00AF1359"/>
    <w:rsid w:val="00D749AF"/>
    <w:rsid w:val="00E736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9BD9923E9249EDBD4549BFB0330AFA">
    <w:name w:val="9A9BD9923E9249EDBD4549BFB0330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1732</Words>
  <Characters>9583</Characters>
  <Application>Microsoft Office Word</Application>
  <DocSecurity>0</DocSecurity>
  <Lines>330</Lines>
  <Paragraphs>290</Paragraphs>
  <ScaleCrop>false</ScaleCrop>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30</cp:revision>
  <dcterms:created xsi:type="dcterms:W3CDTF">2022-03-07T08:52:00Z</dcterms:created>
  <dcterms:modified xsi:type="dcterms:W3CDTF">2023-04-17T14:48:00Z</dcterms:modified>
</cp:coreProperties>
</file>