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644" w14:textId="3F5D752A" w:rsidR="001E673A" w:rsidRDefault="00576753">
      <w:pPr>
        <w:pStyle w:val="BodyText"/>
        <w:spacing w:before="5"/>
        <w:rPr>
          <w:rFonts w:ascii="Times New Roman"/>
          <w:i w:val="0"/>
          <w:sz w:val="1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BAAB747" wp14:editId="668AD9FD">
            <wp:simplePos x="0" y="0"/>
            <wp:positionH relativeFrom="page">
              <wp:posOffset>8931910</wp:posOffset>
            </wp:positionH>
            <wp:positionV relativeFrom="paragraph">
              <wp:posOffset>-250825</wp:posOffset>
            </wp:positionV>
            <wp:extent cx="1423141" cy="972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141" cy="97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AB645" w14:textId="4F350068" w:rsidR="001E673A" w:rsidRDefault="0041226D">
      <w:pPr>
        <w:spacing w:before="70" w:line="305" w:lineRule="exact"/>
        <w:ind w:left="212"/>
        <w:rPr>
          <w:i/>
          <w:sz w:val="24"/>
        </w:rPr>
      </w:pPr>
      <w:r>
        <w:rPr>
          <w:i/>
          <w:sz w:val="24"/>
        </w:rPr>
        <w:t>Protocols,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Procedures</w:t>
      </w:r>
    </w:p>
    <w:p w14:paraId="37BA5754" w14:textId="227483F0" w:rsidR="00F86B10" w:rsidRDefault="0001293E" w:rsidP="0001293E">
      <w:pPr>
        <w:pStyle w:val="Title"/>
        <w:ind w:left="0"/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="005E46A4" w:rsidRPr="005E46A4">
        <w:rPr>
          <w:rFonts w:ascii="Arial" w:hAnsi="Arial" w:cs="Arial"/>
          <w:sz w:val="28"/>
          <w:szCs w:val="28"/>
          <w:u w:val="single"/>
        </w:rPr>
        <w:t>RECORDS RETENTION POLICY</w:t>
      </w:r>
    </w:p>
    <w:p w14:paraId="6AF6542B" w14:textId="77777777" w:rsidR="00F86B10" w:rsidRPr="00F86B10" w:rsidRDefault="00F86B10" w:rsidP="0001293E">
      <w:pPr>
        <w:pStyle w:val="Title"/>
        <w:ind w:left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3"/>
        <w:gridCol w:w="1901"/>
        <w:gridCol w:w="6888"/>
      </w:tblGrid>
      <w:tr w:rsidR="00F86B10" w14:paraId="6E9B0F83" w14:textId="77777777" w:rsidTr="00D81A23">
        <w:trPr>
          <w:trHeight w:val="868"/>
        </w:trPr>
        <w:tc>
          <w:tcPr>
            <w:tcW w:w="6063" w:type="dxa"/>
            <w:shd w:val="clear" w:color="auto" w:fill="BEBEBE"/>
          </w:tcPr>
          <w:p w14:paraId="253EC0CC" w14:textId="77777777" w:rsidR="00F86B10" w:rsidRDefault="00F86B10" w:rsidP="00D81A23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737715D7" w14:textId="77777777" w:rsidR="00F86B10" w:rsidRDefault="00F86B10" w:rsidP="00D81A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RECORD</w:t>
            </w:r>
          </w:p>
        </w:tc>
        <w:tc>
          <w:tcPr>
            <w:tcW w:w="1901" w:type="dxa"/>
            <w:shd w:val="clear" w:color="auto" w:fill="BEBEBE"/>
          </w:tcPr>
          <w:p w14:paraId="3A8DE11A" w14:textId="77777777" w:rsidR="00F86B10" w:rsidRDefault="00F86B10" w:rsidP="00D81A23">
            <w:pPr>
              <w:pStyle w:val="TableParagraph"/>
              <w:spacing w:line="216" w:lineRule="auto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  <w:p w14:paraId="70016FFE" w14:textId="77777777" w:rsidR="00F86B10" w:rsidRDefault="00F86B10" w:rsidP="00D81A23">
            <w:pPr>
              <w:pStyle w:val="TableParagraph"/>
              <w:spacing w:line="267" w:lineRule="exact"/>
              <w:ind w:left="2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6888" w:type="dxa"/>
            <w:shd w:val="clear" w:color="auto" w:fill="BEBEBE"/>
          </w:tcPr>
          <w:p w14:paraId="02326368" w14:textId="77777777" w:rsidR="00F86B10" w:rsidRDefault="00F86B10" w:rsidP="00D81A23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621C3145" w14:textId="77777777" w:rsidR="00F86B10" w:rsidRDefault="00F86B10" w:rsidP="00D81A23">
            <w:pPr>
              <w:pStyle w:val="TableParagraph"/>
              <w:ind w:left="2670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F86B10" w14:paraId="79C11614" w14:textId="77777777" w:rsidTr="00D81A23">
        <w:trPr>
          <w:trHeight w:val="578"/>
        </w:trPr>
        <w:tc>
          <w:tcPr>
            <w:tcW w:w="6063" w:type="dxa"/>
          </w:tcPr>
          <w:p w14:paraId="4DAF1790" w14:textId="77777777" w:rsidR="00F86B10" w:rsidRDefault="00F86B10" w:rsidP="00D81A23">
            <w:pPr>
              <w:pStyle w:val="TableParagraph"/>
              <w:spacing w:line="29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Accident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reports – refer to Accident/Incident books</w:t>
            </w:r>
          </w:p>
        </w:tc>
        <w:tc>
          <w:tcPr>
            <w:tcW w:w="1901" w:type="dxa"/>
          </w:tcPr>
          <w:p w14:paraId="5127DCA2" w14:textId="77777777" w:rsidR="00F86B10" w:rsidRDefault="00F86B10" w:rsidP="00D81A23">
            <w:pPr>
              <w:pStyle w:val="TableParagraph"/>
              <w:spacing w:before="2"/>
              <w:ind w:left="208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6888" w:type="dxa"/>
          </w:tcPr>
          <w:p w14:paraId="01480D38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litigation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commenced,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keep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advised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</w:p>
          <w:p w14:paraId="442FD311" w14:textId="77777777" w:rsidR="00F86B10" w:rsidRDefault="00F86B10" w:rsidP="00D81A23">
            <w:pPr>
              <w:pStyle w:val="TableParagraph"/>
              <w:spacing w:line="28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representatives.</w:t>
            </w:r>
          </w:p>
        </w:tc>
      </w:tr>
      <w:tr w:rsidR="00F86B10" w14:paraId="50512581" w14:textId="77777777" w:rsidTr="00D81A23">
        <w:trPr>
          <w:trHeight w:val="299"/>
        </w:trPr>
        <w:tc>
          <w:tcPr>
            <w:tcW w:w="6063" w:type="dxa"/>
          </w:tcPr>
          <w:p w14:paraId="7F78FFF0" w14:textId="77777777" w:rsidR="00F86B10" w:rsidRDefault="00F86B10" w:rsidP="00D81A23">
            <w:pPr>
              <w:pStyle w:val="TableParagraph"/>
              <w:spacing w:line="280" w:lineRule="exact"/>
              <w:rPr>
                <w:rFonts w:ascii="Cambria"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-</w:t>
            </w:r>
            <w:r>
              <w:rPr>
                <w:rFonts w:ascii="Cambria"/>
                <w:spacing w:val="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Annual</w:t>
            </w:r>
            <w:r>
              <w:rPr>
                <w:rFonts w:ascii="Cambria"/>
                <w:spacing w:val="1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(Final</w:t>
            </w:r>
            <w:r>
              <w:rPr>
                <w:rFonts w:ascii="Cambria"/>
                <w:spacing w:val="1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-</w:t>
            </w:r>
            <w:r>
              <w:rPr>
                <w:rFonts w:ascii="Cambria"/>
                <w:spacing w:val="1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one</w:t>
            </w:r>
            <w:r>
              <w:rPr>
                <w:rFonts w:ascii="Cambria"/>
                <w:spacing w:val="1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set</w:t>
            </w:r>
            <w:r>
              <w:rPr>
                <w:rFonts w:ascii="Cambria"/>
                <w:spacing w:val="1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only)</w:t>
            </w:r>
          </w:p>
        </w:tc>
        <w:tc>
          <w:tcPr>
            <w:tcW w:w="1901" w:type="dxa"/>
          </w:tcPr>
          <w:p w14:paraId="5FFF91FF" w14:textId="77777777" w:rsidR="00F86B10" w:rsidRDefault="00F86B10" w:rsidP="00D81A23">
            <w:pPr>
              <w:pStyle w:val="TableParagraph"/>
              <w:spacing w:before="4" w:line="275" w:lineRule="exact"/>
              <w:ind w:left="204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Permanent</w:t>
            </w:r>
          </w:p>
        </w:tc>
        <w:tc>
          <w:tcPr>
            <w:tcW w:w="6888" w:type="dxa"/>
          </w:tcPr>
          <w:p w14:paraId="6A90CE8F" w14:textId="77777777" w:rsidR="00F86B10" w:rsidRDefault="00F86B10" w:rsidP="00D81A23">
            <w:pPr>
              <w:pStyle w:val="TableParagraph"/>
              <w:spacing w:line="28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CQC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required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</w:p>
        </w:tc>
      </w:tr>
      <w:tr w:rsidR="00F86B10" w14:paraId="28CDD011" w14:textId="77777777" w:rsidTr="00D81A23">
        <w:trPr>
          <w:trHeight w:val="1778"/>
        </w:trPr>
        <w:tc>
          <w:tcPr>
            <w:tcW w:w="6063" w:type="dxa"/>
            <w:tcBorders>
              <w:bottom w:val="single" w:sz="6" w:space="0" w:color="000000"/>
            </w:tcBorders>
          </w:tcPr>
          <w:p w14:paraId="5418B2BC" w14:textId="77777777" w:rsidR="00F86B10" w:rsidRDefault="00F86B10" w:rsidP="00D81A23">
            <w:pPr>
              <w:pStyle w:val="TableParagraph"/>
              <w:spacing w:line="29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</w:p>
          <w:p w14:paraId="528DAD36" w14:textId="77777777" w:rsidR="00F86B10" w:rsidRDefault="00F86B10" w:rsidP="00D81A23">
            <w:pPr>
              <w:pStyle w:val="TableParagraph"/>
              <w:spacing w:line="254" w:lineRule="auto"/>
              <w:ind w:right="157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Minor records (pass books; paying-in slips; cheques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4"/>
              </w:rPr>
              <w:t xml:space="preserve">counterfoils; cancelled/discharged </w:t>
            </w:r>
            <w:r>
              <w:rPr>
                <w:rFonts w:ascii="Cambria"/>
                <w:w w:val="105"/>
                <w:sz w:val="24"/>
              </w:rPr>
              <w:t>cheques; accounts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of petty cash expenditure; travelling and subsistence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4"/>
              </w:rPr>
              <w:t>accounts;</w:t>
            </w:r>
            <w:r>
              <w:rPr>
                <w:rFonts w:asci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4"/>
              </w:rPr>
              <w:t>minor</w:t>
            </w:r>
            <w:r>
              <w:rPr>
                <w:rFonts w:asci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4"/>
              </w:rPr>
              <w:t>vouchers;</w:t>
            </w:r>
            <w:r>
              <w:rPr>
                <w:rFonts w:asci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duplicate</w:t>
            </w:r>
            <w:r>
              <w:rPr>
                <w:rFonts w:asci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receipt</w:t>
            </w:r>
            <w:r>
              <w:rPr>
                <w:rFonts w:asci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books</w:t>
            </w:r>
            <w:r>
              <w:rPr>
                <w:rFonts w:asci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and</w:t>
            </w:r>
          </w:p>
          <w:p w14:paraId="203AE56F" w14:textId="77777777" w:rsidR="00F86B10" w:rsidRPr="00890CBD" w:rsidRDefault="00F86B10" w:rsidP="00D81A23">
            <w:pPr>
              <w:pStyle w:val="TableParagraph"/>
              <w:spacing w:line="273" w:lineRule="exact"/>
              <w:rPr>
                <w:rFonts w:ascii="Cambria"/>
                <w:w w:val="105"/>
                <w:sz w:val="24"/>
              </w:rPr>
            </w:pPr>
            <w:r>
              <w:rPr>
                <w:rFonts w:ascii="Cambria"/>
                <w:spacing w:val="-1"/>
                <w:w w:val="105"/>
                <w:sz w:val="24"/>
              </w:rPr>
              <w:t>income</w:t>
            </w:r>
            <w:r>
              <w:rPr>
                <w:rFonts w:asci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records, b</w:t>
            </w:r>
            <w:r>
              <w:rPr>
                <w:rFonts w:ascii="Cambria"/>
                <w:sz w:val="24"/>
              </w:rPr>
              <w:t>ills, receipts and cleared cheques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14:paraId="0E808D9F" w14:textId="77777777" w:rsidR="00F86B10" w:rsidRDefault="00F86B10" w:rsidP="00D81A23">
            <w:pPr>
              <w:pStyle w:val="TableParagraph"/>
              <w:spacing w:before="2"/>
              <w:ind w:left="1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6</w:t>
            </w:r>
          </w:p>
        </w:tc>
        <w:tc>
          <w:tcPr>
            <w:tcW w:w="6888" w:type="dxa"/>
            <w:tcBorders>
              <w:bottom w:val="single" w:sz="6" w:space="0" w:color="000000"/>
            </w:tcBorders>
          </w:tcPr>
          <w:p w14:paraId="74C5CC5F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 xml:space="preserve"> </w:t>
            </w:r>
            <w:r w:rsidRPr="008D4E1F">
              <w:rPr>
                <w:rFonts w:ascii="Times New Roman"/>
                <w:i/>
                <w:iCs/>
              </w:rPr>
              <w:t xml:space="preserve">Some are 6 </w:t>
            </w:r>
            <w:proofErr w:type="gramStart"/>
            <w:r w:rsidRPr="008D4E1F">
              <w:rPr>
                <w:rFonts w:ascii="Times New Roman"/>
                <w:i/>
                <w:iCs/>
              </w:rPr>
              <w:t>years</w:t>
            </w:r>
            <w:r>
              <w:rPr>
                <w:rFonts w:ascii="Times New Roman"/>
                <w:i/>
                <w:iCs/>
              </w:rPr>
              <w:t>,</w:t>
            </w:r>
            <w:proofErr w:type="gramEnd"/>
            <w:r w:rsidRPr="008D4E1F">
              <w:rPr>
                <w:rFonts w:ascii="Times New Roman"/>
                <w:i/>
                <w:iCs/>
              </w:rPr>
              <w:t xml:space="preserve"> some are 2 years </w:t>
            </w:r>
            <w:r>
              <w:rPr>
                <w:rFonts w:ascii="Times New Roman"/>
                <w:i/>
                <w:iCs/>
              </w:rPr>
              <w:t>–</w:t>
            </w:r>
            <w:r w:rsidRPr="008D4E1F">
              <w:rPr>
                <w:rFonts w:ascii="Times New Roman"/>
                <w:i/>
                <w:iCs/>
              </w:rPr>
              <w:t xml:space="preserve"> check</w:t>
            </w:r>
          </w:p>
          <w:p w14:paraId="633E60E1" w14:textId="77777777" w:rsidR="00F86B10" w:rsidRDefault="00F86B10" w:rsidP="00D81A23">
            <w:pPr>
              <w:pStyle w:val="TableParagraph"/>
              <w:ind w:left="0"/>
            </w:pPr>
          </w:p>
          <w:p w14:paraId="6B17880E" w14:textId="77777777" w:rsidR="00F86B10" w:rsidRDefault="00000000" w:rsidP="00D81A23">
            <w:pPr>
              <w:pStyle w:val="TableParagraph"/>
              <w:ind w:left="0"/>
            </w:pPr>
            <w:hyperlink r:id="rId7" w:history="1">
              <w:r w:rsidR="00F86B10">
                <w:rPr>
                  <w:rStyle w:val="Hyperlink"/>
                </w:rPr>
                <w:t>NHSX_Records_Management_CoP_V7.pdf</w:t>
              </w:r>
            </w:hyperlink>
          </w:p>
          <w:p w14:paraId="00CB65A5" w14:textId="77777777" w:rsidR="00F86B10" w:rsidRDefault="00F86B10" w:rsidP="00D81A23">
            <w:pPr>
              <w:pStyle w:val="TableParagraph"/>
              <w:ind w:left="0"/>
            </w:pPr>
          </w:p>
          <w:p w14:paraId="1607156E" w14:textId="77777777" w:rsidR="00F86B10" w:rsidRPr="008D4E1F" w:rsidRDefault="00000000" w:rsidP="00D81A23">
            <w:pPr>
              <w:pStyle w:val="TableParagraph"/>
              <w:ind w:left="0"/>
              <w:rPr>
                <w:rFonts w:ascii="Times New Roman"/>
                <w:i/>
                <w:iCs/>
              </w:rPr>
            </w:pPr>
            <w:hyperlink r:id="rId8" w:history="1">
              <w:r w:rsidR="00F86B10">
                <w:rPr>
                  <w:rStyle w:val="Hyperlink"/>
                </w:rPr>
                <w:t>Advice on retention - The National Archives</w:t>
              </w:r>
            </w:hyperlink>
          </w:p>
        </w:tc>
      </w:tr>
      <w:tr w:rsidR="00F86B10" w14:paraId="1E57DC5A" w14:textId="77777777" w:rsidTr="00D81A23">
        <w:trPr>
          <w:trHeight w:val="294"/>
        </w:trPr>
        <w:tc>
          <w:tcPr>
            <w:tcW w:w="6063" w:type="dxa"/>
            <w:tcBorders>
              <w:top w:val="single" w:sz="6" w:space="0" w:color="000000"/>
            </w:tcBorders>
          </w:tcPr>
          <w:p w14:paraId="7AB3D681" w14:textId="77777777" w:rsidR="00F86B10" w:rsidRDefault="00F86B10" w:rsidP="00D81A2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CVs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14:paraId="60390F81" w14:textId="77777777" w:rsidR="00F86B10" w:rsidRDefault="00F86B10" w:rsidP="00D81A23">
            <w:pPr>
              <w:pStyle w:val="TableParagraph"/>
              <w:spacing w:line="275" w:lineRule="exact"/>
              <w:ind w:left="206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</w:t>
            </w:r>
            <w:r>
              <w:rPr>
                <w:rFonts w:ascii="Cambria"/>
                <w:spacing w:val="1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months</w:t>
            </w:r>
          </w:p>
        </w:tc>
        <w:tc>
          <w:tcPr>
            <w:tcW w:w="6888" w:type="dxa"/>
            <w:tcBorders>
              <w:top w:val="single" w:sz="6" w:space="0" w:color="000000"/>
            </w:tcBorders>
          </w:tcPr>
          <w:p w14:paraId="0814BB08" w14:textId="77777777" w:rsidR="00F86B10" w:rsidRDefault="00F86B10" w:rsidP="00D81A23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Retained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months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unless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obtained</w:t>
            </w:r>
          </w:p>
        </w:tc>
      </w:tr>
      <w:tr w:rsidR="00F86B10" w14:paraId="06242242" w14:textId="77777777" w:rsidTr="00D81A23">
        <w:trPr>
          <w:trHeight w:val="1007"/>
        </w:trPr>
        <w:tc>
          <w:tcPr>
            <w:tcW w:w="6063" w:type="dxa"/>
          </w:tcPr>
          <w:p w14:paraId="2BAD363F" w14:textId="77777777" w:rsidR="00F86B10" w:rsidRPr="002B7A99" w:rsidRDefault="00F86B10" w:rsidP="00D81A23">
            <w:pPr>
              <w:pStyle w:val="TableParagraph"/>
              <w:spacing w:line="275" w:lineRule="exact"/>
              <w:rPr>
                <w:rFonts w:ascii="Cambria"/>
                <w:b/>
                <w:bCs/>
                <w:sz w:val="24"/>
              </w:rPr>
            </w:pPr>
            <w:r w:rsidRPr="002B7A99">
              <w:rPr>
                <w:rFonts w:ascii="Cambria"/>
                <w:b/>
                <w:bCs/>
                <w:sz w:val="24"/>
              </w:rPr>
              <w:t>Buildings, Premises, Engineering Works and General Maintenance work.</w:t>
            </w:r>
          </w:p>
        </w:tc>
        <w:tc>
          <w:tcPr>
            <w:tcW w:w="1901" w:type="dxa"/>
          </w:tcPr>
          <w:p w14:paraId="2F06E8A7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88" w:type="dxa"/>
          </w:tcPr>
          <w:p w14:paraId="3718195F" w14:textId="77777777" w:rsidR="00F86B10" w:rsidRDefault="00F86B10" w:rsidP="00D81A23">
            <w:pPr>
              <w:pStyle w:val="TableParagraph"/>
              <w:spacing w:line="213" w:lineRule="auto"/>
              <w:ind w:left="108" w:right="1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general principle to be followed </w:t>
            </w:r>
            <w:proofErr w:type="gramStart"/>
            <w:r>
              <w:rPr>
                <w:i/>
                <w:sz w:val="24"/>
              </w:rPr>
              <w:t>in regard to</w:t>
            </w:r>
            <w:proofErr w:type="gramEnd"/>
            <w:r>
              <w:rPr>
                <w:i/>
                <w:sz w:val="24"/>
              </w:rPr>
              <w:t xml:space="preserve"> these records is that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they should be preserved for the life of the buildings and installations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which they refer.</w:t>
            </w:r>
          </w:p>
          <w:p w14:paraId="32922F06" w14:textId="77777777" w:rsidR="00F86B10" w:rsidRDefault="00000000" w:rsidP="00D81A23">
            <w:pPr>
              <w:pStyle w:val="TableParagraph"/>
              <w:ind w:left="0"/>
            </w:pPr>
            <w:hyperlink r:id="rId9" w:history="1">
              <w:r w:rsidR="00F86B10">
                <w:rPr>
                  <w:rStyle w:val="Hyperlink"/>
                </w:rPr>
                <w:t>NHSX_Records_Management_CoP_V7.pdf</w:t>
              </w:r>
            </w:hyperlink>
          </w:p>
          <w:p w14:paraId="2D22C708" w14:textId="77777777" w:rsidR="00F86B10" w:rsidRDefault="00F86B10" w:rsidP="00D81A23">
            <w:pPr>
              <w:pStyle w:val="TableParagraph"/>
              <w:spacing w:line="213" w:lineRule="auto"/>
              <w:ind w:left="0" w:right="139"/>
              <w:jc w:val="both"/>
            </w:pPr>
          </w:p>
          <w:p w14:paraId="2A3A4D2F" w14:textId="77777777" w:rsidR="00F86B10" w:rsidRDefault="00000000" w:rsidP="00D81A23">
            <w:pPr>
              <w:pStyle w:val="TableParagraph"/>
              <w:spacing w:line="213" w:lineRule="auto"/>
              <w:ind w:left="0" w:right="139"/>
              <w:jc w:val="both"/>
              <w:rPr>
                <w:i/>
                <w:sz w:val="24"/>
              </w:rPr>
            </w:pPr>
            <w:hyperlink r:id="rId10" w:history="1">
              <w:r w:rsidR="00F86B10">
                <w:rPr>
                  <w:rStyle w:val="Hyperlink"/>
                </w:rPr>
                <w:t>Advice on retention - The National Archives</w:t>
              </w:r>
            </w:hyperlink>
          </w:p>
          <w:p w14:paraId="19AFBE4C" w14:textId="77777777" w:rsidR="00F86B10" w:rsidRDefault="00F86B10" w:rsidP="00D81A23">
            <w:pPr>
              <w:pStyle w:val="TableParagraph"/>
              <w:spacing w:line="213" w:lineRule="auto"/>
              <w:ind w:left="108" w:right="139"/>
              <w:jc w:val="both"/>
              <w:rPr>
                <w:i/>
                <w:sz w:val="24"/>
              </w:rPr>
            </w:pPr>
          </w:p>
        </w:tc>
      </w:tr>
      <w:tr w:rsidR="00F86B10" w14:paraId="329DF41F" w14:textId="77777777" w:rsidTr="00D81A23">
        <w:trPr>
          <w:trHeight w:val="587"/>
        </w:trPr>
        <w:tc>
          <w:tcPr>
            <w:tcW w:w="6063" w:type="dxa"/>
          </w:tcPr>
          <w:p w14:paraId="3342FDBE" w14:textId="77777777" w:rsidR="00F86B10" w:rsidRDefault="00F86B10" w:rsidP="00D81A23">
            <w:pPr>
              <w:pStyle w:val="TableParagraph"/>
              <w:spacing w:line="29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CCTV Images</w:t>
            </w:r>
          </w:p>
        </w:tc>
        <w:tc>
          <w:tcPr>
            <w:tcW w:w="1901" w:type="dxa"/>
          </w:tcPr>
          <w:p w14:paraId="2C0D2B9B" w14:textId="77777777" w:rsidR="00F86B10" w:rsidRDefault="00F86B10" w:rsidP="00D81A23">
            <w:pPr>
              <w:pStyle w:val="TableParagraph"/>
              <w:spacing w:before="2"/>
              <w:ind w:left="204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28 days to 3 months</w:t>
            </w:r>
          </w:p>
        </w:tc>
        <w:tc>
          <w:tcPr>
            <w:tcW w:w="6888" w:type="dxa"/>
          </w:tcPr>
          <w:p w14:paraId="104E9B06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Then record over</w:t>
            </w:r>
          </w:p>
        </w:tc>
      </w:tr>
      <w:tr w:rsidR="00F86B10" w14:paraId="1C4568E0" w14:textId="77777777" w:rsidTr="00D81A23">
        <w:trPr>
          <w:trHeight w:val="587"/>
        </w:trPr>
        <w:tc>
          <w:tcPr>
            <w:tcW w:w="6063" w:type="dxa"/>
          </w:tcPr>
          <w:p w14:paraId="70AB12EA" w14:textId="77777777" w:rsidR="00F86B10" w:rsidRDefault="00F86B10" w:rsidP="00D81A23">
            <w:pPr>
              <w:pStyle w:val="TableParagraph"/>
              <w:spacing w:line="29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Complaints</w:t>
            </w:r>
          </w:p>
        </w:tc>
        <w:tc>
          <w:tcPr>
            <w:tcW w:w="1901" w:type="dxa"/>
          </w:tcPr>
          <w:p w14:paraId="6E018A0D" w14:textId="77777777" w:rsidR="00F86B10" w:rsidRDefault="00F86B10" w:rsidP="00D81A23">
            <w:pPr>
              <w:pStyle w:val="TableParagraph"/>
              <w:spacing w:before="2"/>
              <w:ind w:left="204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6888" w:type="dxa"/>
          </w:tcPr>
          <w:p w14:paraId="4C19F60E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litigations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commenced,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advised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legal</w:t>
            </w:r>
          </w:p>
          <w:p w14:paraId="1B014F21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i/>
                <w:sz w:val="24"/>
              </w:rPr>
              <w:t>representatives</w:t>
            </w:r>
          </w:p>
        </w:tc>
      </w:tr>
      <w:tr w:rsidR="00F86B10" w14:paraId="3DE37BAF" w14:textId="77777777" w:rsidTr="00D81A23">
        <w:trPr>
          <w:trHeight w:val="587"/>
        </w:trPr>
        <w:tc>
          <w:tcPr>
            <w:tcW w:w="6063" w:type="dxa"/>
          </w:tcPr>
          <w:p w14:paraId="2DD52295" w14:textId="77777777" w:rsidR="00F86B10" w:rsidRDefault="00F86B10" w:rsidP="00D81A23">
            <w:pPr>
              <w:pStyle w:val="TableParagraph"/>
              <w:spacing w:line="29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Computerised Records and Clinical System Records</w:t>
            </w:r>
          </w:p>
        </w:tc>
        <w:tc>
          <w:tcPr>
            <w:tcW w:w="1901" w:type="dxa"/>
          </w:tcPr>
          <w:p w14:paraId="649C735C" w14:textId="3E2A52FE" w:rsidR="00F86B10" w:rsidRDefault="00AF194C" w:rsidP="00AF194C">
            <w:pPr>
              <w:pStyle w:val="TableParagraph"/>
              <w:spacing w:before="2"/>
              <w:ind w:left="204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6888" w:type="dxa"/>
          </w:tcPr>
          <w:p w14:paraId="61028A54" w14:textId="77777777" w:rsidR="00F86B10" w:rsidRDefault="00F86B10" w:rsidP="00D81A23">
            <w:pPr>
              <w:pStyle w:val="TableParagraph"/>
              <w:spacing w:line="213" w:lineRule="auto"/>
              <w:ind w:left="108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The recommended minimum retention periods apply to both paper and computerised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records, though extra care needs to be taken to prevent corruption or deterioration of the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data. Re-recording / migration of data will also need to be considered as equipment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become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obsolete.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see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Office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guidance,</w:t>
            </w:r>
          </w:p>
          <w:p w14:paraId="3981A6A9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i/>
                <w:sz w:val="24"/>
              </w:rPr>
              <w:t xml:space="preserve"> Management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Appraisal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Electronic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Records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(1998)</w:t>
            </w:r>
          </w:p>
        </w:tc>
      </w:tr>
      <w:tr w:rsidR="00F86B10" w14:paraId="7AE61AE5" w14:textId="77777777" w:rsidTr="00D81A23">
        <w:trPr>
          <w:trHeight w:val="587"/>
        </w:trPr>
        <w:tc>
          <w:tcPr>
            <w:tcW w:w="6063" w:type="dxa"/>
          </w:tcPr>
          <w:p w14:paraId="5B0CBDB1" w14:textId="77777777" w:rsidR="00F86B10" w:rsidRDefault="00F86B10" w:rsidP="00D81A23">
            <w:pPr>
              <w:pStyle w:val="TableParagraph"/>
              <w:spacing w:line="29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DBS Records</w:t>
            </w:r>
          </w:p>
        </w:tc>
        <w:tc>
          <w:tcPr>
            <w:tcW w:w="1901" w:type="dxa"/>
          </w:tcPr>
          <w:p w14:paraId="12D61655" w14:textId="77777777" w:rsidR="00F86B10" w:rsidRDefault="00F86B10" w:rsidP="00D81A23">
            <w:pPr>
              <w:pStyle w:val="TableParagraph"/>
              <w:spacing w:before="2"/>
              <w:ind w:left="0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X</w:t>
            </w:r>
          </w:p>
        </w:tc>
        <w:tc>
          <w:tcPr>
            <w:tcW w:w="6888" w:type="dxa"/>
          </w:tcPr>
          <w:p w14:paraId="3A2364FD" w14:textId="77777777" w:rsidR="00F86B10" w:rsidRDefault="00F86B10" w:rsidP="00D81A23">
            <w:pPr>
              <w:pStyle w:val="TableParagraph"/>
              <w:spacing w:line="213" w:lineRule="auto"/>
              <w:ind w:left="108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Retain code and destroy certificate</w:t>
            </w:r>
          </w:p>
        </w:tc>
      </w:tr>
    </w:tbl>
    <w:p w14:paraId="4C8DE1C7" w14:textId="77777777" w:rsidR="00F86B10" w:rsidRDefault="00F86B10" w:rsidP="0001293E">
      <w:pPr>
        <w:pStyle w:val="Title"/>
        <w:ind w:left="0"/>
        <w:rPr>
          <w:rFonts w:ascii="Arial" w:hAnsi="Arial" w:cs="Arial"/>
          <w:sz w:val="28"/>
          <w:szCs w:val="28"/>
          <w:u w:val="single"/>
        </w:rPr>
      </w:pPr>
    </w:p>
    <w:p w14:paraId="0901AA80" w14:textId="77777777" w:rsidR="00F86B10" w:rsidRDefault="00F86B10" w:rsidP="0001293E">
      <w:pPr>
        <w:pStyle w:val="Title"/>
        <w:ind w:left="0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3"/>
        <w:gridCol w:w="1901"/>
        <w:gridCol w:w="6888"/>
      </w:tblGrid>
      <w:tr w:rsidR="00F86B10" w14:paraId="5A2B28A3" w14:textId="77777777" w:rsidTr="00D81A23">
        <w:trPr>
          <w:trHeight w:val="868"/>
        </w:trPr>
        <w:tc>
          <w:tcPr>
            <w:tcW w:w="6063" w:type="dxa"/>
            <w:shd w:val="clear" w:color="auto" w:fill="BEBEBE"/>
          </w:tcPr>
          <w:p w14:paraId="304C83FC" w14:textId="77777777" w:rsidR="00F86B10" w:rsidRDefault="00F86B10" w:rsidP="00D81A23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02702255" w14:textId="77777777" w:rsidR="00F86B10" w:rsidRDefault="00F86B10" w:rsidP="00D81A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RECORD</w:t>
            </w:r>
          </w:p>
        </w:tc>
        <w:tc>
          <w:tcPr>
            <w:tcW w:w="1901" w:type="dxa"/>
            <w:shd w:val="clear" w:color="auto" w:fill="BEBEBE"/>
          </w:tcPr>
          <w:p w14:paraId="22E1CACE" w14:textId="77777777" w:rsidR="00F86B10" w:rsidRDefault="00F86B10" w:rsidP="00D81A23">
            <w:pPr>
              <w:pStyle w:val="TableParagraph"/>
              <w:spacing w:line="216" w:lineRule="auto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  <w:p w14:paraId="4B2E15F5" w14:textId="77777777" w:rsidR="00F86B10" w:rsidRDefault="00F86B10" w:rsidP="00D81A23">
            <w:pPr>
              <w:pStyle w:val="TableParagraph"/>
              <w:spacing w:line="267" w:lineRule="exact"/>
              <w:ind w:left="2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6888" w:type="dxa"/>
            <w:shd w:val="clear" w:color="auto" w:fill="BEBEBE"/>
          </w:tcPr>
          <w:p w14:paraId="420D2FAC" w14:textId="77777777" w:rsidR="00F86B10" w:rsidRDefault="00F86B10" w:rsidP="00D81A23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14:paraId="0EEAA0E5" w14:textId="77777777" w:rsidR="00F86B10" w:rsidRDefault="00F86B10" w:rsidP="00D81A23">
            <w:pPr>
              <w:pStyle w:val="TableParagraph"/>
              <w:ind w:left="2670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F86B10" w14:paraId="5AA06C5B" w14:textId="77777777" w:rsidTr="00D81A23">
        <w:trPr>
          <w:trHeight w:val="594"/>
        </w:trPr>
        <w:tc>
          <w:tcPr>
            <w:tcW w:w="6063" w:type="dxa"/>
          </w:tcPr>
          <w:p w14:paraId="44C2DEF0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Patient Paper 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Record (Lloyd George)</w:t>
            </w:r>
          </w:p>
        </w:tc>
        <w:tc>
          <w:tcPr>
            <w:tcW w:w="1901" w:type="dxa"/>
          </w:tcPr>
          <w:p w14:paraId="02EF8258" w14:textId="77777777" w:rsidR="00F86B10" w:rsidRDefault="00F86B10" w:rsidP="00D81A23">
            <w:pPr>
              <w:pStyle w:val="TableParagraph"/>
              <w:spacing w:before="2"/>
              <w:ind w:left="206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years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after</w:t>
            </w:r>
          </w:p>
          <w:p w14:paraId="396825B0" w14:textId="77777777" w:rsidR="00F86B10" w:rsidRDefault="00F86B10" w:rsidP="00D81A23">
            <w:pPr>
              <w:pStyle w:val="TableParagraph"/>
              <w:spacing w:before="16" w:line="275" w:lineRule="exact"/>
              <w:ind w:left="208" w:right="19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death</w:t>
            </w:r>
          </w:p>
        </w:tc>
        <w:tc>
          <w:tcPr>
            <w:tcW w:w="6888" w:type="dxa"/>
          </w:tcPr>
          <w:p w14:paraId="6B7AA1DC" w14:textId="77777777" w:rsidR="00F86B10" w:rsidRDefault="00F86B10" w:rsidP="00D81A23">
            <w:pPr>
              <w:pStyle w:val="TableParagraph"/>
              <w:spacing w:line="213" w:lineRule="auto"/>
              <w:ind w:left="108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Reviewed on patient death, passed to Primary Care and destroyed 10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after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death</w:t>
            </w:r>
          </w:p>
        </w:tc>
      </w:tr>
      <w:tr w:rsidR="00F86B10" w14:paraId="5F8A000E" w14:textId="77777777" w:rsidTr="00D81A23">
        <w:trPr>
          <w:trHeight w:val="300"/>
        </w:trPr>
        <w:tc>
          <w:tcPr>
            <w:tcW w:w="6063" w:type="dxa"/>
          </w:tcPr>
          <w:p w14:paraId="5769CD94" w14:textId="77777777" w:rsidR="00F86B10" w:rsidRDefault="00F86B10" w:rsidP="00D81A23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Incidents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Serious</w:t>
            </w:r>
          </w:p>
        </w:tc>
        <w:tc>
          <w:tcPr>
            <w:tcW w:w="1901" w:type="dxa"/>
          </w:tcPr>
          <w:p w14:paraId="11007D89" w14:textId="77777777" w:rsidR="00F86B10" w:rsidRDefault="00F86B10" w:rsidP="00D81A23">
            <w:pPr>
              <w:pStyle w:val="TableParagraph"/>
              <w:spacing w:before="5" w:line="275" w:lineRule="exact"/>
              <w:ind w:left="0" w:right="81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</w:t>
            </w:r>
          </w:p>
        </w:tc>
        <w:tc>
          <w:tcPr>
            <w:tcW w:w="6888" w:type="dxa"/>
          </w:tcPr>
          <w:p w14:paraId="5ADCB148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86B10" w14:paraId="5B91C10C" w14:textId="77777777" w:rsidTr="00D81A23">
        <w:trPr>
          <w:trHeight w:val="297"/>
        </w:trPr>
        <w:tc>
          <w:tcPr>
            <w:tcW w:w="6063" w:type="dxa"/>
          </w:tcPr>
          <w:p w14:paraId="4C30FE50" w14:textId="77777777" w:rsidR="00F86B10" w:rsidRDefault="00F86B10" w:rsidP="00D81A23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Incidents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4"/>
              </w:rPr>
              <w:t>–</w:t>
            </w:r>
            <w:r>
              <w:rPr>
                <w:rFonts w:ascii="Trebuchet MS" w:hAnsi="Trebuchet MS"/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serious</w:t>
            </w:r>
          </w:p>
        </w:tc>
        <w:tc>
          <w:tcPr>
            <w:tcW w:w="1901" w:type="dxa"/>
          </w:tcPr>
          <w:p w14:paraId="0E992C1E" w14:textId="77777777" w:rsidR="00F86B10" w:rsidRDefault="00F86B10" w:rsidP="00D81A23">
            <w:pPr>
              <w:pStyle w:val="TableParagraph"/>
              <w:spacing w:before="2" w:line="275" w:lineRule="exact"/>
              <w:ind w:left="0" w:right="81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6888" w:type="dxa"/>
          </w:tcPr>
          <w:p w14:paraId="253E2157" w14:textId="77777777" w:rsidR="00F86B10" w:rsidRDefault="00F86B10" w:rsidP="00D81A2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86B10" w14:paraId="461230E5" w14:textId="77777777" w:rsidTr="00D81A23">
        <w:trPr>
          <w:trHeight w:val="868"/>
        </w:trPr>
        <w:tc>
          <w:tcPr>
            <w:tcW w:w="6063" w:type="dxa"/>
          </w:tcPr>
          <w:p w14:paraId="01A7DD47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Payroll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PAYE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</w:tc>
        <w:tc>
          <w:tcPr>
            <w:tcW w:w="1901" w:type="dxa"/>
          </w:tcPr>
          <w:p w14:paraId="1FE0A032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7</w:t>
            </w:r>
          </w:p>
        </w:tc>
        <w:tc>
          <w:tcPr>
            <w:tcW w:w="6888" w:type="dxa"/>
          </w:tcPr>
          <w:p w14:paraId="076E68DF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superannuation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purposes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authorities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retain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</w:p>
          <w:p w14:paraId="31B9F5A9" w14:textId="77777777" w:rsidR="00F86B10" w:rsidRDefault="00F86B10" w:rsidP="00D81A23">
            <w:pPr>
              <w:pStyle w:val="TableParagraph"/>
              <w:spacing w:line="288" w:lineRule="exact"/>
              <w:ind w:left="108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records until the subject reaches benefit age. Retain for 7 years after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termination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employment</w:t>
            </w:r>
          </w:p>
        </w:tc>
      </w:tr>
      <w:tr w:rsidR="00F86B10" w14:paraId="0774F1A2" w14:textId="77777777" w:rsidTr="00D81A23">
        <w:trPr>
          <w:trHeight w:val="868"/>
        </w:trPr>
        <w:tc>
          <w:tcPr>
            <w:tcW w:w="6063" w:type="dxa"/>
          </w:tcPr>
          <w:p w14:paraId="42EA90E1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Pension</w:t>
            </w:r>
          </w:p>
        </w:tc>
        <w:tc>
          <w:tcPr>
            <w:tcW w:w="1901" w:type="dxa"/>
          </w:tcPr>
          <w:p w14:paraId="3BC4D511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6</w:t>
            </w:r>
          </w:p>
        </w:tc>
        <w:tc>
          <w:tcPr>
            <w:tcW w:w="6888" w:type="dxa"/>
          </w:tcPr>
          <w:p w14:paraId="092EB20A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Minimum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[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except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opt-outs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</w:p>
          <w:p w14:paraId="5F70DA56" w14:textId="77777777" w:rsidR="00F86B10" w:rsidRDefault="00F86B10" w:rsidP="00D81A23">
            <w:pPr>
              <w:pStyle w:val="TableParagraph"/>
              <w:spacing w:line="28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they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keep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four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years]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Pension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Regulator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</w:p>
        </w:tc>
      </w:tr>
      <w:tr w:rsidR="00F86B10" w14:paraId="17115A02" w14:textId="77777777" w:rsidTr="00D81A23">
        <w:trPr>
          <w:trHeight w:val="868"/>
        </w:trPr>
        <w:tc>
          <w:tcPr>
            <w:tcW w:w="6063" w:type="dxa"/>
          </w:tcPr>
          <w:p w14:paraId="2C6685E8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Personnel Files</w:t>
            </w:r>
          </w:p>
          <w:p w14:paraId="742BD5A4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(e.g. Personal files, letters of appointment, contracts, references, evidence of right to work, security checks, recruitment documentation and related correspondence)</w:t>
            </w:r>
          </w:p>
        </w:tc>
        <w:tc>
          <w:tcPr>
            <w:tcW w:w="1901" w:type="dxa"/>
          </w:tcPr>
          <w:p w14:paraId="50AFF5E7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6</w:t>
            </w:r>
          </w:p>
        </w:tc>
        <w:tc>
          <w:tcPr>
            <w:tcW w:w="6888" w:type="dxa"/>
          </w:tcPr>
          <w:p w14:paraId="09798C8B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Keep for 6 years after subject of file leaves service, or until subject's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proofErr w:type="spellStart"/>
            <w:r>
              <w:rPr>
                <w:i/>
                <w:position w:val="6"/>
                <w:sz w:val="16"/>
              </w:rPr>
              <w:t>th</w:t>
            </w:r>
            <w:proofErr w:type="spellEnd"/>
            <w:r>
              <w:rPr>
                <w:i/>
                <w:spacing w:val="1"/>
                <w:position w:val="6"/>
                <w:sz w:val="16"/>
              </w:rPr>
              <w:t xml:space="preserve"> </w:t>
            </w:r>
            <w:r>
              <w:rPr>
                <w:i/>
                <w:sz w:val="24"/>
              </w:rPr>
              <w:t>birthday, whichever is sooner. Only the summary needs to 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kept </w:t>
            </w:r>
            <w:proofErr w:type="gramStart"/>
            <w:r>
              <w:rPr>
                <w:i/>
                <w:sz w:val="24"/>
              </w:rPr>
              <w:t>to age</w:t>
            </w:r>
            <w:proofErr w:type="gramEnd"/>
            <w:r>
              <w:rPr>
                <w:i/>
                <w:sz w:val="24"/>
              </w:rPr>
              <w:t xml:space="preserve"> 100; remainder of file can be destroyed 6 years after subject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leaves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service.</w:t>
            </w:r>
          </w:p>
        </w:tc>
      </w:tr>
      <w:tr w:rsidR="00F86B10" w14:paraId="0D007BD7" w14:textId="77777777" w:rsidTr="00D81A23">
        <w:trPr>
          <w:trHeight w:val="715"/>
        </w:trPr>
        <w:tc>
          <w:tcPr>
            <w:tcW w:w="6063" w:type="dxa"/>
          </w:tcPr>
          <w:p w14:paraId="0FB6CA55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Policies and procedures (general operating policies)</w:t>
            </w:r>
          </w:p>
        </w:tc>
        <w:tc>
          <w:tcPr>
            <w:tcW w:w="1901" w:type="dxa"/>
          </w:tcPr>
          <w:p w14:paraId="727CDCEB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 xml:space="preserve">3 </w:t>
            </w:r>
          </w:p>
        </w:tc>
        <w:tc>
          <w:tcPr>
            <w:tcW w:w="6888" w:type="dxa"/>
          </w:tcPr>
          <w:p w14:paraId="3B340C7F" w14:textId="77777777" w:rsidR="00F86B10" w:rsidRDefault="00F86B10" w:rsidP="00D81A23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Current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version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previous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versions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retained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 w14:paraId="56D037FB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minimum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period.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</w:p>
        </w:tc>
      </w:tr>
      <w:tr w:rsidR="00F86B10" w14:paraId="4CED092C" w14:textId="77777777" w:rsidTr="00D81A23">
        <w:trPr>
          <w:trHeight w:val="683"/>
        </w:trPr>
        <w:tc>
          <w:tcPr>
            <w:tcW w:w="6063" w:type="dxa"/>
          </w:tcPr>
          <w:p w14:paraId="669BB0E8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Risk Assessments</w:t>
            </w:r>
          </w:p>
        </w:tc>
        <w:tc>
          <w:tcPr>
            <w:tcW w:w="1901" w:type="dxa"/>
          </w:tcPr>
          <w:p w14:paraId="7DDEB142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3</w:t>
            </w:r>
          </w:p>
        </w:tc>
        <w:tc>
          <w:tcPr>
            <w:tcW w:w="6888" w:type="dxa"/>
          </w:tcPr>
          <w:p w14:paraId="63433047" w14:textId="77777777" w:rsidR="00F86B10" w:rsidRDefault="00F86B10" w:rsidP="00D81A23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Retain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three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ensure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subsequent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risk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</w:p>
          <w:p w14:paraId="23A00503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available</w:t>
            </w:r>
          </w:p>
        </w:tc>
      </w:tr>
      <w:tr w:rsidR="00F86B10" w14:paraId="2DAB76DE" w14:textId="77777777" w:rsidTr="00D81A23">
        <w:trPr>
          <w:trHeight w:val="423"/>
        </w:trPr>
        <w:tc>
          <w:tcPr>
            <w:tcW w:w="6063" w:type="dxa"/>
          </w:tcPr>
          <w:p w14:paraId="3C85C8F5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Rotas and Staff Duty Rosters</w:t>
            </w:r>
          </w:p>
        </w:tc>
        <w:tc>
          <w:tcPr>
            <w:tcW w:w="1901" w:type="dxa"/>
          </w:tcPr>
          <w:p w14:paraId="737B2F06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4</w:t>
            </w:r>
          </w:p>
        </w:tc>
        <w:tc>
          <w:tcPr>
            <w:tcW w:w="6888" w:type="dxa"/>
          </w:tcPr>
          <w:p w14:paraId="57C7F915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relate</w:t>
            </w:r>
          </w:p>
        </w:tc>
      </w:tr>
      <w:tr w:rsidR="00F86B10" w14:paraId="44459879" w14:textId="77777777" w:rsidTr="00D81A23">
        <w:trPr>
          <w:trHeight w:val="423"/>
        </w:trPr>
        <w:tc>
          <w:tcPr>
            <w:tcW w:w="6063" w:type="dxa"/>
          </w:tcPr>
          <w:p w14:paraId="25FBED21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Significant event records</w:t>
            </w:r>
          </w:p>
        </w:tc>
        <w:tc>
          <w:tcPr>
            <w:tcW w:w="1901" w:type="dxa"/>
          </w:tcPr>
          <w:p w14:paraId="4CC4D398" w14:textId="77777777" w:rsidR="00F86B10" w:rsidRDefault="00F86B10" w:rsidP="00D81A23">
            <w:pPr>
              <w:pStyle w:val="TableParagraph"/>
              <w:spacing w:before="2"/>
              <w:ind w:left="0" w:right="878"/>
              <w:jc w:val="right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 xml:space="preserve">3 </w:t>
            </w:r>
          </w:p>
        </w:tc>
        <w:tc>
          <w:tcPr>
            <w:tcW w:w="6888" w:type="dxa"/>
          </w:tcPr>
          <w:p w14:paraId="35F6486F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Including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those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 notified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 CQC</w:t>
            </w:r>
          </w:p>
        </w:tc>
      </w:tr>
      <w:tr w:rsidR="00F86B10" w14:paraId="6278FD6C" w14:textId="77777777" w:rsidTr="00D81A23">
        <w:trPr>
          <w:trHeight w:val="423"/>
        </w:trPr>
        <w:tc>
          <w:tcPr>
            <w:tcW w:w="6063" w:type="dxa"/>
          </w:tcPr>
          <w:p w14:paraId="3CF7451B" w14:textId="77777777" w:rsidR="00F86B10" w:rsidRDefault="00F86B10" w:rsidP="00D81A23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Telephone recordings</w:t>
            </w:r>
          </w:p>
        </w:tc>
        <w:tc>
          <w:tcPr>
            <w:tcW w:w="1901" w:type="dxa"/>
          </w:tcPr>
          <w:p w14:paraId="7522ECE7" w14:textId="77777777" w:rsidR="00F86B10" w:rsidRDefault="00F86B10" w:rsidP="00D81A23">
            <w:pPr>
              <w:pStyle w:val="TableParagraph"/>
              <w:spacing w:before="2"/>
              <w:ind w:left="0" w:right="878"/>
              <w:jc w:val="center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28 days to 3 months</w:t>
            </w:r>
          </w:p>
        </w:tc>
        <w:tc>
          <w:tcPr>
            <w:tcW w:w="6888" w:type="dxa"/>
          </w:tcPr>
          <w:p w14:paraId="57E760CA" w14:textId="77777777" w:rsidR="00F86B10" w:rsidRDefault="00F86B10" w:rsidP="00D81A23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Then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recommendation.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kept up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recommendation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NHS Litigation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Authority</w:t>
            </w:r>
          </w:p>
        </w:tc>
      </w:tr>
    </w:tbl>
    <w:p w14:paraId="15745A3E" w14:textId="77777777" w:rsidR="00CA2A25" w:rsidRDefault="00CA2A25" w:rsidP="007C2467">
      <w:pPr>
        <w:pStyle w:val="BodyText"/>
        <w:spacing w:before="6" w:after="1"/>
        <w:rPr>
          <w:sz w:val="23"/>
        </w:rPr>
      </w:pPr>
    </w:p>
    <w:sectPr w:rsidR="00CA2A25">
      <w:footerReference w:type="default" r:id="rId11"/>
      <w:pgSz w:w="16840" w:h="11910" w:orient="landscape"/>
      <w:pgMar w:top="1100" w:right="400" w:bottom="860" w:left="9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9C33" w14:textId="77777777" w:rsidR="002350E0" w:rsidRDefault="002350E0">
      <w:r>
        <w:separator/>
      </w:r>
    </w:p>
  </w:endnote>
  <w:endnote w:type="continuationSeparator" w:id="0">
    <w:p w14:paraId="0478C32C" w14:textId="77777777" w:rsidR="002350E0" w:rsidRDefault="0023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749" w14:textId="5ECAA6A7" w:rsidR="001E673A" w:rsidRDefault="00F1437D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AAB74A" wp14:editId="0A7C54B7">
              <wp:simplePos x="0" y="0"/>
              <wp:positionH relativeFrom="page">
                <wp:posOffset>706755</wp:posOffset>
              </wp:positionH>
              <wp:positionV relativeFrom="page">
                <wp:posOffset>6946265</wp:posOffset>
              </wp:positionV>
              <wp:extent cx="4551045" cy="1784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0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AB74B" w14:textId="605F99B9" w:rsidR="001E673A" w:rsidRDefault="001E673A">
                          <w:pPr>
                            <w:spacing w:before="14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AB7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546.95pt;width:358.3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" filled="f" stroked="f">
              <v:textbox inset="0,0,0,0">
                <w:txbxContent>
                  <w:p w14:paraId="1BAAB74B" w14:textId="605F99B9" w:rsidR="001E673A" w:rsidRDefault="001E673A">
                    <w:pPr>
                      <w:spacing w:before="14"/>
                      <w:ind w:left="20"/>
                      <w:rPr>
                        <w:rFonts w:asci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604E" w14:textId="77777777" w:rsidR="002350E0" w:rsidRDefault="002350E0">
      <w:r>
        <w:separator/>
      </w:r>
    </w:p>
  </w:footnote>
  <w:footnote w:type="continuationSeparator" w:id="0">
    <w:p w14:paraId="00DE73B6" w14:textId="77777777" w:rsidR="002350E0" w:rsidRDefault="0023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3A"/>
    <w:rsid w:val="0001293E"/>
    <w:rsid w:val="00060902"/>
    <w:rsid w:val="000928D4"/>
    <w:rsid w:val="000E5305"/>
    <w:rsid w:val="00183888"/>
    <w:rsid w:val="001E673A"/>
    <w:rsid w:val="00200066"/>
    <w:rsid w:val="00225285"/>
    <w:rsid w:val="002350E0"/>
    <w:rsid w:val="002921F4"/>
    <w:rsid w:val="002B7A99"/>
    <w:rsid w:val="002D7456"/>
    <w:rsid w:val="0030219A"/>
    <w:rsid w:val="00340C95"/>
    <w:rsid w:val="00392190"/>
    <w:rsid w:val="003F6C3A"/>
    <w:rsid w:val="0041226D"/>
    <w:rsid w:val="00431E97"/>
    <w:rsid w:val="00467701"/>
    <w:rsid w:val="004B7739"/>
    <w:rsid w:val="004D5171"/>
    <w:rsid w:val="00501DB7"/>
    <w:rsid w:val="0054086F"/>
    <w:rsid w:val="00555670"/>
    <w:rsid w:val="00576753"/>
    <w:rsid w:val="005A1094"/>
    <w:rsid w:val="005D7209"/>
    <w:rsid w:val="005E46A4"/>
    <w:rsid w:val="006244C0"/>
    <w:rsid w:val="00656C66"/>
    <w:rsid w:val="00660015"/>
    <w:rsid w:val="006F2046"/>
    <w:rsid w:val="006F71C2"/>
    <w:rsid w:val="007074D2"/>
    <w:rsid w:val="00754378"/>
    <w:rsid w:val="00777590"/>
    <w:rsid w:val="007B174A"/>
    <w:rsid w:val="007C2467"/>
    <w:rsid w:val="00890CBD"/>
    <w:rsid w:val="008919D0"/>
    <w:rsid w:val="008B3BAF"/>
    <w:rsid w:val="008B76EF"/>
    <w:rsid w:val="008D4E1F"/>
    <w:rsid w:val="009902EC"/>
    <w:rsid w:val="00A62132"/>
    <w:rsid w:val="00AC5915"/>
    <w:rsid w:val="00AD0173"/>
    <w:rsid w:val="00AF194C"/>
    <w:rsid w:val="00BE1890"/>
    <w:rsid w:val="00C342E8"/>
    <w:rsid w:val="00C41718"/>
    <w:rsid w:val="00C90909"/>
    <w:rsid w:val="00CA2A25"/>
    <w:rsid w:val="00CA5E2E"/>
    <w:rsid w:val="00CC033B"/>
    <w:rsid w:val="00D81BD4"/>
    <w:rsid w:val="00D85A02"/>
    <w:rsid w:val="00D9179D"/>
    <w:rsid w:val="00E05B33"/>
    <w:rsid w:val="00E208F9"/>
    <w:rsid w:val="00E27EB4"/>
    <w:rsid w:val="00E46B98"/>
    <w:rsid w:val="00E473AA"/>
    <w:rsid w:val="00E834E4"/>
    <w:rsid w:val="00EA07E2"/>
    <w:rsid w:val="00F1437D"/>
    <w:rsid w:val="00F86B10"/>
    <w:rsid w:val="00FB640C"/>
    <w:rsid w:val="00FC04CE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AB644"/>
  <w15:docId w15:val="{B41FE431-7299-4381-A9FE-2F4D13D9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396" w:lineRule="exact"/>
      <w:ind w:left="21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71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C2"/>
    <w:rPr>
      <w:rFonts w:ascii="Palatino Linotype" w:eastAsia="Palatino Linotype" w:hAnsi="Palatino Linotype" w:cs="Palatino Linotyp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71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1C2"/>
    <w:rPr>
      <w:rFonts w:ascii="Palatino Linotype" w:eastAsia="Palatino Linotype" w:hAnsi="Palatino Linotype" w:cs="Palatino Linotype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24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archives.gov.uk/information-management/manage-information/policy-process/disposal/advice-on-reten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hsx.nhs.uk/media/documents/NHSX_Records_Management_CoP_V7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nationalarchives.gov.uk/information-management/manage-information/policy-process/disposal/advice-on-reten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hsx.nhs.uk/media/documents/NHSX_Records_Management_CoP_V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Beccles Medical Centre Protocol</dc:title>
  <dc:creator>Administrator</dc:creator>
  <cp:lastModifiedBy>HEADLEY, Adrian (BECCLES MEDICAL CENTRE)</cp:lastModifiedBy>
  <cp:revision>4</cp:revision>
  <cp:lastPrinted>2022-06-13T12:43:00Z</cp:lastPrinted>
  <dcterms:created xsi:type="dcterms:W3CDTF">2022-06-13T13:52:00Z</dcterms:created>
  <dcterms:modified xsi:type="dcterms:W3CDTF">2024-09-09T14:54:00Z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2022-06-13T00:00:00Z</vt:filetime>
  </property>
</Properties>
</file>