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9F11E" w14:textId="77777777" w:rsidR="000F4B31" w:rsidRDefault="6F5CB668" w:rsidP="6F5CB668">
      <w:pPr>
        <w:pStyle w:val="NoSpacing"/>
        <w:ind w:left="720" w:firstLine="720"/>
        <w:jc w:val="left"/>
      </w:pPr>
      <w:bookmarkStart w:id="0" w:name="_GoBack"/>
      <w:bookmarkEnd w:id="0"/>
      <w:r>
        <w:t>Information Governance Policy</w:t>
      </w:r>
    </w:p>
    <w:p w14:paraId="70D4117E" w14:textId="77777777" w:rsidR="00B94E5A" w:rsidRDefault="00B94E5A" w:rsidP="00B94E5A"/>
    <w:tbl>
      <w:tblPr>
        <w:tblStyle w:val="GridTable4-Accent5"/>
        <w:tblW w:w="0" w:type="auto"/>
        <w:tblLook w:val="04A0" w:firstRow="1" w:lastRow="0" w:firstColumn="1" w:lastColumn="0" w:noHBand="0" w:noVBand="1"/>
      </w:tblPr>
      <w:tblGrid>
        <w:gridCol w:w="3005"/>
        <w:gridCol w:w="3005"/>
        <w:gridCol w:w="3006"/>
      </w:tblGrid>
      <w:tr w:rsidR="00B94E5A" w14:paraId="5D5FF296" w14:textId="77777777" w:rsidTr="00B94E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2B009E2" w14:textId="77777777" w:rsidR="00B94E5A" w:rsidRDefault="00B94E5A" w:rsidP="00B94E5A">
            <w:r>
              <w:t>Policy Title / Reference</w:t>
            </w:r>
          </w:p>
        </w:tc>
        <w:tc>
          <w:tcPr>
            <w:tcW w:w="3005" w:type="dxa"/>
          </w:tcPr>
          <w:p w14:paraId="0677E75D" w14:textId="77777777" w:rsidR="00B94E5A" w:rsidRDefault="00B94E5A" w:rsidP="00B94E5A">
            <w:pPr>
              <w:cnfStyle w:val="100000000000" w:firstRow="1" w:lastRow="0" w:firstColumn="0" w:lastColumn="0" w:oddVBand="0" w:evenVBand="0" w:oddHBand="0" w:evenHBand="0" w:firstRowFirstColumn="0" w:firstRowLastColumn="0" w:lastRowFirstColumn="0" w:lastRowLastColumn="0"/>
            </w:pPr>
            <w:r>
              <w:t>Author</w:t>
            </w:r>
          </w:p>
        </w:tc>
        <w:tc>
          <w:tcPr>
            <w:tcW w:w="3006" w:type="dxa"/>
          </w:tcPr>
          <w:p w14:paraId="40F3A078" w14:textId="77777777" w:rsidR="00B94E5A" w:rsidRDefault="00B94E5A" w:rsidP="00B94E5A">
            <w:pPr>
              <w:cnfStyle w:val="100000000000" w:firstRow="1" w:lastRow="0" w:firstColumn="0" w:lastColumn="0" w:oddVBand="0" w:evenVBand="0" w:oddHBand="0" w:evenHBand="0" w:firstRowFirstColumn="0" w:firstRowLastColumn="0" w:lastRowFirstColumn="0" w:lastRowLastColumn="0"/>
            </w:pPr>
            <w:r>
              <w:t>Owner</w:t>
            </w:r>
          </w:p>
        </w:tc>
      </w:tr>
      <w:tr w:rsidR="00B94E5A" w14:paraId="48EB5F4C" w14:textId="77777777" w:rsidTr="00B94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4EA39E9" w14:textId="77777777" w:rsidR="00B94E5A" w:rsidRPr="00B94E5A" w:rsidRDefault="00B94E5A" w:rsidP="00B94E5A">
            <w:pPr>
              <w:rPr>
                <w:b w:val="0"/>
              </w:rPr>
            </w:pPr>
            <w:r w:rsidRPr="00B94E5A">
              <w:rPr>
                <w:b w:val="0"/>
              </w:rPr>
              <w:t>Information Governance Policy</w:t>
            </w:r>
          </w:p>
        </w:tc>
        <w:tc>
          <w:tcPr>
            <w:tcW w:w="3005" w:type="dxa"/>
          </w:tcPr>
          <w:p w14:paraId="68BC7C2E" w14:textId="6CA4E897" w:rsidR="00B94E5A" w:rsidRDefault="00B94E5A" w:rsidP="00B94E5A">
            <w:pPr>
              <w:cnfStyle w:val="000000100000" w:firstRow="0" w:lastRow="0" w:firstColumn="0" w:lastColumn="0" w:oddVBand="0" w:evenVBand="0" w:oddHBand="1" w:evenHBand="0" w:firstRowFirstColumn="0" w:firstRowLastColumn="0" w:lastRowFirstColumn="0" w:lastRowLastColumn="0"/>
            </w:pPr>
            <w:r>
              <w:t xml:space="preserve">Emma Cooper, </w:t>
            </w:r>
            <w:r w:rsidR="00393B98">
              <w:t>Cluster DPO (Kafico)</w:t>
            </w:r>
          </w:p>
        </w:tc>
        <w:tc>
          <w:tcPr>
            <w:tcW w:w="3006" w:type="dxa"/>
          </w:tcPr>
          <w:p w14:paraId="21F4D711" w14:textId="0B02052F" w:rsidR="00B94E5A" w:rsidRDefault="00393B98" w:rsidP="00B94E5A">
            <w:pPr>
              <w:cnfStyle w:val="000000100000" w:firstRow="0" w:lastRow="0" w:firstColumn="0" w:lastColumn="0" w:oddVBand="0" w:evenVBand="0" w:oddHBand="1" w:evenHBand="0" w:firstRowFirstColumn="0" w:firstRowLastColumn="0" w:lastRowFirstColumn="0" w:lastRowLastColumn="0"/>
            </w:pPr>
            <w:r>
              <w:t>Practice Manager</w:t>
            </w:r>
          </w:p>
        </w:tc>
      </w:tr>
    </w:tbl>
    <w:p w14:paraId="08B3C253" w14:textId="77777777" w:rsidR="00B94E5A" w:rsidRDefault="00B94E5A" w:rsidP="00B94E5A"/>
    <w:tbl>
      <w:tblPr>
        <w:tblStyle w:val="GridTable4-Accent5"/>
        <w:tblW w:w="9016" w:type="dxa"/>
        <w:tblLook w:val="04A0" w:firstRow="1" w:lastRow="0" w:firstColumn="1" w:lastColumn="0" w:noHBand="0" w:noVBand="1"/>
      </w:tblPr>
      <w:tblGrid>
        <w:gridCol w:w="1035"/>
        <w:gridCol w:w="2190"/>
        <w:gridCol w:w="5791"/>
      </w:tblGrid>
      <w:tr w:rsidR="00B94E5A" w14:paraId="431D79A0" w14:textId="77777777" w:rsidTr="2AF3C6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 w:type="dxa"/>
          </w:tcPr>
          <w:p w14:paraId="7332AA37" w14:textId="77777777" w:rsidR="00B94E5A" w:rsidRDefault="00B94E5A" w:rsidP="00B94E5A">
            <w:r>
              <w:t>Version</w:t>
            </w:r>
          </w:p>
        </w:tc>
        <w:tc>
          <w:tcPr>
            <w:tcW w:w="2190" w:type="dxa"/>
          </w:tcPr>
          <w:p w14:paraId="79B8E56E" w14:textId="77777777" w:rsidR="00B94E5A" w:rsidRDefault="00B94E5A" w:rsidP="00B94E5A">
            <w:pPr>
              <w:cnfStyle w:val="100000000000" w:firstRow="1" w:lastRow="0" w:firstColumn="0" w:lastColumn="0" w:oddVBand="0" w:evenVBand="0" w:oddHBand="0" w:evenHBand="0" w:firstRowFirstColumn="0" w:firstRowLastColumn="0" w:lastRowFirstColumn="0" w:lastRowLastColumn="0"/>
            </w:pPr>
            <w:r>
              <w:t>Revision author</w:t>
            </w:r>
          </w:p>
        </w:tc>
        <w:tc>
          <w:tcPr>
            <w:tcW w:w="5791" w:type="dxa"/>
          </w:tcPr>
          <w:p w14:paraId="4546AB11" w14:textId="77777777" w:rsidR="00B94E5A" w:rsidRDefault="00B94E5A" w:rsidP="00B94E5A">
            <w:pPr>
              <w:cnfStyle w:val="100000000000" w:firstRow="1" w:lastRow="0" w:firstColumn="0" w:lastColumn="0" w:oddVBand="0" w:evenVBand="0" w:oddHBand="0" w:evenHBand="0" w:firstRowFirstColumn="0" w:firstRowLastColumn="0" w:lastRowFirstColumn="0" w:lastRowLastColumn="0"/>
            </w:pPr>
            <w:r>
              <w:t>Version comments</w:t>
            </w:r>
          </w:p>
        </w:tc>
      </w:tr>
      <w:tr w:rsidR="00B94E5A" w14:paraId="5EF2A2E0" w14:textId="77777777" w:rsidTr="2AF3C6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 w:type="dxa"/>
          </w:tcPr>
          <w:p w14:paraId="5CCFCFC8" w14:textId="77777777" w:rsidR="00B94E5A" w:rsidRPr="00B94E5A" w:rsidRDefault="2AF3C61D" w:rsidP="2AF3C61D">
            <w:pPr>
              <w:rPr>
                <w:b w:val="0"/>
                <w:bCs w:val="0"/>
                <w:sz w:val="18"/>
                <w:szCs w:val="18"/>
              </w:rPr>
            </w:pPr>
            <w:r w:rsidRPr="2AF3C61D">
              <w:rPr>
                <w:b w:val="0"/>
                <w:bCs w:val="0"/>
                <w:sz w:val="18"/>
                <w:szCs w:val="18"/>
              </w:rPr>
              <w:t>1</w:t>
            </w:r>
          </w:p>
        </w:tc>
        <w:tc>
          <w:tcPr>
            <w:tcW w:w="2190" w:type="dxa"/>
          </w:tcPr>
          <w:p w14:paraId="2B6311A3" w14:textId="747868FA" w:rsidR="00B94E5A" w:rsidRDefault="2AF3C61D" w:rsidP="2AF3C61D">
            <w:pPr>
              <w:cnfStyle w:val="000000100000" w:firstRow="0" w:lastRow="0" w:firstColumn="0" w:lastColumn="0" w:oddVBand="0" w:evenVBand="0" w:oddHBand="1" w:evenHBand="0" w:firstRowFirstColumn="0" w:firstRowLastColumn="0" w:lastRowFirstColumn="0" w:lastRowLastColumn="0"/>
              <w:rPr>
                <w:sz w:val="18"/>
                <w:szCs w:val="18"/>
              </w:rPr>
            </w:pPr>
            <w:r w:rsidRPr="2AF3C61D">
              <w:rPr>
                <w:sz w:val="18"/>
                <w:szCs w:val="18"/>
              </w:rPr>
              <w:t>Emma Cooper, Kafico Ltd - DPO</w:t>
            </w:r>
          </w:p>
        </w:tc>
        <w:tc>
          <w:tcPr>
            <w:tcW w:w="5791" w:type="dxa"/>
          </w:tcPr>
          <w:p w14:paraId="12A855DC" w14:textId="44FFA29B" w:rsidR="00B94E5A" w:rsidRDefault="2AF3C61D" w:rsidP="2AF3C61D">
            <w:pPr>
              <w:cnfStyle w:val="000000100000" w:firstRow="0" w:lastRow="0" w:firstColumn="0" w:lastColumn="0" w:oddVBand="0" w:evenVBand="0" w:oddHBand="1" w:evenHBand="0" w:firstRowFirstColumn="0" w:firstRowLastColumn="0" w:lastRowFirstColumn="0" w:lastRowLastColumn="0"/>
              <w:rPr>
                <w:sz w:val="18"/>
                <w:szCs w:val="18"/>
              </w:rPr>
            </w:pPr>
            <w:r w:rsidRPr="2AF3C61D">
              <w:rPr>
                <w:sz w:val="18"/>
                <w:szCs w:val="18"/>
              </w:rPr>
              <w:t>Jan 18 New Draft</w:t>
            </w:r>
          </w:p>
        </w:tc>
      </w:tr>
      <w:tr w:rsidR="00B94E5A" w14:paraId="4F125AAB" w14:textId="77777777" w:rsidTr="2AF3C61D">
        <w:tc>
          <w:tcPr>
            <w:cnfStyle w:val="001000000000" w:firstRow="0" w:lastRow="0" w:firstColumn="1" w:lastColumn="0" w:oddVBand="0" w:evenVBand="0" w:oddHBand="0" w:evenHBand="0" w:firstRowFirstColumn="0" w:firstRowLastColumn="0" w:lastRowFirstColumn="0" w:lastRowLastColumn="0"/>
            <w:tcW w:w="1035" w:type="dxa"/>
          </w:tcPr>
          <w:p w14:paraId="1D5F4FEE" w14:textId="185552C6" w:rsidR="00B94E5A" w:rsidRDefault="2AF3C61D" w:rsidP="2AF3C61D">
            <w:pPr>
              <w:rPr>
                <w:sz w:val="18"/>
                <w:szCs w:val="18"/>
              </w:rPr>
            </w:pPr>
            <w:r w:rsidRPr="2AF3C61D">
              <w:rPr>
                <w:sz w:val="18"/>
                <w:szCs w:val="18"/>
              </w:rPr>
              <w:t>1.1</w:t>
            </w:r>
          </w:p>
        </w:tc>
        <w:tc>
          <w:tcPr>
            <w:tcW w:w="2190" w:type="dxa"/>
          </w:tcPr>
          <w:p w14:paraId="4E61AA0B" w14:textId="747868FA" w:rsidR="00B94E5A" w:rsidRDefault="2AF3C61D" w:rsidP="2AF3C61D">
            <w:pPr>
              <w:cnfStyle w:val="000000000000" w:firstRow="0" w:lastRow="0" w:firstColumn="0" w:lastColumn="0" w:oddVBand="0" w:evenVBand="0" w:oddHBand="0" w:evenHBand="0" w:firstRowFirstColumn="0" w:firstRowLastColumn="0" w:lastRowFirstColumn="0" w:lastRowLastColumn="0"/>
              <w:rPr>
                <w:sz w:val="18"/>
                <w:szCs w:val="18"/>
              </w:rPr>
            </w:pPr>
            <w:r w:rsidRPr="2AF3C61D">
              <w:rPr>
                <w:sz w:val="18"/>
                <w:szCs w:val="18"/>
              </w:rPr>
              <w:t>Emma Cooper, Kafico Ltd - DPO</w:t>
            </w:r>
          </w:p>
          <w:p w14:paraId="6C8A2E28" w14:textId="1F0C4AF2" w:rsidR="00B94E5A" w:rsidRDefault="00B94E5A" w:rsidP="2AF3C61D">
            <w:pPr>
              <w:cnfStyle w:val="000000000000" w:firstRow="0" w:lastRow="0" w:firstColumn="0" w:lastColumn="0" w:oddVBand="0" w:evenVBand="0" w:oddHBand="0" w:evenHBand="0" w:firstRowFirstColumn="0" w:firstRowLastColumn="0" w:lastRowFirstColumn="0" w:lastRowLastColumn="0"/>
              <w:rPr>
                <w:sz w:val="18"/>
                <w:szCs w:val="18"/>
              </w:rPr>
            </w:pPr>
          </w:p>
        </w:tc>
        <w:tc>
          <w:tcPr>
            <w:tcW w:w="5791" w:type="dxa"/>
          </w:tcPr>
          <w:p w14:paraId="0C19A66D" w14:textId="0A17CB26" w:rsidR="00B94E5A" w:rsidRDefault="2AF3C61D" w:rsidP="2AF3C61D">
            <w:pPr>
              <w:cnfStyle w:val="000000000000" w:firstRow="0" w:lastRow="0" w:firstColumn="0" w:lastColumn="0" w:oddVBand="0" w:evenVBand="0" w:oddHBand="0" w:evenHBand="0" w:firstRowFirstColumn="0" w:firstRowLastColumn="0" w:lastRowFirstColumn="0" w:lastRowLastColumn="0"/>
              <w:rPr>
                <w:sz w:val="18"/>
                <w:szCs w:val="18"/>
              </w:rPr>
            </w:pPr>
            <w:r w:rsidRPr="2AF3C61D">
              <w:rPr>
                <w:sz w:val="18"/>
                <w:szCs w:val="18"/>
              </w:rPr>
              <w:t>Jan 19 Jan 2019 Replaced 1998 DPA with 2018 Act. Replaced GDPR with “data protection legislation”.</w:t>
            </w:r>
          </w:p>
        </w:tc>
      </w:tr>
      <w:tr w:rsidR="6F5CB668" w14:paraId="78F6ED2D" w14:textId="77777777" w:rsidTr="2AF3C6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 w:type="dxa"/>
          </w:tcPr>
          <w:p w14:paraId="496B6751" w14:textId="473E0306" w:rsidR="6F5CB668" w:rsidRDefault="2AF3C61D" w:rsidP="2AF3C61D">
            <w:pPr>
              <w:rPr>
                <w:sz w:val="18"/>
                <w:szCs w:val="18"/>
              </w:rPr>
            </w:pPr>
            <w:r w:rsidRPr="2AF3C61D">
              <w:rPr>
                <w:sz w:val="18"/>
                <w:szCs w:val="18"/>
              </w:rPr>
              <w:t>1.1</w:t>
            </w:r>
          </w:p>
        </w:tc>
        <w:tc>
          <w:tcPr>
            <w:tcW w:w="2190" w:type="dxa"/>
          </w:tcPr>
          <w:p w14:paraId="2337D624" w14:textId="747868FA" w:rsidR="2AF3C61D" w:rsidRDefault="2AF3C61D" w:rsidP="2AF3C61D">
            <w:pPr>
              <w:cnfStyle w:val="000000100000" w:firstRow="0" w:lastRow="0" w:firstColumn="0" w:lastColumn="0" w:oddVBand="0" w:evenVBand="0" w:oddHBand="1" w:evenHBand="0" w:firstRowFirstColumn="0" w:firstRowLastColumn="0" w:lastRowFirstColumn="0" w:lastRowLastColumn="0"/>
              <w:rPr>
                <w:sz w:val="18"/>
                <w:szCs w:val="18"/>
              </w:rPr>
            </w:pPr>
            <w:r w:rsidRPr="2AF3C61D">
              <w:rPr>
                <w:sz w:val="18"/>
                <w:szCs w:val="18"/>
              </w:rPr>
              <w:t>Emma Cooper, Kafico Ltd - DPO</w:t>
            </w:r>
          </w:p>
          <w:p w14:paraId="22E45B8A" w14:textId="329DC40E" w:rsidR="2AF3C61D" w:rsidRDefault="2AF3C61D" w:rsidP="2AF3C61D">
            <w:pPr>
              <w:cnfStyle w:val="000000100000" w:firstRow="0" w:lastRow="0" w:firstColumn="0" w:lastColumn="0" w:oddVBand="0" w:evenVBand="0" w:oddHBand="1" w:evenHBand="0" w:firstRowFirstColumn="0" w:firstRowLastColumn="0" w:lastRowFirstColumn="0" w:lastRowLastColumn="0"/>
              <w:rPr>
                <w:sz w:val="18"/>
                <w:szCs w:val="18"/>
              </w:rPr>
            </w:pPr>
          </w:p>
          <w:p w14:paraId="70CF1B0F" w14:textId="667FF2CB" w:rsidR="6F5CB668" w:rsidRDefault="6F5CB668" w:rsidP="2AF3C61D">
            <w:pPr>
              <w:cnfStyle w:val="000000100000" w:firstRow="0" w:lastRow="0" w:firstColumn="0" w:lastColumn="0" w:oddVBand="0" w:evenVBand="0" w:oddHBand="1" w:evenHBand="0" w:firstRowFirstColumn="0" w:firstRowLastColumn="0" w:lastRowFirstColumn="0" w:lastRowLastColumn="0"/>
              <w:rPr>
                <w:sz w:val="18"/>
                <w:szCs w:val="18"/>
              </w:rPr>
            </w:pPr>
          </w:p>
        </w:tc>
        <w:tc>
          <w:tcPr>
            <w:tcW w:w="5791" w:type="dxa"/>
          </w:tcPr>
          <w:p w14:paraId="4CB4B952" w14:textId="08BB725E" w:rsidR="6F5CB668" w:rsidRDefault="2AF3C61D" w:rsidP="2AF3C61D">
            <w:pPr>
              <w:cnfStyle w:val="000000100000" w:firstRow="0" w:lastRow="0" w:firstColumn="0" w:lastColumn="0" w:oddVBand="0" w:evenVBand="0" w:oddHBand="1" w:evenHBand="0" w:firstRowFirstColumn="0" w:firstRowLastColumn="0" w:lastRowFirstColumn="0" w:lastRowLastColumn="0"/>
              <w:rPr>
                <w:sz w:val="18"/>
                <w:szCs w:val="18"/>
              </w:rPr>
            </w:pPr>
            <w:r w:rsidRPr="2AF3C61D">
              <w:rPr>
                <w:sz w:val="18"/>
                <w:szCs w:val="18"/>
              </w:rPr>
              <w:t>Jan / Feb 20 – Annual review – no amendments</w:t>
            </w:r>
          </w:p>
        </w:tc>
      </w:tr>
      <w:tr w:rsidR="00C364F5" w14:paraId="2F70834F" w14:textId="77777777" w:rsidTr="2AF3C61D">
        <w:tc>
          <w:tcPr>
            <w:cnfStyle w:val="001000000000" w:firstRow="0" w:lastRow="0" w:firstColumn="1" w:lastColumn="0" w:oddVBand="0" w:evenVBand="0" w:oddHBand="0" w:evenHBand="0" w:firstRowFirstColumn="0" w:firstRowLastColumn="0" w:lastRowFirstColumn="0" w:lastRowLastColumn="0"/>
            <w:tcW w:w="1035" w:type="dxa"/>
          </w:tcPr>
          <w:p w14:paraId="58FC421B" w14:textId="60DFC0A5" w:rsidR="00C364F5" w:rsidRPr="2AF3C61D" w:rsidRDefault="00C364F5" w:rsidP="2AF3C61D">
            <w:pPr>
              <w:rPr>
                <w:sz w:val="18"/>
                <w:szCs w:val="18"/>
              </w:rPr>
            </w:pPr>
            <w:r>
              <w:rPr>
                <w:sz w:val="18"/>
                <w:szCs w:val="18"/>
              </w:rPr>
              <w:t>1.2</w:t>
            </w:r>
          </w:p>
        </w:tc>
        <w:tc>
          <w:tcPr>
            <w:tcW w:w="2190" w:type="dxa"/>
          </w:tcPr>
          <w:p w14:paraId="531EAD7C" w14:textId="77777777" w:rsidR="00C364F5" w:rsidRDefault="00C364F5" w:rsidP="00C364F5">
            <w:pPr>
              <w:cnfStyle w:val="000000000000" w:firstRow="0" w:lastRow="0" w:firstColumn="0" w:lastColumn="0" w:oddVBand="0" w:evenVBand="0" w:oddHBand="0" w:evenHBand="0" w:firstRowFirstColumn="0" w:firstRowLastColumn="0" w:lastRowFirstColumn="0" w:lastRowLastColumn="0"/>
              <w:rPr>
                <w:sz w:val="18"/>
                <w:szCs w:val="18"/>
              </w:rPr>
            </w:pPr>
            <w:r w:rsidRPr="2AF3C61D">
              <w:rPr>
                <w:sz w:val="18"/>
                <w:szCs w:val="18"/>
              </w:rPr>
              <w:t>Emma Cooper, Kafico Ltd - DPO</w:t>
            </w:r>
          </w:p>
          <w:p w14:paraId="6080E87D" w14:textId="77777777" w:rsidR="00C364F5" w:rsidRPr="2AF3C61D" w:rsidRDefault="00C364F5" w:rsidP="2AF3C61D">
            <w:pPr>
              <w:cnfStyle w:val="000000000000" w:firstRow="0" w:lastRow="0" w:firstColumn="0" w:lastColumn="0" w:oddVBand="0" w:evenVBand="0" w:oddHBand="0" w:evenHBand="0" w:firstRowFirstColumn="0" w:firstRowLastColumn="0" w:lastRowFirstColumn="0" w:lastRowLastColumn="0"/>
              <w:rPr>
                <w:sz w:val="18"/>
                <w:szCs w:val="18"/>
              </w:rPr>
            </w:pPr>
          </w:p>
        </w:tc>
        <w:tc>
          <w:tcPr>
            <w:tcW w:w="5791" w:type="dxa"/>
          </w:tcPr>
          <w:p w14:paraId="4C63E5B7" w14:textId="3BFED230" w:rsidR="00C364F5" w:rsidRPr="2AF3C61D" w:rsidRDefault="00C364F5" w:rsidP="2AF3C61D">
            <w:pPr>
              <w:cnfStyle w:val="000000000000" w:firstRow="0" w:lastRow="0" w:firstColumn="0" w:lastColumn="0" w:oddVBand="0" w:evenVBand="0" w:oddHBand="0" w:evenHBand="0" w:firstRowFirstColumn="0" w:firstRowLastColumn="0" w:lastRowFirstColumn="0" w:lastRowLastColumn="0"/>
              <w:rPr>
                <w:sz w:val="18"/>
                <w:szCs w:val="18"/>
              </w:rPr>
            </w:pPr>
            <w:r w:rsidRPr="00C364F5">
              <w:rPr>
                <w:sz w:val="18"/>
                <w:szCs w:val="18"/>
              </w:rPr>
              <w:t>Feb 21 – Added UK GDPR under Statutory Mandatory Framework to recognise post Brexit transition period</w:t>
            </w:r>
          </w:p>
        </w:tc>
      </w:tr>
    </w:tbl>
    <w:p w14:paraId="0E2D3F5F" w14:textId="18424391" w:rsidR="00B94E5A" w:rsidRDefault="00B94E5A" w:rsidP="00B94E5A"/>
    <w:sdt>
      <w:sdtPr>
        <w:rPr>
          <w:rFonts w:ascii="Arial Nova Light" w:eastAsiaTheme="minorHAnsi" w:hAnsi="Arial Nova Light" w:cstheme="minorBidi"/>
          <w:color w:val="auto"/>
          <w:sz w:val="22"/>
          <w:szCs w:val="22"/>
          <w:lang w:val="en-GB"/>
        </w:rPr>
        <w:id w:val="194978940"/>
        <w:docPartObj>
          <w:docPartGallery w:val="Table of Contents"/>
          <w:docPartUnique/>
        </w:docPartObj>
      </w:sdtPr>
      <w:sdtEndPr>
        <w:rPr>
          <w:b/>
          <w:bCs/>
          <w:noProof/>
        </w:rPr>
      </w:sdtEndPr>
      <w:sdtContent>
        <w:p w14:paraId="4490B1AF" w14:textId="23120829" w:rsidR="00F03257" w:rsidRDefault="00F03257">
          <w:pPr>
            <w:pStyle w:val="TOCHeading"/>
          </w:pPr>
          <w:r>
            <w:t>Contents</w:t>
          </w:r>
        </w:p>
        <w:p w14:paraId="72ED9641" w14:textId="7F3F950E" w:rsidR="00723456" w:rsidRDefault="00F03257">
          <w:pPr>
            <w:pStyle w:val="TOC1"/>
            <w:tabs>
              <w:tab w:val="left" w:pos="440"/>
              <w:tab w:val="right" w:leader="dot" w:pos="9016"/>
            </w:tabs>
            <w:rPr>
              <w:rFonts w:asciiTheme="minorHAnsi" w:eastAsiaTheme="minorEastAsia" w:hAnsiTheme="minorHAnsi"/>
              <w:noProof/>
              <w:lang w:eastAsia="en-GB"/>
            </w:rPr>
          </w:pPr>
          <w:r>
            <w:fldChar w:fldCharType="begin"/>
          </w:r>
          <w:r>
            <w:instrText xml:space="preserve"> TOC \o "1-3" \h \z \u </w:instrText>
          </w:r>
          <w:r>
            <w:fldChar w:fldCharType="separate"/>
          </w:r>
          <w:hyperlink w:anchor="_Toc6743472" w:history="1">
            <w:r w:rsidR="00723456" w:rsidRPr="00B045A6">
              <w:rPr>
                <w:rStyle w:val="Hyperlink"/>
                <w:noProof/>
              </w:rPr>
              <w:t>2.</w:t>
            </w:r>
            <w:r w:rsidR="00723456">
              <w:rPr>
                <w:rFonts w:asciiTheme="minorHAnsi" w:eastAsiaTheme="minorEastAsia" w:hAnsiTheme="minorHAnsi"/>
                <w:noProof/>
                <w:lang w:eastAsia="en-GB"/>
              </w:rPr>
              <w:tab/>
            </w:r>
            <w:r w:rsidR="00723456" w:rsidRPr="00B045A6">
              <w:rPr>
                <w:rStyle w:val="Hyperlink"/>
                <w:noProof/>
              </w:rPr>
              <w:t>Scope</w:t>
            </w:r>
            <w:r w:rsidR="00723456">
              <w:rPr>
                <w:noProof/>
                <w:webHidden/>
              </w:rPr>
              <w:tab/>
            </w:r>
            <w:r w:rsidR="00723456">
              <w:rPr>
                <w:noProof/>
                <w:webHidden/>
              </w:rPr>
              <w:fldChar w:fldCharType="begin"/>
            </w:r>
            <w:r w:rsidR="00723456">
              <w:rPr>
                <w:noProof/>
                <w:webHidden/>
              </w:rPr>
              <w:instrText xml:space="preserve"> PAGEREF _Toc6743472 \h </w:instrText>
            </w:r>
            <w:r w:rsidR="00723456">
              <w:rPr>
                <w:noProof/>
                <w:webHidden/>
              </w:rPr>
            </w:r>
            <w:r w:rsidR="00723456">
              <w:rPr>
                <w:noProof/>
                <w:webHidden/>
              </w:rPr>
              <w:fldChar w:fldCharType="separate"/>
            </w:r>
            <w:r w:rsidR="00723456">
              <w:rPr>
                <w:noProof/>
                <w:webHidden/>
              </w:rPr>
              <w:t>2</w:t>
            </w:r>
            <w:r w:rsidR="00723456">
              <w:rPr>
                <w:noProof/>
                <w:webHidden/>
              </w:rPr>
              <w:fldChar w:fldCharType="end"/>
            </w:r>
          </w:hyperlink>
        </w:p>
        <w:p w14:paraId="1FAA2411" w14:textId="70E4D091" w:rsidR="00723456" w:rsidRDefault="00903C75">
          <w:pPr>
            <w:pStyle w:val="TOC1"/>
            <w:tabs>
              <w:tab w:val="left" w:pos="440"/>
              <w:tab w:val="right" w:leader="dot" w:pos="9016"/>
            </w:tabs>
            <w:rPr>
              <w:rFonts w:asciiTheme="minorHAnsi" w:eastAsiaTheme="minorEastAsia" w:hAnsiTheme="minorHAnsi"/>
              <w:noProof/>
              <w:lang w:eastAsia="en-GB"/>
            </w:rPr>
          </w:pPr>
          <w:hyperlink w:anchor="_Toc6743473" w:history="1">
            <w:r w:rsidR="00723456" w:rsidRPr="00B045A6">
              <w:rPr>
                <w:rStyle w:val="Hyperlink"/>
                <w:noProof/>
              </w:rPr>
              <w:t>3.</w:t>
            </w:r>
            <w:r w:rsidR="00723456">
              <w:rPr>
                <w:rFonts w:asciiTheme="minorHAnsi" w:eastAsiaTheme="minorEastAsia" w:hAnsiTheme="minorHAnsi"/>
                <w:noProof/>
                <w:lang w:eastAsia="en-GB"/>
              </w:rPr>
              <w:tab/>
            </w:r>
            <w:r w:rsidR="00723456" w:rsidRPr="00B045A6">
              <w:rPr>
                <w:rStyle w:val="Hyperlink"/>
                <w:noProof/>
              </w:rPr>
              <w:t>Introduction</w:t>
            </w:r>
            <w:r w:rsidR="00723456">
              <w:rPr>
                <w:noProof/>
                <w:webHidden/>
              </w:rPr>
              <w:tab/>
            </w:r>
            <w:r w:rsidR="00723456">
              <w:rPr>
                <w:noProof/>
                <w:webHidden/>
              </w:rPr>
              <w:fldChar w:fldCharType="begin"/>
            </w:r>
            <w:r w:rsidR="00723456">
              <w:rPr>
                <w:noProof/>
                <w:webHidden/>
              </w:rPr>
              <w:instrText xml:space="preserve"> PAGEREF _Toc6743473 \h </w:instrText>
            </w:r>
            <w:r w:rsidR="00723456">
              <w:rPr>
                <w:noProof/>
                <w:webHidden/>
              </w:rPr>
            </w:r>
            <w:r w:rsidR="00723456">
              <w:rPr>
                <w:noProof/>
                <w:webHidden/>
              </w:rPr>
              <w:fldChar w:fldCharType="separate"/>
            </w:r>
            <w:r w:rsidR="00723456">
              <w:rPr>
                <w:noProof/>
                <w:webHidden/>
              </w:rPr>
              <w:t>2</w:t>
            </w:r>
            <w:r w:rsidR="00723456">
              <w:rPr>
                <w:noProof/>
                <w:webHidden/>
              </w:rPr>
              <w:fldChar w:fldCharType="end"/>
            </w:r>
          </w:hyperlink>
        </w:p>
        <w:p w14:paraId="5D365BBE" w14:textId="2732C9C9" w:rsidR="00723456" w:rsidRDefault="00903C75">
          <w:pPr>
            <w:pStyle w:val="TOC1"/>
            <w:tabs>
              <w:tab w:val="left" w:pos="440"/>
              <w:tab w:val="right" w:leader="dot" w:pos="9016"/>
            </w:tabs>
            <w:rPr>
              <w:rFonts w:asciiTheme="minorHAnsi" w:eastAsiaTheme="minorEastAsia" w:hAnsiTheme="minorHAnsi"/>
              <w:noProof/>
              <w:lang w:eastAsia="en-GB"/>
            </w:rPr>
          </w:pPr>
          <w:hyperlink w:anchor="_Toc6743474" w:history="1">
            <w:r w:rsidR="00723456" w:rsidRPr="00B045A6">
              <w:rPr>
                <w:rStyle w:val="Hyperlink"/>
                <w:noProof/>
              </w:rPr>
              <w:t>4.</w:t>
            </w:r>
            <w:r w:rsidR="00723456">
              <w:rPr>
                <w:rFonts w:asciiTheme="minorHAnsi" w:eastAsiaTheme="minorEastAsia" w:hAnsiTheme="minorHAnsi"/>
                <w:noProof/>
                <w:lang w:eastAsia="en-GB"/>
              </w:rPr>
              <w:tab/>
            </w:r>
            <w:r w:rsidR="00723456" w:rsidRPr="00B045A6">
              <w:rPr>
                <w:rStyle w:val="Hyperlink"/>
                <w:noProof/>
              </w:rPr>
              <w:t>Statutory Mandatory Framework</w:t>
            </w:r>
            <w:r w:rsidR="00723456">
              <w:rPr>
                <w:noProof/>
                <w:webHidden/>
              </w:rPr>
              <w:tab/>
            </w:r>
            <w:r w:rsidR="00723456">
              <w:rPr>
                <w:noProof/>
                <w:webHidden/>
              </w:rPr>
              <w:fldChar w:fldCharType="begin"/>
            </w:r>
            <w:r w:rsidR="00723456">
              <w:rPr>
                <w:noProof/>
                <w:webHidden/>
              </w:rPr>
              <w:instrText xml:space="preserve"> PAGEREF _Toc6743474 \h </w:instrText>
            </w:r>
            <w:r w:rsidR="00723456">
              <w:rPr>
                <w:noProof/>
                <w:webHidden/>
              </w:rPr>
            </w:r>
            <w:r w:rsidR="00723456">
              <w:rPr>
                <w:noProof/>
                <w:webHidden/>
              </w:rPr>
              <w:fldChar w:fldCharType="separate"/>
            </w:r>
            <w:r w:rsidR="00723456">
              <w:rPr>
                <w:noProof/>
                <w:webHidden/>
              </w:rPr>
              <w:t>3</w:t>
            </w:r>
            <w:r w:rsidR="00723456">
              <w:rPr>
                <w:noProof/>
                <w:webHidden/>
              </w:rPr>
              <w:fldChar w:fldCharType="end"/>
            </w:r>
          </w:hyperlink>
        </w:p>
        <w:p w14:paraId="096A7160" w14:textId="4B6437B4" w:rsidR="00723456" w:rsidRDefault="00903C75">
          <w:pPr>
            <w:pStyle w:val="TOC1"/>
            <w:tabs>
              <w:tab w:val="left" w:pos="440"/>
              <w:tab w:val="right" w:leader="dot" w:pos="9016"/>
            </w:tabs>
            <w:rPr>
              <w:rFonts w:asciiTheme="minorHAnsi" w:eastAsiaTheme="minorEastAsia" w:hAnsiTheme="minorHAnsi"/>
              <w:noProof/>
              <w:lang w:eastAsia="en-GB"/>
            </w:rPr>
          </w:pPr>
          <w:hyperlink w:anchor="_Toc6743475" w:history="1">
            <w:r w:rsidR="00723456" w:rsidRPr="00B045A6">
              <w:rPr>
                <w:rStyle w:val="Hyperlink"/>
                <w:noProof/>
              </w:rPr>
              <w:t>5.</w:t>
            </w:r>
            <w:r w:rsidR="00723456">
              <w:rPr>
                <w:rFonts w:asciiTheme="minorHAnsi" w:eastAsiaTheme="minorEastAsia" w:hAnsiTheme="minorHAnsi"/>
                <w:noProof/>
                <w:lang w:eastAsia="en-GB"/>
              </w:rPr>
              <w:tab/>
            </w:r>
            <w:r w:rsidR="00723456" w:rsidRPr="00B045A6">
              <w:rPr>
                <w:rStyle w:val="Hyperlink"/>
                <w:noProof/>
              </w:rPr>
              <w:t>Accountable Parties</w:t>
            </w:r>
            <w:r w:rsidR="00723456">
              <w:rPr>
                <w:noProof/>
                <w:webHidden/>
              </w:rPr>
              <w:tab/>
            </w:r>
            <w:r w:rsidR="00723456">
              <w:rPr>
                <w:noProof/>
                <w:webHidden/>
              </w:rPr>
              <w:fldChar w:fldCharType="begin"/>
            </w:r>
            <w:r w:rsidR="00723456">
              <w:rPr>
                <w:noProof/>
                <w:webHidden/>
              </w:rPr>
              <w:instrText xml:space="preserve"> PAGEREF _Toc6743475 \h </w:instrText>
            </w:r>
            <w:r w:rsidR="00723456">
              <w:rPr>
                <w:noProof/>
                <w:webHidden/>
              </w:rPr>
            </w:r>
            <w:r w:rsidR="00723456">
              <w:rPr>
                <w:noProof/>
                <w:webHidden/>
              </w:rPr>
              <w:fldChar w:fldCharType="separate"/>
            </w:r>
            <w:r w:rsidR="00723456">
              <w:rPr>
                <w:noProof/>
                <w:webHidden/>
              </w:rPr>
              <w:t>4</w:t>
            </w:r>
            <w:r w:rsidR="00723456">
              <w:rPr>
                <w:noProof/>
                <w:webHidden/>
              </w:rPr>
              <w:fldChar w:fldCharType="end"/>
            </w:r>
          </w:hyperlink>
        </w:p>
        <w:p w14:paraId="538C3230" w14:textId="1B4CF7B5" w:rsidR="00723456" w:rsidRDefault="00903C75">
          <w:pPr>
            <w:pStyle w:val="TOC2"/>
            <w:tabs>
              <w:tab w:val="right" w:leader="dot" w:pos="9016"/>
            </w:tabs>
            <w:rPr>
              <w:rFonts w:asciiTheme="minorHAnsi" w:eastAsiaTheme="minorEastAsia" w:hAnsiTheme="minorHAnsi"/>
              <w:noProof/>
              <w:lang w:eastAsia="en-GB"/>
            </w:rPr>
          </w:pPr>
          <w:hyperlink w:anchor="_Toc6743476" w:history="1">
            <w:r w:rsidR="00723456" w:rsidRPr="00B045A6">
              <w:rPr>
                <w:rStyle w:val="Hyperlink"/>
                <w:noProof/>
              </w:rPr>
              <w:t>The Board</w:t>
            </w:r>
            <w:r w:rsidR="00723456">
              <w:rPr>
                <w:noProof/>
                <w:webHidden/>
              </w:rPr>
              <w:tab/>
            </w:r>
            <w:r w:rsidR="00723456">
              <w:rPr>
                <w:noProof/>
                <w:webHidden/>
              </w:rPr>
              <w:fldChar w:fldCharType="begin"/>
            </w:r>
            <w:r w:rsidR="00723456">
              <w:rPr>
                <w:noProof/>
                <w:webHidden/>
              </w:rPr>
              <w:instrText xml:space="preserve"> PAGEREF _Toc6743476 \h </w:instrText>
            </w:r>
            <w:r w:rsidR="00723456">
              <w:rPr>
                <w:noProof/>
                <w:webHidden/>
              </w:rPr>
            </w:r>
            <w:r w:rsidR="00723456">
              <w:rPr>
                <w:noProof/>
                <w:webHidden/>
              </w:rPr>
              <w:fldChar w:fldCharType="separate"/>
            </w:r>
            <w:r w:rsidR="00723456">
              <w:rPr>
                <w:noProof/>
                <w:webHidden/>
              </w:rPr>
              <w:t>4</w:t>
            </w:r>
            <w:r w:rsidR="00723456">
              <w:rPr>
                <w:noProof/>
                <w:webHidden/>
              </w:rPr>
              <w:fldChar w:fldCharType="end"/>
            </w:r>
          </w:hyperlink>
        </w:p>
        <w:p w14:paraId="446E2BC3" w14:textId="213912A8" w:rsidR="00723456" w:rsidRDefault="00903C75">
          <w:pPr>
            <w:pStyle w:val="TOC2"/>
            <w:tabs>
              <w:tab w:val="right" w:leader="dot" w:pos="9016"/>
            </w:tabs>
            <w:rPr>
              <w:rFonts w:asciiTheme="minorHAnsi" w:eastAsiaTheme="minorEastAsia" w:hAnsiTheme="minorHAnsi"/>
              <w:noProof/>
              <w:lang w:eastAsia="en-GB"/>
            </w:rPr>
          </w:pPr>
          <w:hyperlink w:anchor="_Toc6743477" w:history="1">
            <w:r w:rsidR="00723456" w:rsidRPr="00B045A6">
              <w:rPr>
                <w:rStyle w:val="Hyperlink"/>
                <w:noProof/>
              </w:rPr>
              <w:t>Senior Information Risk Owner (SIRO)</w:t>
            </w:r>
            <w:r w:rsidR="00723456">
              <w:rPr>
                <w:noProof/>
                <w:webHidden/>
              </w:rPr>
              <w:tab/>
            </w:r>
            <w:r w:rsidR="00723456">
              <w:rPr>
                <w:noProof/>
                <w:webHidden/>
              </w:rPr>
              <w:fldChar w:fldCharType="begin"/>
            </w:r>
            <w:r w:rsidR="00723456">
              <w:rPr>
                <w:noProof/>
                <w:webHidden/>
              </w:rPr>
              <w:instrText xml:space="preserve"> PAGEREF _Toc6743477 \h </w:instrText>
            </w:r>
            <w:r w:rsidR="00723456">
              <w:rPr>
                <w:noProof/>
                <w:webHidden/>
              </w:rPr>
            </w:r>
            <w:r w:rsidR="00723456">
              <w:rPr>
                <w:noProof/>
                <w:webHidden/>
              </w:rPr>
              <w:fldChar w:fldCharType="separate"/>
            </w:r>
            <w:r w:rsidR="00723456">
              <w:rPr>
                <w:noProof/>
                <w:webHidden/>
              </w:rPr>
              <w:t>4</w:t>
            </w:r>
            <w:r w:rsidR="00723456">
              <w:rPr>
                <w:noProof/>
                <w:webHidden/>
              </w:rPr>
              <w:fldChar w:fldCharType="end"/>
            </w:r>
          </w:hyperlink>
        </w:p>
        <w:p w14:paraId="5191A6E3" w14:textId="27FEDB99" w:rsidR="00723456" w:rsidRDefault="00903C75">
          <w:pPr>
            <w:pStyle w:val="TOC2"/>
            <w:tabs>
              <w:tab w:val="right" w:leader="dot" w:pos="9016"/>
            </w:tabs>
            <w:rPr>
              <w:rFonts w:asciiTheme="minorHAnsi" w:eastAsiaTheme="minorEastAsia" w:hAnsiTheme="minorHAnsi"/>
              <w:noProof/>
              <w:lang w:eastAsia="en-GB"/>
            </w:rPr>
          </w:pPr>
          <w:hyperlink w:anchor="_Toc6743478" w:history="1">
            <w:r w:rsidR="00723456" w:rsidRPr="00B045A6">
              <w:rPr>
                <w:rStyle w:val="Hyperlink"/>
                <w:noProof/>
              </w:rPr>
              <w:t>Information Asset Owners (IAOs)</w:t>
            </w:r>
            <w:r w:rsidR="00723456">
              <w:rPr>
                <w:noProof/>
                <w:webHidden/>
              </w:rPr>
              <w:tab/>
            </w:r>
            <w:r w:rsidR="00723456">
              <w:rPr>
                <w:noProof/>
                <w:webHidden/>
              </w:rPr>
              <w:fldChar w:fldCharType="begin"/>
            </w:r>
            <w:r w:rsidR="00723456">
              <w:rPr>
                <w:noProof/>
                <w:webHidden/>
              </w:rPr>
              <w:instrText xml:space="preserve"> PAGEREF _Toc6743478 \h </w:instrText>
            </w:r>
            <w:r w:rsidR="00723456">
              <w:rPr>
                <w:noProof/>
                <w:webHidden/>
              </w:rPr>
            </w:r>
            <w:r w:rsidR="00723456">
              <w:rPr>
                <w:noProof/>
                <w:webHidden/>
              </w:rPr>
              <w:fldChar w:fldCharType="separate"/>
            </w:r>
            <w:r w:rsidR="00723456">
              <w:rPr>
                <w:noProof/>
                <w:webHidden/>
              </w:rPr>
              <w:t>4</w:t>
            </w:r>
            <w:r w:rsidR="00723456">
              <w:rPr>
                <w:noProof/>
                <w:webHidden/>
              </w:rPr>
              <w:fldChar w:fldCharType="end"/>
            </w:r>
          </w:hyperlink>
        </w:p>
        <w:p w14:paraId="5BBC4481" w14:textId="4E399CDD" w:rsidR="00723456" w:rsidRDefault="00903C75">
          <w:pPr>
            <w:pStyle w:val="TOC2"/>
            <w:tabs>
              <w:tab w:val="right" w:leader="dot" w:pos="9016"/>
            </w:tabs>
            <w:rPr>
              <w:rFonts w:asciiTheme="minorHAnsi" w:eastAsiaTheme="minorEastAsia" w:hAnsiTheme="minorHAnsi"/>
              <w:noProof/>
              <w:lang w:eastAsia="en-GB"/>
            </w:rPr>
          </w:pPr>
          <w:hyperlink w:anchor="_Toc6743479" w:history="1">
            <w:r w:rsidR="00723456" w:rsidRPr="00B045A6">
              <w:rPr>
                <w:rStyle w:val="Hyperlink"/>
                <w:noProof/>
              </w:rPr>
              <w:t>Caldicott Guardian Function</w:t>
            </w:r>
            <w:r w:rsidR="00723456">
              <w:rPr>
                <w:noProof/>
                <w:webHidden/>
              </w:rPr>
              <w:tab/>
            </w:r>
            <w:r w:rsidR="00723456">
              <w:rPr>
                <w:noProof/>
                <w:webHidden/>
              </w:rPr>
              <w:fldChar w:fldCharType="begin"/>
            </w:r>
            <w:r w:rsidR="00723456">
              <w:rPr>
                <w:noProof/>
                <w:webHidden/>
              </w:rPr>
              <w:instrText xml:space="preserve"> PAGEREF _Toc6743479 \h </w:instrText>
            </w:r>
            <w:r w:rsidR="00723456">
              <w:rPr>
                <w:noProof/>
                <w:webHidden/>
              </w:rPr>
            </w:r>
            <w:r w:rsidR="00723456">
              <w:rPr>
                <w:noProof/>
                <w:webHidden/>
              </w:rPr>
              <w:fldChar w:fldCharType="separate"/>
            </w:r>
            <w:r w:rsidR="00723456">
              <w:rPr>
                <w:noProof/>
                <w:webHidden/>
              </w:rPr>
              <w:t>5</w:t>
            </w:r>
            <w:r w:rsidR="00723456">
              <w:rPr>
                <w:noProof/>
                <w:webHidden/>
              </w:rPr>
              <w:fldChar w:fldCharType="end"/>
            </w:r>
          </w:hyperlink>
        </w:p>
        <w:p w14:paraId="609CF43C" w14:textId="08920009" w:rsidR="00723456" w:rsidRDefault="00903C75">
          <w:pPr>
            <w:pStyle w:val="TOC2"/>
            <w:tabs>
              <w:tab w:val="right" w:leader="dot" w:pos="9016"/>
            </w:tabs>
            <w:rPr>
              <w:rFonts w:asciiTheme="minorHAnsi" w:eastAsiaTheme="minorEastAsia" w:hAnsiTheme="minorHAnsi"/>
              <w:noProof/>
              <w:lang w:eastAsia="en-GB"/>
            </w:rPr>
          </w:pPr>
          <w:hyperlink w:anchor="_Toc6743480" w:history="1">
            <w:r w:rsidR="00723456" w:rsidRPr="00B045A6">
              <w:rPr>
                <w:rStyle w:val="Hyperlink"/>
                <w:noProof/>
              </w:rPr>
              <w:t>Data Protection Officer (DPO)</w:t>
            </w:r>
            <w:r w:rsidR="00723456">
              <w:rPr>
                <w:noProof/>
                <w:webHidden/>
              </w:rPr>
              <w:tab/>
            </w:r>
            <w:r w:rsidR="00723456">
              <w:rPr>
                <w:noProof/>
                <w:webHidden/>
              </w:rPr>
              <w:fldChar w:fldCharType="begin"/>
            </w:r>
            <w:r w:rsidR="00723456">
              <w:rPr>
                <w:noProof/>
                <w:webHidden/>
              </w:rPr>
              <w:instrText xml:space="preserve"> PAGEREF _Toc6743480 \h </w:instrText>
            </w:r>
            <w:r w:rsidR="00723456">
              <w:rPr>
                <w:noProof/>
                <w:webHidden/>
              </w:rPr>
            </w:r>
            <w:r w:rsidR="00723456">
              <w:rPr>
                <w:noProof/>
                <w:webHidden/>
              </w:rPr>
              <w:fldChar w:fldCharType="separate"/>
            </w:r>
            <w:r w:rsidR="00723456">
              <w:rPr>
                <w:noProof/>
                <w:webHidden/>
              </w:rPr>
              <w:t>5</w:t>
            </w:r>
            <w:r w:rsidR="00723456">
              <w:rPr>
                <w:noProof/>
                <w:webHidden/>
              </w:rPr>
              <w:fldChar w:fldCharType="end"/>
            </w:r>
          </w:hyperlink>
        </w:p>
        <w:p w14:paraId="005286CE" w14:textId="477362C4" w:rsidR="00723456" w:rsidRDefault="00903C75">
          <w:pPr>
            <w:pStyle w:val="TOC2"/>
            <w:tabs>
              <w:tab w:val="right" w:leader="dot" w:pos="9016"/>
            </w:tabs>
            <w:rPr>
              <w:rFonts w:asciiTheme="minorHAnsi" w:eastAsiaTheme="minorEastAsia" w:hAnsiTheme="minorHAnsi"/>
              <w:noProof/>
              <w:lang w:eastAsia="en-GB"/>
            </w:rPr>
          </w:pPr>
          <w:hyperlink w:anchor="_Toc6743481" w:history="1">
            <w:r w:rsidR="00723456" w:rsidRPr="00B045A6">
              <w:rPr>
                <w:rStyle w:val="Hyperlink"/>
                <w:noProof/>
              </w:rPr>
              <w:t>All Staff</w:t>
            </w:r>
            <w:r w:rsidR="00723456">
              <w:rPr>
                <w:noProof/>
                <w:webHidden/>
              </w:rPr>
              <w:tab/>
            </w:r>
            <w:r w:rsidR="00723456">
              <w:rPr>
                <w:noProof/>
                <w:webHidden/>
              </w:rPr>
              <w:fldChar w:fldCharType="begin"/>
            </w:r>
            <w:r w:rsidR="00723456">
              <w:rPr>
                <w:noProof/>
                <w:webHidden/>
              </w:rPr>
              <w:instrText xml:space="preserve"> PAGEREF _Toc6743481 \h </w:instrText>
            </w:r>
            <w:r w:rsidR="00723456">
              <w:rPr>
                <w:noProof/>
                <w:webHidden/>
              </w:rPr>
            </w:r>
            <w:r w:rsidR="00723456">
              <w:rPr>
                <w:noProof/>
                <w:webHidden/>
              </w:rPr>
              <w:fldChar w:fldCharType="separate"/>
            </w:r>
            <w:r w:rsidR="00723456">
              <w:rPr>
                <w:noProof/>
                <w:webHidden/>
              </w:rPr>
              <w:t>5</w:t>
            </w:r>
            <w:r w:rsidR="00723456">
              <w:rPr>
                <w:noProof/>
                <w:webHidden/>
              </w:rPr>
              <w:fldChar w:fldCharType="end"/>
            </w:r>
          </w:hyperlink>
        </w:p>
        <w:p w14:paraId="790A3A9D" w14:textId="71F79D7E" w:rsidR="00723456" w:rsidRDefault="00903C75">
          <w:pPr>
            <w:pStyle w:val="TOC1"/>
            <w:tabs>
              <w:tab w:val="left" w:pos="440"/>
              <w:tab w:val="right" w:leader="dot" w:pos="9016"/>
            </w:tabs>
            <w:rPr>
              <w:rFonts w:asciiTheme="minorHAnsi" w:eastAsiaTheme="minorEastAsia" w:hAnsiTheme="minorHAnsi"/>
              <w:noProof/>
              <w:lang w:eastAsia="en-GB"/>
            </w:rPr>
          </w:pPr>
          <w:hyperlink w:anchor="_Toc6743482" w:history="1">
            <w:r w:rsidR="00723456" w:rsidRPr="00B045A6">
              <w:rPr>
                <w:rStyle w:val="Hyperlink"/>
                <w:noProof/>
              </w:rPr>
              <w:t>6.</w:t>
            </w:r>
            <w:r w:rsidR="00723456">
              <w:rPr>
                <w:rFonts w:asciiTheme="minorHAnsi" w:eastAsiaTheme="minorEastAsia" w:hAnsiTheme="minorHAnsi"/>
                <w:noProof/>
                <w:lang w:eastAsia="en-GB"/>
              </w:rPr>
              <w:tab/>
            </w:r>
            <w:r w:rsidR="00723456" w:rsidRPr="00B045A6">
              <w:rPr>
                <w:rStyle w:val="Hyperlink"/>
                <w:noProof/>
              </w:rPr>
              <w:t>Openness</w:t>
            </w:r>
            <w:r w:rsidR="00723456">
              <w:rPr>
                <w:noProof/>
                <w:webHidden/>
              </w:rPr>
              <w:tab/>
            </w:r>
            <w:r w:rsidR="00723456">
              <w:rPr>
                <w:noProof/>
                <w:webHidden/>
              </w:rPr>
              <w:fldChar w:fldCharType="begin"/>
            </w:r>
            <w:r w:rsidR="00723456">
              <w:rPr>
                <w:noProof/>
                <w:webHidden/>
              </w:rPr>
              <w:instrText xml:space="preserve"> PAGEREF _Toc6743482 \h </w:instrText>
            </w:r>
            <w:r w:rsidR="00723456">
              <w:rPr>
                <w:noProof/>
                <w:webHidden/>
              </w:rPr>
            </w:r>
            <w:r w:rsidR="00723456">
              <w:rPr>
                <w:noProof/>
                <w:webHidden/>
              </w:rPr>
              <w:fldChar w:fldCharType="separate"/>
            </w:r>
            <w:r w:rsidR="00723456">
              <w:rPr>
                <w:noProof/>
                <w:webHidden/>
              </w:rPr>
              <w:t>6</w:t>
            </w:r>
            <w:r w:rsidR="00723456">
              <w:rPr>
                <w:noProof/>
                <w:webHidden/>
              </w:rPr>
              <w:fldChar w:fldCharType="end"/>
            </w:r>
          </w:hyperlink>
        </w:p>
        <w:p w14:paraId="18779891" w14:textId="3080E8CC" w:rsidR="00723456" w:rsidRDefault="00903C75">
          <w:pPr>
            <w:pStyle w:val="TOC1"/>
            <w:tabs>
              <w:tab w:val="left" w:pos="440"/>
              <w:tab w:val="right" w:leader="dot" w:pos="9016"/>
            </w:tabs>
            <w:rPr>
              <w:rFonts w:asciiTheme="minorHAnsi" w:eastAsiaTheme="minorEastAsia" w:hAnsiTheme="minorHAnsi"/>
              <w:noProof/>
              <w:lang w:eastAsia="en-GB"/>
            </w:rPr>
          </w:pPr>
          <w:hyperlink w:anchor="_Toc6743483" w:history="1">
            <w:r w:rsidR="00723456" w:rsidRPr="00B045A6">
              <w:rPr>
                <w:rStyle w:val="Hyperlink"/>
                <w:noProof/>
              </w:rPr>
              <w:t>7.</w:t>
            </w:r>
            <w:r w:rsidR="00723456">
              <w:rPr>
                <w:rFonts w:asciiTheme="minorHAnsi" w:eastAsiaTheme="minorEastAsia" w:hAnsiTheme="minorHAnsi"/>
                <w:noProof/>
                <w:lang w:eastAsia="en-GB"/>
              </w:rPr>
              <w:tab/>
            </w:r>
            <w:r w:rsidR="00723456" w:rsidRPr="00B045A6">
              <w:rPr>
                <w:rStyle w:val="Hyperlink"/>
                <w:noProof/>
              </w:rPr>
              <w:t>Privacy and Information Rights</w:t>
            </w:r>
            <w:r w:rsidR="00723456">
              <w:rPr>
                <w:noProof/>
                <w:webHidden/>
              </w:rPr>
              <w:tab/>
            </w:r>
            <w:r w:rsidR="00723456">
              <w:rPr>
                <w:noProof/>
                <w:webHidden/>
              </w:rPr>
              <w:fldChar w:fldCharType="begin"/>
            </w:r>
            <w:r w:rsidR="00723456">
              <w:rPr>
                <w:noProof/>
                <w:webHidden/>
              </w:rPr>
              <w:instrText xml:space="preserve"> PAGEREF _Toc6743483 \h </w:instrText>
            </w:r>
            <w:r w:rsidR="00723456">
              <w:rPr>
                <w:noProof/>
                <w:webHidden/>
              </w:rPr>
            </w:r>
            <w:r w:rsidR="00723456">
              <w:rPr>
                <w:noProof/>
                <w:webHidden/>
              </w:rPr>
              <w:fldChar w:fldCharType="separate"/>
            </w:r>
            <w:r w:rsidR="00723456">
              <w:rPr>
                <w:noProof/>
                <w:webHidden/>
              </w:rPr>
              <w:t>6</w:t>
            </w:r>
            <w:r w:rsidR="00723456">
              <w:rPr>
                <w:noProof/>
                <w:webHidden/>
              </w:rPr>
              <w:fldChar w:fldCharType="end"/>
            </w:r>
          </w:hyperlink>
        </w:p>
        <w:p w14:paraId="3F24BA62" w14:textId="5A2EB3CD" w:rsidR="00723456" w:rsidRDefault="00903C75">
          <w:pPr>
            <w:pStyle w:val="TOC1"/>
            <w:tabs>
              <w:tab w:val="left" w:pos="440"/>
              <w:tab w:val="right" w:leader="dot" w:pos="9016"/>
            </w:tabs>
            <w:rPr>
              <w:rFonts w:asciiTheme="minorHAnsi" w:eastAsiaTheme="minorEastAsia" w:hAnsiTheme="minorHAnsi"/>
              <w:noProof/>
              <w:lang w:eastAsia="en-GB"/>
            </w:rPr>
          </w:pPr>
          <w:hyperlink w:anchor="_Toc6743484" w:history="1">
            <w:r w:rsidR="00723456" w:rsidRPr="00B045A6">
              <w:rPr>
                <w:rStyle w:val="Hyperlink"/>
                <w:noProof/>
              </w:rPr>
              <w:t>8.</w:t>
            </w:r>
            <w:r w:rsidR="00723456">
              <w:rPr>
                <w:rFonts w:asciiTheme="minorHAnsi" w:eastAsiaTheme="minorEastAsia" w:hAnsiTheme="minorHAnsi"/>
                <w:noProof/>
                <w:lang w:eastAsia="en-GB"/>
              </w:rPr>
              <w:tab/>
            </w:r>
            <w:r w:rsidR="00723456" w:rsidRPr="00B045A6">
              <w:rPr>
                <w:rStyle w:val="Hyperlink"/>
                <w:noProof/>
              </w:rPr>
              <w:t>Information Security</w:t>
            </w:r>
            <w:r w:rsidR="00723456">
              <w:rPr>
                <w:noProof/>
                <w:webHidden/>
              </w:rPr>
              <w:tab/>
            </w:r>
            <w:r w:rsidR="00723456">
              <w:rPr>
                <w:noProof/>
                <w:webHidden/>
              </w:rPr>
              <w:fldChar w:fldCharType="begin"/>
            </w:r>
            <w:r w:rsidR="00723456">
              <w:rPr>
                <w:noProof/>
                <w:webHidden/>
              </w:rPr>
              <w:instrText xml:space="preserve"> PAGEREF _Toc6743484 \h </w:instrText>
            </w:r>
            <w:r w:rsidR="00723456">
              <w:rPr>
                <w:noProof/>
                <w:webHidden/>
              </w:rPr>
            </w:r>
            <w:r w:rsidR="00723456">
              <w:rPr>
                <w:noProof/>
                <w:webHidden/>
              </w:rPr>
              <w:fldChar w:fldCharType="separate"/>
            </w:r>
            <w:r w:rsidR="00723456">
              <w:rPr>
                <w:noProof/>
                <w:webHidden/>
              </w:rPr>
              <w:t>6</w:t>
            </w:r>
            <w:r w:rsidR="00723456">
              <w:rPr>
                <w:noProof/>
                <w:webHidden/>
              </w:rPr>
              <w:fldChar w:fldCharType="end"/>
            </w:r>
          </w:hyperlink>
        </w:p>
        <w:p w14:paraId="7F0F14EB" w14:textId="6549B936" w:rsidR="00723456" w:rsidRDefault="00903C75">
          <w:pPr>
            <w:pStyle w:val="TOC1"/>
            <w:tabs>
              <w:tab w:val="left" w:pos="440"/>
              <w:tab w:val="right" w:leader="dot" w:pos="9016"/>
            </w:tabs>
            <w:rPr>
              <w:rFonts w:asciiTheme="minorHAnsi" w:eastAsiaTheme="minorEastAsia" w:hAnsiTheme="minorHAnsi"/>
              <w:noProof/>
              <w:lang w:eastAsia="en-GB"/>
            </w:rPr>
          </w:pPr>
          <w:hyperlink w:anchor="_Toc6743485" w:history="1">
            <w:r w:rsidR="00723456" w:rsidRPr="00B045A6">
              <w:rPr>
                <w:rStyle w:val="Hyperlink"/>
                <w:noProof/>
              </w:rPr>
              <w:t>9.</w:t>
            </w:r>
            <w:r w:rsidR="00723456">
              <w:rPr>
                <w:rFonts w:asciiTheme="minorHAnsi" w:eastAsiaTheme="minorEastAsia" w:hAnsiTheme="minorHAnsi"/>
                <w:noProof/>
                <w:lang w:eastAsia="en-GB"/>
              </w:rPr>
              <w:tab/>
            </w:r>
            <w:r w:rsidR="00723456" w:rsidRPr="00B045A6">
              <w:rPr>
                <w:rStyle w:val="Hyperlink"/>
                <w:noProof/>
              </w:rPr>
              <w:t>Information Quality and Records Management</w:t>
            </w:r>
            <w:r w:rsidR="00723456">
              <w:rPr>
                <w:noProof/>
                <w:webHidden/>
              </w:rPr>
              <w:tab/>
            </w:r>
            <w:r w:rsidR="00723456">
              <w:rPr>
                <w:noProof/>
                <w:webHidden/>
              </w:rPr>
              <w:fldChar w:fldCharType="begin"/>
            </w:r>
            <w:r w:rsidR="00723456">
              <w:rPr>
                <w:noProof/>
                <w:webHidden/>
              </w:rPr>
              <w:instrText xml:space="preserve"> PAGEREF _Toc6743485 \h </w:instrText>
            </w:r>
            <w:r w:rsidR="00723456">
              <w:rPr>
                <w:noProof/>
                <w:webHidden/>
              </w:rPr>
            </w:r>
            <w:r w:rsidR="00723456">
              <w:rPr>
                <w:noProof/>
                <w:webHidden/>
              </w:rPr>
              <w:fldChar w:fldCharType="separate"/>
            </w:r>
            <w:r w:rsidR="00723456">
              <w:rPr>
                <w:noProof/>
                <w:webHidden/>
              </w:rPr>
              <w:t>7</w:t>
            </w:r>
            <w:r w:rsidR="00723456">
              <w:rPr>
                <w:noProof/>
                <w:webHidden/>
              </w:rPr>
              <w:fldChar w:fldCharType="end"/>
            </w:r>
          </w:hyperlink>
        </w:p>
        <w:p w14:paraId="00A27AFA" w14:textId="6D9B4E8E" w:rsidR="00723456" w:rsidRDefault="00903C75">
          <w:pPr>
            <w:pStyle w:val="TOC1"/>
            <w:tabs>
              <w:tab w:val="left" w:pos="660"/>
              <w:tab w:val="right" w:leader="dot" w:pos="9016"/>
            </w:tabs>
            <w:rPr>
              <w:rFonts w:asciiTheme="minorHAnsi" w:eastAsiaTheme="minorEastAsia" w:hAnsiTheme="minorHAnsi"/>
              <w:noProof/>
              <w:lang w:eastAsia="en-GB"/>
            </w:rPr>
          </w:pPr>
          <w:hyperlink w:anchor="_Toc6743486" w:history="1">
            <w:r w:rsidR="00723456" w:rsidRPr="00B045A6">
              <w:rPr>
                <w:rStyle w:val="Hyperlink"/>
                <w:noProof/>
              </w:rPr>
              <w:t>10.</w:t>
            </w:r>
            <w:r w:rsidR="00723456">
              <w:rPr>
                <w:rFonts w:asciiTheme="minorHAnsi" w:eastAsiaTheme="minorEastAsia" w:hAnsiTheme="minorHAnsi"/>
                <w:noProof/>
                <w:lang w:eastAsia="en-GB"/>
              </w:rPr>
              <w:tab/>
            </w:r>
            <w:r w:rsidR="00723456" w:rsidRPr="00B045A6">
              <w:rPr>
                <w:rStyle w:val="Hyperlink"/>
                <w:noProof/>
              </w:rPr>
              <w:t>Associated Protocols</w:t>
            </w:r>
            <w:r w:rsidR="00723456">
              <w:rPr>
                <w:noProof/>
                <w:webHidden/>
              </w:rPr>
              <w:tab/>
            </w:r>
            <w:r w:rsidR="00723456">
              <w:rPr>
                <w:noProof/>
                <w:webHidden/>
              </w:rPr>
              <w:fldChar w:fldCharType="begin"/>
            </w:r>
            <w:r w:rsidR="00723456">
              <w:rPr>
                <w:noProof/>
                <w:webHidden/>
              </w:rPr>
              <w:instrText xml:space="preserve"> PAGEREF _Toc6743486 \h </w:instrText>
            </w:r>
            <w:r w:rsidR="00723456">
              <w:rPr>
                <w:noProof/>
                <w:webHidden/>
              </w:rPr>
            </w:r>
            <w:r w:rsidR="00723456">
              <w:rPr>
                <w:noProof/>
                <w:webHidden/>
              </w:rPr>
              <w:fldChar w:fldCharType="separate"/>
            </w:r>
            <w:r w:rsidR="00723456">
              <w:rPr>
                <w:noProof/>
                <w:webHidden/>
              </w:rPr>
              <w:t>7</w:t>
            </w:r>
            <w:r w:rsidR="00723456">
              <w:rPr>
                <w:noProof/>
                <w:webHidden/>
              </w:rPr>
              <w:fldChar w:fldCharType="end"/>
            </w:r>
          </w:hyperlink>
        </w:p>
        <w:p w14:paraId="7454892E" w14:textId="32A5DCD3" w:rsidR="00723456" w:rsidRDefault="00903C75">
          <w:pPr>
            <w:pStyle w:val="TOC1"/>
            <w:tabs>
              <w:tab w:val="left" w:pos="660"/>
              <w:tab w:val="right" w:leader="dot" w:pos="9016"/>
            </w:tabs>
            <w:rPr>
              <w:rFonts w:asciiTheme="minorHAnsi" w:eastAsiaTheme="minorEastAsia" w:hAnsiTheme="minorHAnsi"/>
              <w:noProof/>
              <w:lang w:eastAsia="en-GB"/>
            </w:rPr>
          </w:pPr>
          <w:hyperlink w:anchor="_Toc6743487" w:history="1">
            <w:r w:rsidR="00723456" w:rsidRPr="00B045A6">
              <w:rPr>
                <w:rStyle w:val="Hyperlink"/>
                <w:noProof/>
              </w:rPr>
              <w:t>11.</w:t>
            </w:r>
            <w:r w:rsidR="00723456">
              <w:rPr>
                <w:rFonts w:asciiTheme="minorHAnsi" w:eastAsiaTheme="minorEastAsia" w:hAnsiTheme="minorHAnsi"/>
                <w:noProof/>
                <w:lang w:eastAsia="en-GB"/>
              </w:rPr>
              <w:tab/>
            </w:r>
            <w:r w:rsidR="00723456" w:rsidRPr="00B045A6">
              <w:rPr>
                <w:rStyle w:val="Hyperlink"/>
                <w:noProof/>
              </w:rPr>
              <w:t>Audit Schedule</w:t>
            </w:r>
            <w:r w:rsidR="00723456">
              <w:rPr>
                <w:noProof/>
                <w:webHidden/>
              </w:rPr>
              <w:tab/>
            </w:r>
            <w:r w:rsidR="00723456">
              <w:rPr>
                <w:noProof/>
                <w:webHidden/>
              </w:rPr>
              <w:fldChar w:fldCharType="begin"/>
            </w:r>
            <w:r w:rsidR="00723456">
              <w:rPr>
                <w:noProof/>
                <w:webHidden/>
              </w:rPr>
              <w:instrText xml:space="preserve"> PAGEREF _Toc6743487 \h </w:instrText>
            </w:r>
            <w:r w:rsidR="00723456">
              <w:rPr>
                <w:noProof/>
                <w:webHidden/>
              </w:rPr>
            </w:r>
            <w:r w:rsidR="00723456">
              <w:rPr>
                <w:noProof/>
                <w:webHidden/>
              </w:rPr>
              <w:fldChar w:fldCharType="separate"/>
            </w:r>
            <w:r w:rsidR="00723456">
              <w:rPr>
                <w:noProof/>
                <w:webHidden/>
              </w:rPr>
              <w:t>8</w:t>
            </w:r>
            <w:r w:rsidR="00723456">
              <w:rPr>
                <w:noProof/>
                <w:webHidden/>
              </w:rPr>
              <w:fldChar w:fldCharType="end"/>
            </w:r>
          </w:hyperlink>
        </w:p>
        <w:p w14:paraId="6A1FAB09" w14:textId="54516C13" w:rsidR="00723456" w:rsidRDefault="00903C75">
          <w:pPr>
            <w:pStyle w:val="TOC1"/>
            <w:tabs>
              <w:tab w:val="left" w:pos="660"/>
              <w:tab w:val="right" w:leader="dot" w:pos="9016"/>
            </w:tabs>
            <w:rPr>
              <w:rFonts w:asciiTheme="minorHAnsi" w:eastAsiaTheme="minorEastAsia" w:hAnsiTheme="minorHAnsi"/>
              <w:noProof/>
              <w:lang w:eastAsia="en-GB"/>
            </w:rPr>
          </w:pPr>
          <w:hyperlink w:anchor="_Toc6743488" w:history="1">
            <w:r w:rsidR="00723456" w:rsidRPr="00B045A6">
              <w:rPr>
                <w:rStyle w:val="Hyperlink"/>
                <w:noProof/>
              </w:rPr>
              <w:t>12.</w:t>
            </w:r>
            <w:r w:rsidR="00723456">
              <w:rPr>
                <w:rFonts w:asciiTheme="minorHAnsi" w:eastAsiaTheme="minorEastAsia" w:hAnsiTheme="minorHAnsi"/>
                <w:noProof/>
                <w:lang w:eastAsia="en-GB"/>
              </w:rPr>
              <w:tab/>
            </w:r>
            <w:r w:rsidR="00723456" w:rsidRPr="00B045A6">
              <w:rPr>
                <w:rStyle w:val="Hyperlink"/>
                <w:noProof/>
              </w:rPr>
              <w:t>Review</w:t>
            </w:r>
            <w:r w:rsidR="00723456">
              <w:rPr>
                <w:noProof/>
                <w:webHidden/>
              </w:rPr>
              <w:tab/>
            </w:r>
            <w:r w:rsidR="00723456">
              <w:rPr>
                <w:noProof/>
                <w:webHidden/>
              </w:rPr>
              <w:fldChar w:fldCharType="begin"/>
            </w:r>
            <w:r w:rsidR="00723456">
              <w:rPr>
                <w:noProof/>
                <w:webHidden/>
              </w:rPr>
              <w:instrText xml:space="preserve"> PAGEREF _Toc6743488 \h </w:instrText>
            </w:r>
            <w:r w:rsidR="00723456">
              <w:rPr>
                <w:noProof/>
                <w:webHidden/>
              </w:rPr>
            </w:r>
            <w:r w:rsidR="00723456">
              <w:rPr>
                <w:noProof/>
                <w:webHidden/>
              </w:rPr>
              <w:fldChar w:fldCharType="separate"/>
            </w:r>
            <w:r w:rsidR="00723456">
              <w:rPr>
                <w:noProof/>
                <w:webHidden/>
              </w:rPr>
              <w:t>8</w:t>
            </w:r>
            <w:r w:rsidR="00723456">
              <w:rPr>
                <w:noProof/>
                <w:webHidden/>
              </w:rPr>
              <w:fldChar w:fldCharType="end"/>
            </w:r>
          </w:hyperlink>
        </w:p>
        <w:p w14:paraId="7DFD60A2" w14:textId="55B3EF3B" w:rsidR="00F03257" w:rsidRDefault="00F03257">
          <w:r>
            <w:rPr>
              <w:b/>
              <w:bCs/>
              <w:noProof/>
            </w:rPr>
            <w:fldChar w:fldCharType="end"/>
          </w:r>
        </w:p>
      </w:sdtContent>
    </w:sdt>
    <w:p w14:paraId="4126C155" w14:textId="7454AF93" w:rsidR="00F03257" w:rsidRDefault="00723456" w:rsidP="00723456">
      <w:pPr>
        <w:pStyle w:val="Heading1"/>
      </w:pPr>
      <w:bookmarkStart w:id="1" w:name="_Toc6743472"/>
      <w:r>
        <w:t>Scope</w:t>
      </w:r>
      <w:bookmarkEnd w:id="1"/>
    </w:p>
    <w:p w14:paraId="39FAE67C" w14:textId="0FD0BA5F" w:rsidR="007C1AEE" w:rsidRDefault="6F5CB668" w:rsidP="00F03257">
      <w:r>
        <w:t>This policy has been drafted for use by customers of Kafico Ltd across Suffolk.</w:t>
      </w:r>
    </w:p>
    <w:p w14:paraId="78FA21D2" w14:textId="4F1E5186" w:rsidR="007C1AEE" w:rsidRDefault="007C1AEE" w:rsidP="00F03257">
      <w:r>
        <w:t xml:space="preserve">At the time of writing and unless alternative policies have been adopted locally, the policy </w:t>
      </w:r>
      <w:r w:rsidR="00506E73">
        <w:t>applies to;</w:t>
      </w:r>
    </w:p>
    <w:tbl>
      <w:tblPr>
        <w:tblStyle w:val="TableGrid"/>
        <w:tblW w:w="9214" w:type="dxa"/>
        <w:tblInd w:w="-5" w:type="dxa"/>
        <w:tblLook w:val="04A0" w:firstRow="1" w:lastRow="0" w:firstColumn="1" w:lastColumn="0" w:noHBand="0" w:noVBand="1"/>
      </w:tblPr>
      <w:tblGrid>
        <w:gridCol w:w="3010"/>
        <w:gridCol w:w="3005"/>
        <w:gridCol w:w="3199"/>
      </w:tblGrid>
      <w:tr w:rsidR="00367B0B" w:rsidRPr="003C451F" w14:paraId="153D32D0" w14:textId="77777777" w:rsidTr="725EE06F">
        <w:tc>
          <w:tcPr>
            <w:tcW w:w="3010" w:type="dxa"/>
            <w:vAlign w:val="center"/>
          </w:tcPr>
          <w:p w14:paraId="433C8F9D" w14:textId="77777777" w:rsidR="00367B0B" w:rsidRPr="001F0B79" w:rsidRDefault="00367B0B" w:rsidP="003209DC">
            <w:r w:rsidRPr="001F0B79">
              <w:rPr>
                <w:rFonts w:cs="Calibri"/>
                <w:color w:val="000000"/>
              </w:rPr>
              <w:t>Barrack</w:t>
            </w:r>
            <w:r>
              <w:rPr>
                <w:rFonts w:cs="Calibri"/>
                <w:color w:val="000000"/>
              </w:rPr>
              <w:t xml:space="preserve"> Lane</w:t>
            </w:r>
          </w:p>
        </w:tc>
        <w:tc>
          <w:tcPr>
            <w:tcW w:w="3005" w:type="dxa"/>
            <w:vAlign w:val="center"/>
          </w:tcPr>
          <w:p w14:paraId="7FDB6291" w14:textId="77777777" w:rsidR="725EE06F" w:rsidRDefault="725EE06F">
            <w:r w:rsidRPr="725EE06F">
              <w:rPr>
                <w:rFonts w:cs="Calibri"/>
                <w:color w:val="000000" w:themeColor="text1"/>
              </w:rPr>
              <w:t>Stanton (west)</w:t>
            </w:r>
          </w:p>
        </w:tc>
        <w:tc>
          <w:tcPr>
            <w:tcW w:w="3199" w:type="dxa"/>
            <w:vAlign w:val="center"/>
          </w:tcPr>
          <w:p w14:paraId="0E740DAC" w14:textId="77777777" w:rsidR="00367B0B" w:rsidRPr="001F0B79" w:rsidRDefault="00367B0B" w:rsidP="003209DC">
            <w:r w:rsidRPr="001F0B79">
              <w:rPr>
                <w:rFonts w:cs="Calibri"/>
                <w:color w:val="000000"/>
              </w:rPr>
              <w:t>Mendlesham</w:t>
            </w:r>
          </w:p>
        </w:tc>
      </w:tr>
      <w:tr w:rsidR="00367B0B" w:rsidRPr="003C451F" w14:paraId="734A34CB" w14:textId="77777777" w:rsidTr="725EE06F">
        <w:tc>
          <w:tcPr>
            <w:tcW w:w="3010" w:type="dxa"/>
            <w:vAlign w:val="center"/>
          </w:tcPr>
          <w:p w14:paraId="67D3194C" w14:textId="77777777" w:rsidR="00367B0B" w:rsidRPr="001F0B79" w:rsidRDefault="00367B0B" w:rsidP="003209DC">
            <w:r w:rsidRPr="001F0B79">
              <w:rPr>
                <w:rFonts w:cs="Calibri"/>
                <w:color w:val="000000"/>
              </w:rPr>
              <w:t>Burlington Road</w:t>
            </w:r>
          </w:p>
        </w:tc>
        <w:tc>
          <w:tcPr>
            <w:tcW w:w="3005" w:type="dxa"/>
            <w:vAlign w:val="center"/>
          </w:tcPr>
          <w:p w14:paraId="12A8BBC4" w14:textId="41C3457E" w:rsidR="725EE06F" w:rsidRDefault="001C6F82">
            <w:r w:rsidRPr="001F0B79">
              <w:rPr>
                <w:rFonts w:cs="Calibri"/>
                <w:color w:val="000000"/>
              </w:rPr>
              <w:t>Peninsula</w:t>
            </w:r>
          </w:p>
        </w:tc>
        <w:tc>
          <w:tcPr>
            <w:tcW w:w="3199" w:type="dxa"/>
            <w:vAlign w:val="center"/>
          </w:tcPr>
          <w:p w14:paraId="1258CA01" w14:textId="77777777" w:rsidR="00367B0B" w:rsidRPr="001F0B79" w:rsidRDefault="00367B0B" w:rsidP="003209DC">
            <w:r w:rsidRPr="001F0B79">
              <w:rPr>
                <w:rFonts w:cs="Calibri"/>
                <w:color w:val="000000"/>
              </w:rPr>
              <w:t>Wickhambrook</w:t>
            </w:r>
          </w:p>
        </w:tc>
      </w:tr>
      <w:tr w:rsidR="00367B0B" w:rsidRPr="003C451F" w14:paraId="3D53A109" w14:textId="77777777" w:rsidTr="725EE06F">
        <w:tc>
          <w:tcPr>
            <w:tcW w:w="3010" w:type="dxa"/>
            <w:vAlign w:val="center"/>
          </w:tcPr>
          <w:p w14:paraId="00D844F0" w14:textId="77777777" w:rsidR="00367B0B" w:rsidRPr="001F0B79" w:rsidRDefault="00367B0B" w:rsidP="003209DC">
            <w:r w:rsidRPr="001F0B79">
              <w:rPr>
                <w:rFonts w:cs="Calibri"/>
                <w:color w:val="000000"/>
              </w:rPr>
              <w:t>Framlingham</w:t>
            </w:r>
          </w:p>
        </w:tc>
        <w:tc>
          <w:tcPr>
            <w:tcW w:w="3005" w:type="dxa"/>
            <w:vAlign w:val="center"/>
          </w:tcPr>
          <w:p w14:paraId="3D8EABB8" w14:textId="1D7A6713" w:rsidR="725EE06F" w:rsidRDefault="005D1B77">
            <w:r>
              <w:rPr>
                <w:rFonts w:cs="Calibri"/>
                <w:color w:val="000000" w:themeColor="text1"/>
              </w:rPr>
              <w:t>Felixstowe Road Medical Practice</w:t>
            </w:r>
          </w:p>
        </w:tc>
        <w:tc>
          <w:tcPr>
            <w:tcW w:w="3199" w:type="dxa"/>
            <w:vAlign w:val="center"/>
          </w:tcPr>
          <w:p w14:paraId="458FEBBE" w14:textId="77777777" w:rsidR="00367B0B" w:rsidRPr="001F0B79" w:rsidRDefault="00367B0B" w:rsidP="003209DC">
            <w:r w:rsidRPr="001F0B79">
              <w:rPr>
                <w:rFonts w:cs="Calibri"/>
                <w:color w:val="000000"/>
              </w:rPr>
              <w:t>Church Farm Surgery (Aldeburgh)</w:t>
            </w:r>
          </w:p>
        </w:tc>
      </w:tr>
      <w:tr w:rsidR="00367B0B" w:rsidRPr="003C451F" w14:paraId="48E95C63" w14:textId="77777777" w:rsidTr="725EE06F">
        <w:tc>
          <w:tcPr>
            <w:tcW w:w="3010" w:type="dxa"/>
            <w:vAlign w:val="center"/>
          </w:tcPr>
          <w:p w14:paraId="4C55BC06" w14:textId="77777777" w:rsidR="00367B0B" w:rsidRPr="001F0B79" w:rsidRDefault="00367B0B" w:rsidP="003209DC">
            <w:r>
              <w:rPr>
                <w:rFonts w:cs="Calibri"/>
                <w:color w:val="000000"/>
              </w:rPr>
              <w:t>Botesdale Health Centre</w:t>
            </w:r>
          </w:p>
        </w:tc>
        <w:tc>
          <w:tcPr>
            <w:tcW w:w="3005" w:type="dxa"/>
            <w:vAlign w:val="center"/>
          </w:tcPr>
          <w:p w14:paraId="460883BC" w14:textId="0A45DDA7" w:rsidR="725EE06F" w:rsidRDefault="00D8758B">
            <w:r w:rsidRPr="725EE06F">
              <w:rPr>
                <w:rFonts w:cs="Calibri"/>
                <w:color w:val="000000" w:themeColor="text1"/>
              </w:rPr>
              <w:t>Ivry Street</w:t>
            </w:r>
          </w:p>
        </w:tc>
        <w:tc>
          <w:tcPr>
            <w:tcW w:w="3199" w:type="dxa"/>
            <w:vAlign w:val="center"/>
          </w:tcPr>
          <w:p w14:paraId="76C04378" w14:textId="77777777" w:rsidR="00367B0B" w:rsidRPr="001F0B79" w:rsidRDefault="00367B0B" w:rsidP="003209DC">
            <w:r w:rsidRPr="001F0B79">
              <w:rPr>
                <w:rFonts w:cs="Calibri"/>
                <w:color w:val="000000"/>
              </w:rPr>
              <w:t>Framfield</w:t>
            </w:r>
          </w:p>
        </w:tc>
      </w:tr>
      <w:tr w:rsidR="00367B0B" w:rsidRPr="003C451F" w14:paraId="3A58FAAE" w14:textId="77777777" w:rsidTr="725EE06F">
        <w:tc>
          <w:tcPr>
            <w:tcW w:w="3010" w:type="dxa"/>
            <w:vAlign w:val="center"/>
          </w:tcPr>
          <w:p w14:paraId="0D1EFF7A" w14:textId="77777777" w:rsidR="725EE06F" w:rsidRDefault="725EE06F">
            <w:r w:rsidRPr="725EE06F">
              <w:rPr>
                <w:rFonts w:cs="Calibri"/>
                <w:color w:val="000000" w:themeColor="text1"/>
              </w:rPr>
              <w:t>Hawthorn Drive</w:t>
            </w:r>
          </w:p>
        </w:tc>
        <w:tc>
          <w:tcPr>
            <w:tcW w:w="3005" w:type="dxa"/>
            <w:vAlign w:val="center"/>
          </w:tcPr>
          <w:p w14:paraId="4E5A22AC" w14:textId="77777777" w:rsidR="725EE06F" w:rsidRDefault="725EE06F">
            <w:r w:rsidRPr="725EE06F">
              <w:rPr>
                <w:rFonts w:cs="Calibri"/>
                <w:color w:val="000000" w:themeColor="text1"/>
              </w:rPr>
              <w:t>Lakenheath</w:t>
            </w:r>
          </w:p>
        </w:tc>
        <w:tc>
          <w:tcPr>
            <w:tcW w:w="3199" w:type="dxa"/>
            <w:vAlign w:val="center"/>
          </w:tcPr>
          <w:p w14:paraId="6DFDBD6D" w14:textId="77777777" w:rsidR="00367B0B" w:rsidRPr="001F0B79" w:rsidRDefault="00367B0B" w:rsidP="003209DC">
            <w:r w:rsidRPr="001F0B79">
              <w:rPr>
                <w:rFonts w:cs="Calibri"/>
                <w:color w:val="000000"/>
              </w:rPr>
              <w:t>Saxmundham</w:t>
            </w:r>
          </w:p>
        </w:tc>
      </w:tr>
      <w:tr w:rsidR="00367B0B" w:rsidRPr="003C451F" w14:paraId="1D12A0C6" w14:textId="77777777" w:rsidTr="725EE06F">
        <w:tc>
          <w:tcPr>
            <w:tcW w:w="3010" w:type="dxa"/>
            <w:vAlign w:val="center"/>
          </w:tcPr>
          <w:p w14:paraId="4BE145E2" w14:textId="77777777" w:rsidR="725EE06F" w:rsidRDefault="725EE06F">
            <w:r>
              <w:t>The Surgery, Leiston</w:t>
            </w:r>
          </w:p>
        </w:tc>
        <w:tc>
          <w:tcPr>
            <w:tcW w:w="3005" w:type="dxa"/>
            <w:vAlign w:val="center"/>
          </w:tcPr>
          <w:p w14:paraId="350D701B" w14:textId="77777777" w:rsidR="725EE06F" w:rsidRDefault="725EE06F">
            <w:r w:rsidRPr="725EE06F">
              <w:rPr>
                <w:rFonts w:cs="Calibri"/>
                <w:color w:val="000000" w:themeColor="text1"/>
              </w:rPr>
              <w:t>Ixworth</w:t>
            </w:r>
          </w:p>
        </w:tc>
        <w:tc>
          <w:tcPr>
            <w:tcW w:w="3199" w:type="dxa"/>
            <w:vAlign w:val="center"/>
          </w:tcPr>
          <w:p w14:paraId="6A8C2274" w14:textId="4FD14102" w:rsidR="00367B0B" w:rsidRPr="001F0B79" w:rsidRDefault="001C6F82" w:rsidP="003209DC">
            <w:r>
              <w:t>Grove Medical Centre</w:t>
            </w:r>
          </w:p>
        </w:tc>
      </w:tr>
      <w:tr w:rsidR="00367B0B" w:rsidRPr="003C451F" w14:paraId="5634C29F" w14:textId="77777777" w:rsidTr="725EE06F">
        <w:tc>
          <w:tcPr>
            <w:tcW w:w="3010" w:type="dxa"/>
            <w:vAlign w:val="center"/>
          </w:tcPr>
          <w:p w14:paraId="796150B1" w14:textId="77777777" w:rsidR="725EE06F" w:rsidRDefault="725EE06F">
            <w:r w:rsidRPr="725EE06F">
              <w:rPr>
                <w:rFonts w:cs="Calibri"/>
                <w:color w:val="000000" w:themeColor="text1"/>
              </w:rPr>
              <w:t>Victoria Surgery</w:t>
            </w:r>
          </w:p>
        </w:tc>
        <w:tc>
          <w:tcPr>
            <w:tcW w:w="3005" w:type="dxa"/>
            <w:vAlign w:val="center"/>
          </w:tcPr>
          <w:p w14:paraId="6FEC3CE4" w14:textId="77777777" w:rsidR="725EE06F" w:rsidRDefault="725EE06F">
            <w:r w:rsidRPr="725EE06F">
              <w:rPr>
                <w:rFonts w:cs="Calibri"/>
                <w:color w:val="000000" w:themeColor="text1"/>
              </w:rPr>
              <w:t>Little St John Street</w:t>
            </w:r>
          </w:p>
        </w:tc>
        <w:tc>
          <w:tcPr>
            <w:tcW w:w="3199" w:type="dxa"/>
            <w:vAlign w:val="center"/>
          </w:tcPr>
          <w:p w14:paraId="29845EC7" w14:textId="4C92F186" w:rsidR="00367B0B" w:rsidRPr="001F0B79" w:rsidRDefault="00367B0B" w:rsidP="003209DC"/>
        </w:tc>
      </w:tr>
      <w:tr w:rsidR="00367B0B" w:rsidRPr="003C451F" w14:paraId="6B316512" w14:textId="77777777" w:rsidTr="725EE06F">
        <w:tc>
          <w:tcPr>
            <w:tcW w:w="3010" w:type="dxa"/>
            <w:vAlign w:val="center"/>
          </w:tcPr>
          <w:p w14:paraId="4691CEAA" w14:textId="0E69006A" w:rsidR="725EE06F" w:rsidRDefault="725EE06F"/>
        </w:tc>
        <w:tc>
          <w:tcPr>
            <w:tcW w:w="3005" w:type="dxa"/>
            <w:vAlign w:val="center"/>
          </w:tcPr>
          <w:p w14:paraId="4C343863" w14:textId="2B01473A" w:rsidR="725EE06F" w:rsidRDefault="725EE06F"/>
        </w:tc>
        <w:tc>
          <w:tcPr>
            <w:tcW w:w="3199" w:type="dxa"/>
            <w:vAlign w:val="center"/>
          </w:tcPr>
          <w:p w14:paraId="68B10C4A" w14:textId="632C01FC" w:rsidR="00367B0B" w:rsidRPr="001F0B79" w:rsidRDefault="00367B0B" w:rsidP="725EE06F">
            <w:pPr>
              <w:rPr>
                <w:rFonts w:cs="Calibri"/>
                <w:color w:val="000000" w:themeColor="text1"/>
              </w:rPr>
            </w:pPr>
          </w:p>
        </w:tc>
      </w:tr>
    </w:tbl>
    <w:p w14:paraId="70A40425" w14:textId="46899B57" w:rsidR="00D9298C" w:rsidRDefault="00D9298C" w:rsidP="00D9298C"/>
    <w:p w14:paraId="55DBC25B" w14:textId="70B38E83" w:rsidR="007C1AEE" w:rsidRDefault="00723456" w:rsidP="00F03257">
      <w:pPr>
        <w:pStyle w:val="Heading1"/>
      </w:pPr>
      <w:bookmarkStart w:id="2" w:name="_Toc6743473"/>
      <w:r w:rsidRPr="00B94E5A">
        <w:t>Introduction</w:t>
      </w:r>
      <w:bookmarkEnd w:id="2"/>
    </w:p>
    <w:p w14:paraId="7C87D0B3" w14:textId="0D24D839" w:rsidR="00B94E5A" w:rsidRPr="00F03257" w:rsidRDefault="00B94E5A" w:rsidP="00F03257">
      <w:r w:rsidRPr="00F03257">
        <w:t xml:space="preserve">Information Governance (IG) is a set of multi-disciplinary structures, policies, procedures, processes and controls implemented to manage information at an organisational level. Information Governance supports </w:t>
      </w:r>
      <w:r w:rsidR="00393B98" w:rsidRPr="003C451F">
        <w:rPr>
          <w:b/>
        </w:rPr>
        <w:t>The Practice’s</w:t>
      </w:r>
      <w:r w:rsidRPr="00F03257">
        <w:t xml:space="preserve"> immediate and future regulatory, legal, risk, environmental and operational requirements.</w:t>
      </w:r>
    </w:p>
    <w:p w14:paraId="55C3F7A0" w14:textId="77777777" w:rsidR="002613AD" w:rsidRPr="00F03257" w:rsidRDefault="002613AD" w:rsidP="00F03257">
      <w:pPr>
        <w:pStyle w:val="BodyText"/>
        <w:jc w:val="both"/>
        <w:rPr>
          <w:szCs w:val="22"/>
        </w:rPr>
      </w:pPr>
      <w:r w:rsidRPr="00F03257">
        <w:rPr>
          <w:szCs w:val="22"/>
        </w:rPr>
        <w:t>Information is a vital asset, both in terms of the commercial development and the efficient management of services and resources. It plays a key part in governance, service planning and performance management.</w:t>
      </w:r>
    </w:p>
    <w:p w14:paraId="59FF90B0" w14:textId="77777777" w:rsidR="002613AD" w:rsidRPr="00F03257" w:rsidRDefault="002613AD" w:rsidP="00F03257">
      <w:pPr>
        <w:pStyle w:val="BodyText"/>
        <w:ind w:left="140"/>
        <w:jc w:val="both"/>
        <w:rPr>
          <w:szCs w:val="22"/>
        </w:rPr>
      </w:pPr>
    </w:p>
    <w:p w14:paraId="3C5E886E" w14:textId="3A7E7F53" w:rsidR="002613AD" w:rsidRPr="00F03257" w:rsidRDefault="002613AD" w:rsidP="00F03257">
      <w:pPr>
        <w:pStyle w:val="BodyText"/>
        <w:jc w:val="both"/>
        <w:rPr>
          <w:szCs w:val="22"/>
        </w:rPr>
      </w:pPr>
      <w:r w:rsidRPr="00F03257">
        <w:rPr>
          <w:szCs w:val="22"/>
        </w:rPr>
        <w:t xml:space="preserve">It is therefore of </w:t>
      </w:r>
      <w:r w:rsidR="00F03257" w:rsidRPr="00F03257">
        <w:rPr>
          <w:szCs w:val="22"/>
        </w:rPr>
        <w:t>critical</w:t>
      </w:r>
      <w:r w:rsidRPr="00F03257">
        <w:rPr>
          <w:szCs w:val="22"/>
        </w:rPr>
        <w:t xml:space="preserve"> importance to ensure that information is </w:t>
      </w:r>
      <w:r w:rsidR="00F03257" w:rsidRPr="00F03257">
        <w:rPr>
          <w:szCs w:val="22"/>
        </w:rPr>
        <w:t>appropriately</w:t>
      </w:r>
      <w:r w:rsidRPr="00F03257">
        <w:rPr>
          <w:szCs w:val="22"/>
        </w:rPr>
        <w:t xml:space="preserve"> managed, and </w:t>
      </w:r>
      <w:r w:rsidRPr="00F03257">
        <w:rPr>
          <w:szCs w:val="22"/>
        </w:rPr>
        <w:lastRenderedPageBreak/>
        <w:t>that policies, procedures and management accountability and structures provide a robust governance framework for information management.</w:t>
      </w:r>
    </w:p>
    <w:p w14:paraId="11A4AB4C" w14:textId="77777777" w:rsidR="002613AD" w:rsidRPr="00425F1C" w:rsidRDefault="002613AD" w:rsidP="002613AD">
      <w:pPr>
        <w:pStyle w:val="BodyText"/>
        <w:ind w:left="140"/>
        <w:jc w:val="both"/>
        <w:rPr>
          <w:szCs w:val="22"/>
        </w:rPr>
      </w:pPr>
    </w:p>
    <w:p w14:paraId="4E7C7932" w14:textId="74E291F6" w:rsidR="00F03257" w:rsidRDefault="00393B98" w:rsidP="002613AD">
      <w:pPr>
        <w:rPr>
          <w:rFonts w:cs="Verdana"/>
        </w:rPr>
      </w:pPr>
      <w:r w:rsidRPr="003C451F">
        <w:rPr>
          <w:rFonts w:cs="Verdana"/>
          <w:b/>
        </w:rPr>
        <w:t>The Practice</w:t>
      </w:r>
      <w:r w:rsidR="002613AD" w:rsidRPr="00425F1C">
        <w:rPr>
          <w:rFonts w:cs="Verdana"/>
        </w:rPr>
        <w:t xml:space="preserve"> recognises the need for an appropriate balance between openness and confidentiality in the management and use of information. </w:t>
      </w:r>
      <w:r w:rsidRPr="003C451F">
        <w:rPr>
          <w:rFonts w:cs="Verdana"/>
          <w:b/>
        </w:rPr>
        <w:t>The Practice</w:t>
      </w:r>
      <w:r w:rsidR="00F03257" w:rsidRPr="00425F1C">
        <w:rPr>
          <w:rFonts w:cs="Verdana"/>
        </w:rPr>
        <w:t xml:space="preserve"> </w:t>
      </w:r>
      <w:r w:rsidR="002613AD" w:rsidRPr="00425F1C">
        <w:rPr>
          <w:rFonts w:cs="Verdana"/>
        </w:rPr>
        <w:t xml:space="preserve">fully supports the </w:t>
      </w:r>
      <w:r w:rsidR="002613AD" w:rsidRPr="00BA2D92">
        <w:rPr>
          <w:rFonts w:cs="Verdana"/>
        </w:rPr>
        <w:t xml:space="preserve">principles of </w:t>
      </w:r>
      <w:r w:rsidR="00F03257" w:rsidRPr="00BA2D92">
        <w:rPr>
          <w:rFonts w:cs="Verdana"/>
        </w:rPr>
        <w:t>clinical and</w:t>
      </w:r>
      <w:r w:rsidR="00F03257">
        <w:rPr>
          <w:rFonts w:cs="Verdana"/>
        </w:rPr>
        <w:t xml:space="preserve"> </w:t>
      </w:r>
      <w:r w:rsidR="002613AD" w:rsidRPr="00425F1C">
        <w:rPr>
          <w:rFonts w:cs="Verdana"/>
        </w:rPr>
        <w:t xml:space="preserve">corporate governance and recognises the power of public accountability, but equally places importance on the confidentiality of, and the security arrangements to safeguard, both personal information </w:t>
      </w:r>
      <w:r w:rsidR="002613AD" w:rsidRPr="00BA2D92">
        <w:rPr>
          <w:rFonts w:cs="Verdana"/>
        </w:rPr>
        <w:t xml:space="preserve">about </w:t>
      </w:r>
      <w:r w:rsidR="00F03257" w:rsidRPr="00BA2D92">
        <w:rPr>
          <w:rFonts w:cs="Verdana"/>
        </w:rPr>
        <w:t>patients</w:t>
      </w:r>
      <w:r w:rsidR="00BA2D92" w:rsidRPr="00BA2D92">
        <w:rPr>
          <w:rFonts w:cs="Verdana"/>
        </w:rPr>
        <w:t>, the public</w:t>
      </w:r>
      <w:r w:rsidR="00F03257">
        <w:rPr>
          <w:rFonts w:cs="Verdana"/>
        </w:rPr>
        <w:t xml:space="preserve"> </w:t>
      </w:r>
      <w:r w:rsidR="002613AD" w:rsidRPr="00425F1C">
        <w:rPr>
          <w:rFonts w:cs="Verdana"/>
        </w:rPr>
        <w:t xml:space="preserve">and staff and commercially sensitive information. </w:t>
      </w:r>
      <w:r w:rsidRPr="003C451F">
        <w:rPr>
          <w:rFonts w:cs="Verdana"/>
          <w:b/>
        </w:rPr>
        <w:t>The Practice</w:t>
      </w:r>
      <w:r w:rsidR="00BA2D92">
        <w:rPr>
          <w:rFonts w:cs="Verdana"/>
        </w:rPr>
        <w:t xml:space="preserve"> </w:t>
      </w:r>
      <w:r w:rsidR="002613AD" w:rsidRPr="00BA2D92">
        <w:rPr>
          <w:rFonts w:cs="Verdana"/>
        </w:rPr>
        <w:t>also recognises</w:t>
      </w:r>
      <w:r w:rsidR="002613AD" w:rsidRPr="00425F1C">
        <w:rPr>
          <w:rFonts w:cs="Verdana"/>
        </w:rPr>
        <w:t xml:space="preserve"> the need to share information with </w:t>
      </w:r>
      <w:r w:rsidR="00BA2D92">
        <w:rPr>
          <w:rFonts w:cs="Verdana"/>
        </w:rPr>
        <w:t>commissioners, partners</w:t>
      </w:r>
      <w:r w:rsidR="002613AD" w:rsidRPr="00425F1C">
        <w:rPr>
          <w:rFonts w:cs="Verdana"/>
        </w:rPr>
        <w:t xml:space="preserve"> and </w:t>
      </w:r>
      <w:r w:rsidR="00BA2D92">
        <w:rPr>
          <w:rFonts w:cs="Verdana"/>
        </w:rPr>
        <w:t xml:space="preserve">other </w:t>
      </w:r>
      <w:r w:rsidR="002613AD" w:rsidRPr="00425F1C">
        <w:rPr>
          <w:rFonts w:cs="Verdana"/>
        </w:rPr>
        <w:t xml:space="preserve">third parties in a controlled manner consistent with the </w:t>
      </w:r>
      <w:r w:rsidR="00BA2D92">
        <w:rPr>
          <w:rFonts w:cs="Verdana"/>
        </w:rPr>
        <w:t xml:space="preserve">established </w:t>
      </w:r>
      <w:r w:rsidR="002613AD" w:rsidRPr="00425F1C">
        <w:rPr>
          <w:rFonts w:cs="Verdana"/>
        </w:rPr>
        <w:t>lawful basis</w:t>
      </w:r>
      <w:r w:rsidR="00BA2D92">
        <w:rPr>
          <w:rFonts w:cs="Verdana"/>
        </w:rPr>
        <w:t>.</w:t>
      </w:r>
      <w:r w:rsidR="002613AD" w:rsidRPr="00425F1C">
        <w:rPr>
          <w:rFonts w:cs="Verdana"/>
        </w:rPr>
        <w:t xml:space="preserve"> </w:t>
      </w:r>
    </w:p>
    <w:p w14:paraId="68855EE0" w14:textId="7771230A" w:rsidR="00AF1E4C" w:rsidRDefault="00AF1E4C" w:rsidP="002613AD">
      <w:pPr>
        <w:rPr>
          <w:rFonts w:cs="Verdana"/>
        </w:rPr>
      </w:pPr>
      <w:r>
        <w:rPr>
          <w:rFonts w:cs="Verdana"/>
        </w:rPr>
        <w:t xml:space="preserve">This overarching Information Governance Policy </w:t>
      </w:r>
      <w:r w:rsidR="00BA2D92">
        <w:rPr>
          <w:rFonts w:cs="Verdana"/>
        </w:rPr>
        <w:t xml:space="preserve">and the associated protocols </w:t>
      </w:r>
      <w:r>
        <w:rPr>
          <w:rFonts w:cs="Verdana"/>
        </w:rPr>
        <w:t xml:space="preserve">sets out </w:t>
      </w:r>
      <w:r w:rsidR="00393B98" w:rsidRPr="003C451F">
        <w:rPr>
          <w:rFonts w:cs="Verdana"/>
          <w:b/>
        </w:rPr>
        <w:t>The Practice</w:t>
      </w:r>
      <w:r w:rsidR="00BA2D92" w:rsidRPr="003C451F">
        <w:rPr>
          <w:rFonts w:cs="Verdana"/>
          <w:b/>
        </w:rPr>
        <w:t>’s</w:t>
      </w:r>
      <w:r>
        <w:rPr>
          <w:rFonts w:cs="Verdana"/>
        </w:rPr>
        <w:t xml:space="preserve"> policy with respect to the governance of;</w:t>
      </w:r>
    </w:p>
    <w:p w14:paraId="389C42F4" w14:textId="7E46BAB6" w:rsidR="00AF1E4C" w:rsidRPr="00AF1E4C" w:rsidRDefault="00AF1E4C" w:rsidP="00AF1E4C">
      <w:pPr>
        <w:pStyle w:val="ListParagraph"/>
        <w:numPr>
          <w:ilvl w:val="0"/>
          <w:numId w:val="6"/>
        </w:numPr>
        <w:rPr>
          <w:rFonts w:cs="Verdana"/>
        </w:rPr>
      </w:pPr>
      <w:r w:rsidRPr="00AF1E4C">
        <w:rPr>
          <w:rFonts w:cs="Verdana"/>
        </w:rPr>
        <w:t>Privacy</w:t>
      </w:r>
    </w:p>
    <w:p w14:paraId="132A0FB8" w14:textId="19937526" w:rsidR="00AF1E4C" w:rsidRPr="00AF1E4C" w:rsidRDefault="00AF1E4C" w:rsidP="00AF1E4C">
      <w:pPr>
        <w:pStyle w:val="ListParagraph"/>
        <w:numPr>
          <w:ilvl w:val="0"/>
          <w:numId w:val="6"/>
        </w:numPr>
        <w:rPr>
          <w:rFonts w:cs="Verdana"/>
        </w:rPr>
      </w:pPr>
      <w:r w:rsidRPr="00AF1E4C">
        <w:rPr>
          <w:rFonts w:cs="Verdana"/>
        </w:rPr>
        <w:t>Information and Cyber Security</w:t>
      </w:r>
    </w:p>
    <w:p w14:paraId="4901F51E" w14:textId="46ABADB2" w:rsidR="00AF1E4C" w:rsidRPr="00AF1E4C" w:rsidRDefault="00AF1E4C" w:rsidP="00AF1E4C">
      <w:pPr>
        <w:pStyle w:val="ListParagraph"/>
        <w:numPr>
          <w:ilvl w:val="0"/>
          <w:numId w:val="6"/>
        </w:numPr>
        <w:rPr>
          <w:rFonts w:cs="Verdana"/>
        </w:rPr>
      </w:pPr>
      <w:r w:rsidRPr="00AF1E4C">
        <w:rPr>
          <w:rFonts w:cs="Verdana"/>
        </w:rPr>
        <w:t>Data Quality and Records Management</w:t>
      </w:r>
    </w:p>
    <w:p w14:paraId="4022E063" w14:textId="7085A0DD" w:rsidR="00B94E5A" w:rsidRDefault="00F03257" w:rsidP="00F03257">
      <w:pPr>
        <w:pStyle w:val="Heading1"/>
      </w:pPr>
      <w:bookmarkStart w:id="3" w:name="_Toc6743474"/>
      <w:r>
        <w:t>Statutory Mandatory Framework</w:t>
      </w:r>
      <w:bookmarkEnd w:id="3"/>
    </w:p>
    <w:p w14:paraId="55587E84" w14:textId="35ABB79D" w:rsidR="00F03257" w:rsidRDefault="00F03257" w:rsidP="00B94E5A">
      <w:r>
        <w:t xml:space="preserve">This policy serves to support </w:t>
      </w:r>
      <w:r w:rsidR="00393B98" w:rsidRPr="003C451F">
        <w:rPr>
          <w:b/>
        </w:rPr>
        <w:t>The Practice</w:t>
      </w:r>
      <w:r>
        <w:t xml:space="preserve"> to navigate and comply with the complex framework within which Information Governance operates.</w:t>
      </w:r>
    </w:p>
    <w:p w14:paraId="08151371" w14:textId="26958C82" w:rsidR="00F03257" w:rsidRDefault="00F03257" w:rsidP="00B94E5A">
      <w:r>
        <w:t>This framework includes but is not limited to;</w:t>
      </w:r>
    </w:p>
    <w:p w14:paraId="30AD49D1" w14:textId="77777777" w:rsidR="00F03257" w:rsidRPr="00163DF8" w:rsidRDefault="00F03257" w:rsidP="00BA2D92">
      <w:pPr>
        <w:pStyle w:val="ListParagraph"/>
        <w:numPr>
          <w:ilvl w:val="0"/>
          <w:numId w:val="1"/>
        </w:numPr>
      </w:pPr>
      <w:r w:rsidRPr="00163DF8">
        <w:t>NHS Act 2006</w:t>
      </w:r>
    </w:p>
    <w:p w14:paraId="0B529068" w14:textId="77777777" w:rsidR="00F03257" w:rsidRPr="00163DF8" w:rsidRDefault="00F03257" w:rsidP="00BA2D92">
      <w:pPr>
        <w:pStyle w:val="ListParagraph"/>
        <w:numPr>
          <w:ilvl w:val="0"/>
          <w:numId w:val="1"/>
        </w:numPr>
      </w:pPr>
      <w:r w:rsidRPr="00163DF8">
        <w:t>Health and Social Care Act 2012</w:t>
      </w:r>
    </w:p>
    <w:p w14:paraId="705C216D" w14:textId="17AFC267" w:rsidR="00F03257" w:rsidRPr="00163DF8" w:rsidRDefault="00F03257" w:rsidP="00BA2D92">
      <w:pPr>
        <w:pStyle w:val="ListParagraph"/>
        <w:numPr>
          <w:ilvl w:val="0"/>
          <w:numId w:val="1"/>
        </w:numPr>
      </w:pPr>
      <w:r w:rsidRPr="00163DF8">
        <w:t xml:space="preserve">Data Protection Act </w:t>
      </w:r>
      <w:r w:rsidR="007E2E9B">
        <w:t>2018</w:t>
      </w:r>
    </w:p>
    <w:p w14:paraId="1BBEA71E" w14:textId="7BE2DAD8" w:rsidR="00F03257" w:rsidRPr="00163DF8" w:rsidRDefault="00F03257" w:rsidP="00BA2D92">
      <w:pPr>
        <w:pStyle w:val="ListParagraph"/>
        <w:numPr>
          <w:ilvl w:val="0"/>
          <w:numId w:val="1"/>
        </w:numPr>
      </w:pPr>
      <w:r w:rsidRPr="00163DF8">
        <w:t>Human Rights Act 1998</w:t>
      </w:r>
    </w:p>
    <w:p w14:paraId="4A5F5927" w14:textId="7C1ABCDE" w:rsidR="00F03257" w:rsidRPr="00163DF8" w:rsidRDefault="00F03257" w:rsidP="00BA2D92">
      <w:pPr>
        <w:pStyle w:val="ListParagraph"/>
        <w:numPr>
          <w:ilvl w:val="0"/>
          <w:numId w:val="1"/>
        </w:numPr>
      </w:pPr>
      <w:r w:rsidRPr="00163DF8">
        <w:t>Common Law Duty of Confidence</w:t>
      </w:r>
    </w:p>
    <w:p w14:paraId="28CC7F78" w14:textId="61092446" w:rsidR="00F03257" w:rsidRPr="00163DF8" w:rsidRDefault="00F03257" w:rsidP="00BA2D92">
      <w:pPr>
        <w:pStyle w:val="ListParagraph"/>
        <w:numPr>
          <w:ilvl w:val="0"/>
          <w:numId w:val="1"/>
        </w:numPr>
      </w:pPr>
      <w:r w:rsidRPr="00163DF8">
        <w:t>Computer Misuse Act 1990</w:t>
      </w:r>
    </w:p>
    <w:p w14:paraId="36C1863E" w14:textId="18EB9800" w:rsidR="00F03257" w:rsidRDefault="00C364F5" w:rsidP="00BA2D92">
      <w:pPr>
        <w:pStyle w:val="ListParagraph"/>
        <w:numPr>
          <w:ilvl w:val="0"/>
          <w:numId w:val="1"/>
        </w:numPr>
      </w:pPr>
      <w:r>
        <w:t xml:space="preserve">UK / EU GDPR </w:t>
      </w:r>
    </w:p>
    <w:p w14:paraId="2EBD740C" w14:textId="5E2455F8" w:rsidR="00F03257" w:rsidRPr="00163DF8" w:rsidRDefault="00F03257" w:rsidP="00BA2D92">
      <w:pPr>
        <w:pStyle w:val="ListParagraph"/>
        <w:numPr>
          <w:ilvl w:val="0"/>
          <w:numId w:val="1"/>
        </w:numPr>
      </w:pPr>
      <w:r w:rsidRPr="00163DF8">
        <w:t>Mental Health Capacity Act 2005</w:t>
      </w:r>
    </w:p>
    <w:p w14:paraId="3302E861" w14:textId="1C558AA2" w:rsidR="00F03257" w:rsidRPr="00163DF8" w:rsidRDefault="00F03257" w:rsidP="00BA2D92">
      <w:pPr>
        <w:pStyle w:val="ListParagraph"/>
        <w:numPr>
          <w:ilvl w:val="0"/>
          <w:numId w:val="1"/>
        </w:numPr>
      </w:pPr>
      <w:r w:rsidRPr="00163DF8">
        <w:t>Children Act 1989</w:t>
      </w:r>
    </w:p>
    <w:p w14:paraId="71E12F86" w14:textId="0F0D97C4" w:rsidR="00F03257" w:rsidRDefault="00163DF8" w:rsidP="00BA2D92">
      <w:pPr>
        <w:pStyle w:val="ListParagraph"/>
        <w:numPr>
          <w:ilvl w:val="0"/>
          <w:numId w:val="1"/>
        </w:numPr>
      </w:pPr>
      <w:r>
        <w:t>DH Records Management Code of Practice</w:t>
      </w:r>
    </w:p>
    <w:p w14:paraId="1783F89F" w14:textId="79291953" w:rsidR="00163DF8" w:rsidRDefault="00163DF8" w:rsidP="00BA2D92">
      <w:pPr>
        <w:pStyle w:val="ListParagraph"/>
        <w:numPr>
          <w:ilvl w:val="0"/>
          <w:numId w:val="1"/>
        </w:numPr>
      </w:pPr>
      <w:r>
        <w:t>DH Information Security Code of Practice</w:t>
      </w:r>
    </w:p>
    <w:p w14:paraId="38BD78C4" w14:textId="0941AEBC" w:rsidR="00163DF8" w:rsidRDefault="00163DF8" w:rsidP="00BA2D92">
      <w:pPr>
        <w:pStyle w:val="ListParagraph"/>
        <w:numPr>
          <w:ilvl w:val="0"/>
          <w:numId w:val="1"/>
        </w:numPr>
      </w:pPr>
      <w:r>
        <w:t>DH Confidentiality Code of Practice</w:t>
      </w:r>
    </w:p>
    <w:p w14:paraId="150710AB" w14:textId="77777777" w:rsidR="00B94E5A" w:rsidRDefault="00B94E5A" w:rsidP="00163DF8">
      <w:pPr>
        <w:pStyle w:val="Heading1"/>
      </w:pPr>
      <w:bookmarkStart w:id="4" w:name="_Toc6743475"/>
      <w:r>
        <w:lastRenderedPageBreak/>
        <w:t>Accountable Parties</w:t>
      </w:r>
      <w:bookmarkEnd w:id="4"/>
    </w:p>
    <w:p w14:paraId="10AAA3C5" w14:textId="7BA89336" w:rsidR="00163DF8" w:rsidRPr="00482CBD" w:rsidRDefault="00393B98" w:rsidP="00BA2D92">
      <w:pPr>
        <w:pStyle w:val="Heading2"/>
      </w:pPr>
      <w:bookmarkStart w:id="5" w:name="_Toc6743476"/>
      <w:r>
        <w:t>The Board</w:t>
      </w:r>
      <w:bookmarkEnd w:id="5"/>
    </w:p>
    <w:p w14:paraId="7D598877" w14:textId="641E578B" w:rsidR="00163DF8" w:rsidRPr="00BA2D92" w:rsidRDefault="00163DF8" w:rsidP="00BA2D92">
      <w:pPr>
        <w:pStyle w:val="BodyText"/>
        <w:rPr>
          <w:rFonts w:cstheme="majorBidi"/>
        </w:rPr>
      </w:pPr>
      <w:r w:rsidRPr="003C451F">
        <w:rPr>
          <w:b/>
        </w:rPr>
        <w:t xml:space="preserve">The </w:t>
      </w:r>
      <w:r w:rsidR="00393B98" w:rsidRPr="003C451F">
        <w:rPr>
          <w:b/>
        </w:rPr>
        <w:t>Board</w:t>
      </w:r>
      <w:r w:rsidRPr="00482CBD">
        <w:t xml:space="preserve"> has overall responsibility for Information Governance </w:t>
      </w:r>
      <w:r w:rsidR="00BA2D92">
        <w:t xml:space="preserve">at </w:t>
      </w:r>
      <w:r w:rsidR="00393B98" w:rsidRPr="003C451F">
        <w:rPr>
          <w:b/>
        </w:rPr>
        <w:t>The Practice</w:t>
      </w:r>
      <w:r w:rsidRPr="00482CBD">
        <w:t xml:space="preserve">.  As </w:t>
      </w:r>
      <w:r w:rsidR="00BA2D92">
        <w:t xml:space="preserve">the senior </w:t>
      </w:r>
      <w:r w:rsidRPr="00482CBD">
        <w:t xml:space="preserve">accountable officer, he/she is responsible for the management of the organisation and for ensuring appropriate mechanisms are in place to </w:t>
      </w:r>
      <w:r>
        <w:t>provide the necessary assurance to internal and external stakeholders</w:t>
      </w:r>
      <w:r w:rsidRPr="00482CBD">
        <w:t>.</w:t>
      </w:r>
    </w:p>
    <w:p w14:paraId="6ED53D81" w14:textId="20DA6363" w:rsidR="00163DF8" w:rsidRDefault="00393B98" w:rsidP="00163DF8">
      <w:r w:rsidRPr="003C451F">
        <w:rPr>
          <w:b/>
        </w:rPr>
        <w:t>The Board</w:t>
      </w:r>
      <w:r w:rsidR="00BA2D92" w:rsidRPr="00482CBD">
        <w:t xml:space="preserve"> </w:t>
      </w:r>
      <w:r w:rsidR="00163DF8" w:rsidRPr="00482CBD">
        <w:t xml:space="preserve">has a particular responsibility for ensuring that </w:t>
      </w:r>
      <w:r w:rsidRPr="003C451F">
        <w:rPr>
          <w:b/>
        </w:rPr>
        <w:t>The Practice</w:t>
      </w:r>
      <w:r w:rsidR="00163DF8" w:rsidRPr="00482CBD">
        <w:t xml:space="preserve"> meets its corporate legal responsibilities, and for</w:t>
      </w:r>
      <w:r w:rsidR="00163DF8">
        <w:t xml:space="preserve"> </w:t>
      </w:r>
      <w:r w:rsidR="00163DF8" w:rsidRPr="00482CBD">
        <w:t>the adoption of internal and external governance requirements.</w:t>
      </w:r>
      <w:bookmarkStart w:id="6" w:name="_Toc466281034"/>
    </w:p>
    <w:p w14:paraId="1B220E74" w14:textId="2FC1B621" w:rsidR="00163DF8" w:rsidRDefault="00163DF8" w:rsidP="00163DF8">
      <w:pPr>
        <w:pStyle w:val="Heading2"/>
      </w:pPr>
      <w:bookmarkStart w:id="7" w:name="_Toc6743477"/>
      <w:r>
        <w:t>Senior Information Risk Owner (SIRO)</w:t>
      </w:r>
      <w:bookmarkEnd w:id="7"/>
    </w:p>
    <w:p w14:paraId="73B82099" w14:textId="240CF60A" w:rsidR="00163DF8" w:rsidRDefault="00163DF8" w:rsidP="00163DF8">
      <w:r>
        <w:t>The SIRO;</w:t>
      </w:r>
    </w:p>
    <w:p w14:paraId="0D7D8A26" w14:textId="79C79127" w:rsidR="00163DF8" w:rsidRDefault="00163DF8" w:rsidP="00163DF8">
      <w:pPr>
        <w:pStyle w:val="ListParagraph"/>
        <w:numPr>
          <w:ilvl w:val="0"/>
          <w:numId w:val="3"/>
        </w:numPr>
      </w:pPr>
      <w:r>
        <w:t>leads and fosters a</w:t>
      </w:r>
      <w:r w:rsidRPr="00163DF8">
        <w:t xml:space="preserve"> culture that values, protects and uses information for the success of the organisation and benefit of its customers</w:t>
      </w:r>
      <w:r>
        <w:t>.</w:t>
      </w:r>
    </w:p>
    <w:p w14:paraId="63AEC1AF" w14:textId="3F0306F6" w:rsidR="00163DF8" w:rsidRDefault="00163DF8" w:rsidP="00163DF8">
      <w:pPr>
        <w:pStyle w:val="ListParagraph"/>
        <w:numPr>
          <w:ilvl w:val="0"/>
          <w:numId w:val="3"/>
        </w:numPr>
      </w:pPr>
      <w:r>
        <w:t xml:space="preserve">owns </w:t>
      </w:r>
      <w:r w:rsidRPr="00163DF8">
        <w:t>the organisation’s overall information risk policy and risk assessment processes and ensuring they are implemented consistently by I</w:t>
      </w:r>
      <w:r>
        <w:t>nformation Asset Owners / Administrators.</w:t>
      </w:r>
      <w:r w:rsidRPr="00163DF8">
        <w:t xml:space="preserve">  </w:t>
      </w:r>
    </w:p>
    <w:p w14:paraId="14E80D85" w14:textId="5EE5297D" w:rsidR="00163DF8" w:rsidRPr="00163DF8" w:rsidRDefault="00163DF8" w:rsidP="00163DF8">
      <w:pPr>
        <w:pStyle w:val="ListParagraph"/>
        <w:numPr>
          <w:ilvl w:val="0"/>
          <w:numId w:val="3"/>
        </w:numPr>
      </w:pPr>
      <w:r w:rsidRPr="00163DF8">
        <w:t>Own</w:t>
      </w:r>
      <w:r>
        <w:t>s</w:t>
      </w:r>
      <w:r w:rsidRPr="00163DF8">
        <w:t xml:space="preserve"> the organisation’s information incident management framework</w:t>
      </w:r>
    </w:p>
    <w:p w14:paraId="38B425FE" w14:textId="10434383" w:rsidR="00163DF8" w:rsidRPr="00EB0209" w:rsidRDefault="00163DF8" w:rsidP="00EB0209">
      <w:pPr>
        <w:pStyle w:val="Heading2"/>
      </w:pPr>
      <w:bookmarkStart w:id="8" w:name="_Toc6743478"/>
      <w:bookmarkEnd w:id="6"/>
      <w:r w:rsidRPr="00EB0209">
        <w:t>Information Asset Owners (IAOs)</w:t>
      </w:r>
      <w:bookmarkEnd w:id="8"/>
    </w:p>
    <w:p w14:paraId="0B7ECDFF" w14:textId="7AE04602" w:rsidR="00163DF8" w:rsidRDefault="00163DF8" w:rsidP="00163DF8">
      <w:r>
        <w:t>The IAO</w:t>
      </w:r>
      <w:r w:rsidR="00D25CAA">
        <w:t xml:space="preserve"> will</w:t>
      </w:r>
      <w:r>
        <w:t>;</w:t>
      </w:r>
    </w:p>
    <w:p w14:paraId="722256D7" w14:textId="11C2B5FF" w:rsidR="00163DF8" w:rsidRDefault="00163DF8" w:rsidP="00163DF8">
      <w:r>
        <w:t xml:space="preserve">Hold local responsibility for </w:t>
      </w:r>
      <w:r w:rsidRPr="00482CBD">
        <w:t>information risk management</w:t>
      </w:r>
      <w:r>
        <w:t>,</w:t>
      </w:r>
      <w:r w:rsidRPr="00482CBD">
        <w:t xml:space="preserve"> devolved to the relevant directors, department </w:t>
      </w:r>
      <w:r w:rsidR="00BA2D92">
        <w:t>leads</w:t>
      </w:r>
      <w:r>
        <w:t xml:space="preserve"> by the SIRO</w:t>
      </w:r>
      <w:r w:rsidRPr="00482CBD">
        <w:t xml:space="preserve">.  </w:t>
      </w:r>
      <w:r w:rsidR="00B6756C">
        <w:t>B</w:t>
      </w:r>
      <w:r w:rsidRPr="00482CBD">
        <w:t>usiness function</w:t>
      </w:r>
      <w:r w:rsidR="00B6756C">
        <w:t xml:space="preserve"> leads </w:t>
      </w:r>
      <w:r w:rsidRPr="00482CBD">
        <w:t>within</w:t>
      </w:r>
      <w:r w:rsidR="00393B98">
        <w:t xml:space="preserve"> </w:t>
      </w:r>
      <w:r w:rsidR="00393B98" w:rsidRPr="003C451F">
        <w:rPr>
          <w:b/>
        </w:rPr>
        <w:t>The Practice</w:t>
      </w:r>
      <w:r w:rsidRPr="00482CBD">
        <w:t xml:space="preserve"> have overall responsibility for the management of risks generated by their information assets</w:t>
      </w:r>
      <w:r w:rsidR="00EB0209">
        <w:t xml:space="preserve"> and are supported on a daily basis by Information Asset Administrators.</w:t>
      </w:r>
    </w:p>
    <w:p w14:paraId="6BFEEB65" w14:textId="18AB7912" w:rsidR="00F83EF8" w:rsidRDefault="00F83EF8" w:rsidP="00B6756C">
      <w:pPr>
        <w:pStyle w:val="Heading2"/>
      </w:pPr>
      <w:bookmarkStart w:id="9" w:name="_Toc6743479"/>
      <w:r>
        <w:t>Caldicott Guardian</w:t>
      </w:r>
      <w:r w:rsidR="00EB4F7D">
        <w:t xml:space="preserve"> Function</w:t>
      </w:r>
      <w:bookmarkEnd w:id="9"/>
    </w:p>
    <w:p w14:paraId="08FFF39D" w14:textId="742CA7A4" w:rsidR="00F83EF8" w:rsidRDefault="00F83EF8" w:rsidP="00B6756C">
      <w:r>
        <w:t>The Caldicott Guardian will;</w:t>
      </w:r>
    </w:p>
    <w:p w14:paraId="4EA81221" w14:textId="7C7F268F" w:rsidR="00F83EF8" w:rsidRDefault="00F83EF8" w:rsidP="00B6756C">
      <w:pPr>
        <w:pStyle w:val="ListParagraph"/>
        <w:numPr>
          <w:ilvl w:val="0"/>
          <w:numId w:val="4"/>
        </w:numPr>
      </w:pPr>
      <w:r>
        <w:t>Produce procedures, guidelines and protocols to support staff in the appropriate management of patient information</w:t>
      </w:r>
    </w:p>
    <w:p w14:paraId="20CC554E" w14:textId="4D68F05F" w:rsidR="00F83EF8" w:rsidRDefault="00F83EF8" w:rsidP="00B6756C">
      <w:pPr>
        <w:pStyle w:val="ListParagraph"/>
        <w:numPr>
          <w:ilvl w:val="0"/>
          <w:numId w:val="4"/>
        </w:numPr>
      </w:pPr>
      <w:r>
        <w:t>Provide a point of escalation and specialist advice for staff with respect to information sharing, acting as the conscience of the organisation</w:t>
      </w:r>
    </w:p>
    <w:p w14:paraId="70283317" w14:textId="0BEC1A55" w:rsidR="00F83EF8" w:rsidRPr="00F83EF8" w:rsidRDefault="00F83EF8" w:rsidP="00B6756C">
      <w:pPr>
        <w:pStyle w:val="ListParagraph"/>
        <w:numPr>
          <w:ilvl w:val="0"/>
          <w:numId w:val="4"/>
        </w:numPr>
      </w:pPr>
      <w:r>
        <w:t xml:space="preserve">bring to the attention of the relevant manager any occasion where the appropriate procedures, guidelines and protocols may have not been followed and raise concerns about any inappropriate uses made of patient information where necessary. </w:t>
      </w:r>
    </w:p>
    <w:p w14:paraId="2EFB65F9" w14:textId="70D29A96" w:rsidR="00EB0209" w:rsidRDefault="00EB0209" w:rsidP="00EB0209">
      <w:pPr>
        <w:pStyle w:val="Heading2"/>
      </w:pPr>
      <w:bookmarkStart w:id="10" w:name="_Toc6743480"/>
      <w:r>
        <w:lastRenderedPageBreak/>
        <w:t>Data Protection Officer</w:t>
      </w:r>
      <w:r w:rsidR="004D0819">
        <w:t xml:space="preserve"> (DPO)</w:t>
      </w:r>
      <w:bookmarkEnd w:id="10"/>
    </w:p>
    <w:p w14:paraId="17EC6C63" w14:textId="77777777" w:rsidR="004D0819" w:rsidRDefault="004D0819" w:rsidP="004D0819">
      <w:r>
        <w:t>The DPO Will;</w:t>
      </w:r>
    </w:p>
    <w:p w14:paraId="18071C20" w14:textId="75CCAF61" w:rsidR="004D0819" w:rsidRDefault="004D0819" w:rsidP="004D0819">
      <w:pPr>
        <w:pStyle w:val="ListParagraph"/>
        <w:numPr>
          <w:ilvl w:val="0"/>
          <w:numId w:val="5"/>
        </w:numPr>
      </w:pPr>
      <w:r>
        <w:t xml:space="preserve">inform and advise the organisation and its employees about their obligations to comply with the </w:t>
      </w:r>
      <w:r w:rsidR="007E2E9B">
        <w:t xml:space="preserve"> data protection legislation</w:t>
      </w:r>
      <w:r>
        <w:t>.</w:t>
      </w:r>
    </w:p>
    <w:p w14:paraId="63CEB8F6" w14:textId="487121D6" w:rsidR="004D0819" w:rsidRDefault="004D0819" w:rsidP="004D0819">
      <w:pPr>
        <w:pStyle w:val="ListParagraph"/>
        <w:numPr>
          <w:ilvl w:val="0"/>
          <w:numId w:val="5"/>
        </w:numPr>
      </w:pPr>
      <w:r>
        <w:t xml:space="preserve">monitor compliance with the </w:t>
      </w:r>
      <w:r w:rsidR="007E2E9B">
        <w:t>data protection legislation</w:t>
      </w:r>
      <w:r>
        <w:t>, including managing internal data protection activities, advise on data protection impact assessments; train staff and conduct internal audits.</w:t>
      </w:r>
    </w:p>
    <w:p w14:paraId="1AAA1282" w14:textId="372BE37D" w:rsidR="005361DD" w:rsidRDefault="004D0819" w:rsidP="004D0819">
      <w:pPr>
        <w:pStyle w:val="ListParagraph"/>
        <w:numPr>
          <w:ilvl w:val="0"/>
          <w:numId w:val="5"/>
        </w:numPr>
      </w:pPr>
      <w:r>
        <w:t xml:space="preserve">be the first point of contact for supervisory authorities and for individuals whose data is processed (employees, </w:t>
      </w:r>
      <w:r w:rsidR="007E2E9B">
        <w:t xml:space="preserve">patients </w:t>
      </w:r>
      <w:r>
        <w:t>etc).</w:t>
      </w:r>
    </w:p>
    <w:p w14:paraId="2A6A6095" w14:textId="77777777" w:rsidR="00163DF8" w:rsidRPr="00482CBD" w:rsidRDefault="00163DF8" w:rsidP="004D0819">
      <w:pPr>
        <w:pStyle w:val="Heading2"/>
      </w:pPr>
      <w:bookmarkStart w:id="11" w:name="_Toc6743481"/>
      <w:r w:rsidRPr="00482CBD">
        <w:t>All Staff</w:t>
      </w:r>
      <w:bookmarkEnd w:id="11"/>
    </w:p>
    <w:p w14:paraId="4E07EBF3" w14:textId="7A3B0F2D" w:rsidR="00163DF8" w:rsidRPr="00482CBD" w:rsidRDefault="00163DF8" w:rsidP="004D0819">
      <w:r w:rsidRPr="00482CBD">
        <w:t xml:space="preserve">All staff, whether </w:t>
      </w:r>
      <w:r w:rsidR="00B6756C">
        <w:t>clinical</w:t>
      </w:r>
      <w:r w:rsidRPr="00482CBD">
        <w:t xml:space="preserve"> or administrative, who create, receive and use data have information governance responsibilities.</w:t>
      </w:r>
      <w:r w:rsidR="004D0819">
        <w:t xml:space="preserve"> Employees have a contractual and legal obligation to read and comply with all company policies and to attend mandatory training to support the appropriate management of information.</w:t>
      </w:r>
    </w:p>
    <w:p w14:paraId="2177538A" w14:textId="687237BF" w:rsidR="004D0819" w:rsidRDefault="004D0819" w:rsidP="004D0819">
      <w:pPr>
        <w:pStyle w:val="Heading1"/>
      </w:pPr>
      <w:bookmarkStart w:id="12" w:name="_Toc6743482"/>
      <w:r>
        <w:t>Openness</w:t>
      </w:r>
      <w:bookmarkEnd w:id="12"/>
    </w:p>
    <w:p w14:paraId="79CCA993" w14:textId="1BFBC44C" w:rsidR="004D0819" w:rsidRDefault="004D0819" w:rsidP="004D0819">
      <w:r>
        <w:t xml:space="preserve">Non-confidential information related </w:t>
      </w:r>
      <w:r w:rsidRPr="00B6756C">
        <w:t xml:space="preserve">to </w:t>
      </w:r>
      <w:r w:rsidR="00393B98" w:rsidRPr="003C451F">
        <w:rPr>
          <w:b/>
        </w:rPr>
        <w:t>The Practice</w:t>
      </w:r>
      <w:r w:rsidRPr="00B6756C">
        <w:t xml:space="preserve"> and</w:t>
      </w:r>
      <w:r>
        <w:t xml:space="preserve"> its services will be available to the public through a variety of media, in line </w:t>
      </w:r>
      <w:r w:rsidRPr="00B6756C">
        <w:t xml:space="preserve">with </w:t>
      </w:r>
      <w:r w:rsidR="00393B98" w:rsidRPr="00297D26">
        <w:rPr>
          <w:b/>
        </w:rPr>
        <w:t>The Practice</w:t>
      </w:r>
      <w:r w:rsidR="00B6756C">
        <w:t>’s</w:t>
      </w:r>
      <w:r w:rsidRPr="00B6756C">
        <w:t xml:space="preserve"> overall</w:t>
      </w:r>
      <w:r>
        <w:t xml:space="preserve"> commitment to transparency</w:t>
      </w:r>
    </w:p>
    <w:p w14:paraId="3B926171" w14:textId="456C0D1A" w:rsidR="004D0819" w:rsidRDefault="00393B98" w:rsidP="004D0819">
      <w:r w:rsidRPr="00297D26">
        <w:rPr>
          <w:b/>
        </w:rPr>
        <w:t>The Practice</w:t>
      </w:r>
      <w:r w:rsidR="004D0819">
        <w:t xml:space="preserve"> will adopt and maintain clear procedures and arrangements for liaison with the press and broadcasting media</w:t>
      </w:r>
    </w:p>
    <w:p w14:paraId="79B0FB66" w14:textId="002F4BEA" w:rsidR="004D0819" w:rsidRDefault="00393B98" w:rsidP="004D0819">
      <w:r w:rsidRPr="00297D26">
        <w:rPr>
          <w:b/>
        </w:rPr>
        <w:t>The Practice</w:t>
      </w:r>
      <w:r w:rsidR="004D0819">
        <w:t xml:space="preserve"> will adopt and maintain an I</w:t>
      </w:r>
      <w:r w:rsidR="004D0819" w:rsidRPr="00B6756C">
        <w:t xml:space="preserve">nformation Rights and Access Protocol and a Freedom of Information Protocol to provide guidance </w:t>
      </w:r>
      <w:r w:rsidR="004D0819">
        <w:t>for handling queries from data subjects and the public.</w:t>
      </w:r>
    </w:p>
    <w:p w14:paraId="15A95F9C" w14:textId="07BF2811" w:rsidR="004D0819" w:rsidRDefault="004D0819" w:rsidP="004D0819">
      <w:pPr>
        <w:pStyle w:val="Heading1"/>
      </w:pPr>
      <w:bookmarkStart w:id="13" w:name="_Toc6743483"/>
      <w:r>
        <w:t>Privacy</w:t>
      </w:r>
      <w:r w:rsidR="007E0044">
        <w:t xml:space="preserve"> and Information Rights</w:t>
      </w:r>
      <w:bookmarkEnd w:id="13"/>
    </w:p>
    <w:p w14:paraId="1DC59859" w14:textId="1CF3175A" w:rsidR="004D0819" w:rsidRDefault="00393B98" w:rsidP="004D0819">
      <w:r w:rsidRPr="00297D26">
        <w:rPr>
          <w:b/>
        </w:rPr>
        <w:t>The Practice</w:t>
      </w:r>
      <w:r w:rsidR="004D0819">
        <w:t xml:space="preserve"> is committed to the privacy of its </w:t>
      </w:r>
      <w:r w:rsidR="00B6756C">
        <w:t>patients, staff and the public</w:t>
      </w:r>
      <w:r w:rsidR="004D0819" w:rsidRPr="00B6756C">
        <w:t xml:space="preserve">. </w:t>
      </w:r>
      <w:r w:rsidRPr="00393B98">
        <w:rPr>
          <w:b/>
        </w:rPr>
        <w:t xml:space="preserve"> </w:t>
      </w:r>
      <w:r w:rsidRPr="00297D26">
        <w:rPr>
          <w:b/>
        </w:rPr>
        <w:t>The Practice</w:t>
      </w:r>
      <w:r w:rsidR="004D0819">
        <w:t xml:space="preserve"> will undertake or commission annual assessments and audits of its compliance with </w:t>
      </w:r>
      <w:r w:rsidR="00812449">
        <w:t>privacy legislation and will adopt and maintain protocol for completion of Data Protection Impact Assessments.</w:t>
      </w:r>
    </w:p>
    <w:p w14:paraId="3B3DE9C6" w14:textId="17384060" w:rsidR="00393B98" w:rsidRDefault="00393B98" w:rsidP="004D0819">
      <w:pPr>
        <w:rPr>
          <w:b/>
        </w:rPr>
      </w:pPr>
      <w:r w:rsidRPr="00297D26">
        <w:rPr>
          <w:b/>
        </w:rPr>
        <w:t>The Practice</w:t>
      </w:r>
      <w:r w:rsidR="004D0819">
        <w:t xml:space="preserve"> regards all Personal Data relating to staff as confidential except where national policy on accountability and openness requires otherwise</w:t>
      </w:r>
      <w:r w:rsidRPr="00393B98">
        <w:rPr>
          <w:b/>
        </w:rPr>
        <w:t xml:space="preserve"> </w:t>
      </w:r>
    </w:p>
    <w:p w14:paraId="7E4FE5F5" w14:textId="0151FF03" w:rsidR="004D0819" w:rsidRDefault="00393B98" w:rsidP="004D0819">
      <w:r w:rsidRPr="00297D26">
        <w:rPr>
          <w:b/>
        </w:rPr>
        <w:lastRenderedPageBreak/>
        <w:t>The Practice</w:t>
      </w:r>
      <w:r w:rsidR="004D0819">
        <w:t xml:space="preserve"> will </w:t>
      </w:r>
      <w:r w:rsidR="00812449">
        <w:t>adopt</w:t>
      </w:r>
      <w:r w:rsidR="004D0819">
        <w:t xml:space="preserve"> and maintain protocols to ensure compliance with the Data Protection Act, General Data Protection Regulations, Human Rights Act and the common-law confidentiality</w:t>
      </w:r>
    </w:p>
    <w:p w14:paraId="5A35E296" w14:textId="01099DB1" w:rsidR="004D0819" w:rsidRDefault="00393B98" w:rsidP="004D0819">
      <w:r w:rsidRPr="00297D26">
        <w:rPr>
          <w:b/>
        </w:rPr>
        <w:t>The Practice</w:t>
      </w:r>
      <w:r w:rsidR="004D0819">
        <w:t xml:space="preserve"> will establish and maintain protocols for the controlled and appropriate sharing of personal information with other agencies, taking account of relevant legislation (e.g. Data Protection Act, </w:t>
      </w:r>
      <w:r w:rsidR="00812449">
        <w:t>Human Rights Act</w:t>
      </w:r>
      <w:r w:rsidR="004D0819">
        <w:t>).</w:t>
      </w:r>
    </w:p>
    <w:p w14:paraId="604274A0" w14:textId="72901DBF" w:rsidR="004D0819" w:rsidRDefault="00393B98" w:rsidP="004D0819">
      <w:r w:rsidRPr="00297D26">
        <w:rPr>
          <w:b/>
        </w:rPr>
        <w:t>The Practice</w:t>
      </w:r>
      <w:r w:rsidRPr="00B6756C">
        <w:t xml:space="preserve"> </w:t>
      </w:r>
      <w:r w:rsidR="00812449">
        <w:t>will ensure that contractual or best practice documents are in place for routine sharing of information between sharing partners.</w:t>
      </w:r>
    </w:p>
    <w:p w14:paraId="7080F9AF" w14:textId="6FA4AE6C" w:rsidR="004D0819" w:rsidRDefault="004D0819" w:rsidP="00812449">
      <w:pPr>
        <w:pStyle w:val="Heading1"/>
      </w:pPr>
      <w:bookmarkStart w:id="14" w:name="_Toc6743484"/>
      <w:r>
        <w:t>Information Security</w:t>
      </w:r>
      <w:bookmarkEnd w:id="14"/>
    </w:p>
    <w:p w14:paraId="1EC51C5F" w14:textId="0B4C00B4" w:rsidR="004D0819" w:rsidRDefault="00393B98" w:rsidP="00812449">
      <w:r w:rsidRPr="00297D26">
        <w:rPr>
          <w:b/>
        </w:rPr>
        <w:t>The Practice</w:t>
      </w:r>
      <w:r w:rsidRPr="00B6756C">
        <w:t xml:space="preserve"> </w:t>
      </w:r>
      <w:r w:rsidR="004D0819">
        <w:t xml:space="preserve">will </w:t>
      </w:r>
      <w:r w:rsidR="00812449">
        <w:t>adopt</w:t>
      </w:r>
      <w:r w:rsidR="004D0819">
        <w:t xml:space="preserve"> and maintain protocols for the effective and secure management of its information assets and resources</w:t>
      </w:r>
    </w:p>
    <w:p w14:paraId="0ADE1FF6" w14:textId="244B55E4" w:rsidR="004D0819" w:rsidRDefault="00393B98" w:rsidP="00812449">
      <w:r w:rsidRPr="00297D26">
        <w:rPr>
          <w:b/>
        </w:rPr>
        <w:t>The Practice</w:t>
      </w:r>
      <w:r w:rsidRPr="00B6756C">
        <w:t xml:space="preserve"> </w:t>
      </w:r>
      <w:r w:rsidR="004D0819">
        <w:t>will undertake or commission annual assessments and audits of its information and IT security arrangements</w:t>
      </w:r>
    </w:p>
    <w:p w14:paraId="067CE3BB" w14:textId="7E48CFF9" w:rsidR="004D0819" w:rsidRDefault="00393B98" w:rsidP="00812449">
      <w:r w:rsidRPr="00297D26">
        <w:rPr>
          <w:b/>
        </w:rPr>
        <w:t>The Practice</w:t>
      </w:r>
      <w:r w:rsidRPr="00B6756C">
        <w:t xml:space="preserve"> </w:t>
      </w:r>
      <w:r w:rsidR="004D0819">
        <w:t xml:space="preserve">will promote effective </w:t>
      </w:r>
      <w:r w:rsidR="00812449">
        <w:t>information</w:t>
      </w:r>
      <w:r w:rsidR="004D0819">
        <w:t xml:space="preserve"> and </w:t>
      </w:r>
      <w:r w:rsidR="00812449">
        <w:t xml:space="preserve">cyber </w:t>
      </w:r>
      <w:r w:rsidR="004D0819">
        <w:t>security practice to its staff through policies, procedures and training</w:t>
      </w:r>
    </w:p>
    <w:p w14:paraId="00393BBA" w14:textId="4F55BABC" w:rsidR="004D0819" w:rsidRDefault="00393B98" w:rsidP="00812449">
      <w:r w:rsidRPr="00297D26">
        <w:rPr>
          <w:b/>
        </w:rPr>
        <w:t>The Practice</w:t>
      </w:r>
      <w:r w:rsidRPr="00B6756C">
        <w:t xml:space="preserve"> </w:t>
      </w:r>
      <w:r w:rsidR="004D0819">
        <w:t xml:space="preserve">will establish and maintain incident reporting procedures and will monitor and investigate all reported instances of actual or potential breaches of </w:t>
      </w:r>
      <w:r w:rsidR="00812449">
        <w:t>information</w:t>
      </w:r>
      <w:r w:rsidR="004D0819">
        <w:t xml:space="preserve"> and </w:t>
      </w:r>
      <w:r w:rsidR="00812449">
        <w:t xml:space="preserve">cyber </w:t>
      </w:r>
      <w:r w:rsidR="004D0819">
        <w:t>security</w:t>
      </w:r>
    </w:p>
    <w:p w14:paraId="725889CE" w14:textId="5D02A2DB" w:rsidR="004D0819" w:rsidRDefault="004D0819" w:rsidP="00812449">
      <w:pPr>
        <w:pStyle w:val="Heading1"/>
      </w:pPr>
      <w:bookmarkStart w:id="15" w:name="_Toc6743485"/>
      <w:r>
        <w:t>Information Quality and Records Management</w:t>
      </w:r>
      <w:bookmarkEnd w:id="15"/>
      <w:r>
        <w:t xml:space="preserve"> </w:t>
      </w:r>
    </w:p>
    <w:p w14:paraId="56260362" w14:textId="17580C40" w:rsidR="004D0819" w:rsidRDefault="00393B98" w:rsidP="00812449">
      <w:r w:rsidRPr="00297D26">
        <w:rPr>
          <w:b/>
        </w:rPr>
        <w:t>The Practice</w:t>
      </w:r>
      <w:r w:rsidRPr="00B6756C">
        <w:t xml:space="preserve"> </w:t>
      </w:r>
      <w:r w:rsidR="004D0819">
        <w:t>will establish and maintain protocols and procedures for information quality assurance and the effective management of records</w:t>
      </w:r>
    </w:p>
    <w:p w14:paraId="0B5CA3F7" w14:textId="00785BD6" w:rsidR="004D0819" w:rsidRDefault="00393B98" w:rsidP="00812449">
      <w:r w:rsidRPr="00297D26">
        <w:rPr>
          <w:b/>
        </w:rPr>
        <w:t>The Practice</w:t>
      </w:r>
      <w:r w:rsidRPr="00B6756C">
        <w:t xml:space="preserve"> </w:t>
      </w:r>
      <w:r w:rsidR="004D0819">
        <w:t>will undertake or commission annual assessments and audits of its information quality and records management arrangements</w:t>
      </w:r>
    </w:p>
    <w:p w14:paraId="7C0AFAA4" w14:textId="7B274675" w:rsidR="004D0819" w:rsidRDefault="004D0819" w:rsidP="00812449">
      <w:r>
        <w:t xml:space="preserve">Managers </w:t>
      </w:r>
      <w:r w:rsidR="00812449">
        <w:t>will be</w:t>
      </w:r>
      <w:r>
        <w:t xml:space="preserve"> expected to take ownership of, and seek to improve, the quality of information within their services</w:t>
      </w:r>
    </w:p>
    <w:p w14:paraId="4C3E6375" w14:textId="10609FE1" w:rsidR="004D0819" w:rsidRDefault="004D0819" w:rsidP="00812449">
      <w:r>
        <w:t xml:space="preserve">Wherever possible, information quality </w:t>
      </w:r>
      <w:r w:rsidR="00812449">
        <w:t>will</w:t>
      </w:r>
      <w:r>
        <w:t xml:space="preserve"> be assured at the point of collection</w:t>
      </w:r>
    </w:p>
    <w:p w14:paraId="107A5F57" w14:textId="5A6D6F9E" w:rsidR="004D0819" w:rsidRDefault="004D0819" w:rsidP="00812449">
      <w:r>
        <w:t>Data standards will be set through clear and consistent definition of data items, in accordance with national standards.</w:t>
      </w:r>
    </w:p>
    <w:p w14:paraId="02A09C0C" w14:textId="2C1C8709" w:rsidR="004D0819" w:rsidRDefault="00393B98" w:rsidP="004D0819">
      <w:r w:rsidRPr="00297D26">
        <w:rPr>
          <w:b/>
        </w:rPr>
        <w:lastRenderedPageBreak/>
        <w:t>The Practice</w:t>
      </w:r>
      <w:r w:rsidRPr="00B6756C">
        <w:t xml:space="preserve"> </w:t>
      </w:r>
      <w:r w:rsidR="004D0819">
        <w:t xml:space="preserve">will promote information quality and effective records management through protocols, procedures/user manuals and training  </w:t>
      </w:r>
    </w:p>
    <w:p w14:paraId="4B17320F" w14:textId="38D1C7B8" w:rsidR="00B94E5A" w:rsidRDefault="00B94E5A" w:rsidP="00AF1E4C">
      <w:pPr>
        <w:pStyle w:val="Heading1"/>
      </w:pPr>
      <w:bookmarkStart w:id="16" w:name="_Toc6743486"/>
      <w:r>
        <w:t>Associated Protocols</w:t>
      </w:r>
      <w:bookmarkEnd w:id="16"/>
    </w:p>
    <w:p w14:paraId="62E7ABFE" w14:textId="69B418EA" w:rsidR="00AF1E4C" w:rsidRDefault="00AF1E4C" w:rsidP="00AF1E4C">
      <w:r>
        <w:t>This policy should be read in conjunction with;</w:t>
      </w:r>
    </w:p>
    <w:p w14:paraId="6AC98357" w14:textId="77777777" w:rsidR="00FD4DE2" w:rsidRDefault="00FD4DE2" w:rsidP="00FD4DE2">
      <w:pPr>
        <w:pStyle w:val="ListParagraph"/>
        <w:numPr>
          <w:ilvl w:val="0"/>
          <w:numId w:val="9"/>
        </w:numPr>
      </w:pPr>
      <w:r>
        <w:t>Risk Management Policy</w:t>
      </w:r>
    </w:p>
    <w:p w14:paraId="4FC07ECA" w14:textId="77777777" w:rsidR="00FD4DE2" w:rsidRDefault="00FD4DE2" w:rsidP="00FD4DE2">
      <w:pPr>
        <w:pStyle w:val="ListParagraph"/>
        <w:numPr>
          <w:ilvl w:val="0"/>
          <w:numId w:val="9"/>
        </w:numPr>
      </w:pPr>
      <w:r>
        <w:t>Change Management Policy</w:t>
      </w:r>
    </w:p>
    <w:p w14:paraId="1F5FB7EA" w14:textId="77777777" w:rsidR="00FD4DE2" w:rsidRDefault="00FD4DE2" w:rsidP="00FD4DE2">
      <w:pPr>
        <w:pStyle w:val="ListParagraph"/>
        <w:numPr>
          <w:ilvl w:val="0"/>
          <w:numId w:val="9"/>
        </w:numPr>
      </w:pPr>
      <w:r>
        <w:t>Information Rights and Access Protocol</w:t>
      </w:r>
    </w:p>
    <w:p w14:paraId="361F457B" w14:textId="77777777" w:rsidR="00FD4DE2" w:rsidRDefault="00FD4DE2" w:rsidP="00FD4DE2">
      <w:pPr>
        <w:pStyle w:val="ListParagraph"/>
        <w:numPr>
          <w:ilvl w:val="0"/>
          <w:numId w:val="9"/>
        </w:numPr>
      </w:pPr>
      <w:r>
        <w:t>Information Sharing and Privacy Protocol</w:t>
      </w:r>
    </w:p>
    <w:p w14:paraId="68B93F5F" w14:textId="77777777" w:rsidR="00FD4DE2" w:rsidRDefault="00FD4DE2" w:rsidP="00FD4DE2">
      <w:pPr>
        <w:pStyle w:val="ListParagraph"/>
        <w:numPr>
          <w:ilvl w:val="0"/>
          <w:numId w:val="9"/>
        </w:numPr>
      </w:pPr>
      <w:r>
        <w:t>Information Lifecycle and Data Quality Protocol</w:t>
      </w:r>
    </w:p>
    <w:p w14:paraId="25C1087D" w14:textId="77777777" w:rsidR="00FD4DE2" w:rsidRDefault="00FD4DE2" w:rsidP="00FD4DE2">
      <w:pPr>
        <w:pStyle w:val="ListParagraph"/>
        <w:numPr>
          <w:ilvl w:val="0"/>
          <w:numId w:val="9"/>
        </w:numPr>
      </w:pPr>
      <w:r>
        <w:t>Information / Cyber Security Protocol</w:t>
      </w:r>
    </w:p>
    <w:p w14:paraId="796F693D" w14:textId="77777777" w:rsidR="00FD4DE2" w:rsidRDefault="00FD4DE2" w:rsidP="00FD4DE2">
      <w:pPr>
        <w:pStyle w:val="ListParagraph"/>
        <w:numPr>
          <w:ilvl w:val="0"/>
          <w:numId w:val="9"/>
        </w:numPr>
      </w:pPr>
      <w:r>
        <w:t>Information Incident Protocol</w:t>
      </w:r>
    </w:p>
    <w:p w14:paraId="42255474" w14:textId="77777777" w:rsidR="00FD4DE2" w:rsidRDefault="00FD4DE2" w:rsidP="00FD4DE2">
      <w:pPr>
        <w:pStyle w:val="ListParagraph"/>
        <w:numPr>
          <w:ilvl w:val="0"/>
          <w:numId w:val="9"/>
        </w:numPr>
      </w:pPr>
      <w:r>
        <w:t>Information Risk and Audit Protocol</w:t>
      </w:r>
    </w:p>
    <w:p w14:paraId="2D25B365" w14:textId="77777777" w:rsidR="00FD4DE2" w:rsidRDefault="00FD4DE2" w:rsidP="00FD4DE2">
      <w:pPr>
        <w:pStyle w:val="ListParagraph"/>
        <w:numPr>
          <w:ilvl w:val="0"/>
          <w:numId w:val="9"/>
        </w:numPr>
      </w:pPr>
      <w:r>
        <w:t>Data Protection Impact Assessment Protocol</w:t>
      </w:r>
    </w:p>
    <w:p w14:paraId="1A5FE796" w14:textId="77777777" w:rsidR="00FD4DE2" w:rsidRDefault="00FD4DE2" w:rsidP="00FD4DE2">
      <w:pPr>
        <w:pStyle w:val="ListParagraph"/>
        <w:numPr>
          <w:ilvl w:val="0"/>
          <w:numId w:val="9"/>
        </w:numPr>
      </w:pPr>
      <w:r>
        <w:t>Freedom of Information Protocol</w:t>
      </w:r>
    </w:p>
    <w:p w14:paraId="53E83D4B" w14:textId="797B805F" w:rsidR="00B94E5A" w:rsidRDefault="00B94E5A" w:rsidP="008C174E">
      <w:pPr>
        <w:pStyle w:val="Heading1"/>
      </w:pPr>
      <w:bookmarkStart w:id="17" w:name="_Toc6743487"/>
      <w:r>
        <w:t>Audit Schedule</w:t>
      </w:r>
      <w:bookmarkEnd w:id="17"/>
    </w:p>
    <w:p w14:paraId="11F8A770" w14:textId="25A18EE8" w:rsidR="008C174E" w:rsidRDefault="008C174E" w:rsidP="008C174E">
      <w:r>
        <w:t xml:space="preserve">Compliance with this policy will be audited and the results fed into the Plan, Do, Check, Act Cycle described in the Information Risk </w:t>
      </w:r>
      <w:r w:rsidR="00FD4DE2">
        <w:t>and Audit</w:t>
      </w:r>
      <w:r>
        <w:t xml:space="preserve"> Protocol.</w:t>
      </w:r>
    </w:p>
    <w:tbl>
      <w:tblPr>
        <w:tblStyle w:val="GridTable4-Accent5"/>
        <w:tblW w:w="9498" w:type="dxa"/>
        <w:tblInd w:w="-289" w:type="dxa"/>
        <w:tblLook w:val="04A0" w:firstRow="1" w:lastRow="0" w:firstColumn="1" w:lastColumn="0" w:noHBand="0" w:noVBand="1"/>
      </w:tblPr>
      <w:tblGrid>
        <w:gridCol w:w="1833"/>
        <w:gridCol w:w="4036"/>
        <w:gridCol w:w="2300"/>
        <w:gridCol w:w="1329"/>
      </w:tblGrid>
      <w:tr w:rsidR="00AD06AB" w14:paraId="56CB931F" w14:textId="77777777" w:rsidTr="00AD06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vAlign w:val="center"/>
          </w:tcPr>
          <w:p w14:paraId="48E1DC64" w14:textId="7681980B" w:rsidR="008C174E" w:rsidRDefault="008C174E" w:rsidP="00AD06AB">
            <w:r>
              <w:t>Policy Section</w:t>
            </w:r>
          </w:p>
        </w:tc>
        <w:tc>
          <w:tcPr>
            <w:tcW w:w="4110" w:type="dxa"/>
            <w:vAlign w:val="center"/>
          </w:tcPr>
          <w:p w14:paraId="5C32FCFC" w14:textId="7D30C6FC" w:rsidR="008C174E" w:rsidRDefault="008C174E" w:rsidP="00AD06AB">
            <w:pPr>
              <w:cnfStyle w:val="100000000000" w:firstRow="1" w:lastRow="0" w:firstColumn="0" w:lastColumn="0" w:oddVBand="0" w:evenVBand="0" w:oddHBand="0" w:evenHBand="0" w:firstRowFirstColumn="0" w:firstRowLastColumn="0" w:lastRowFirstColumn="0" w:lastRowLastColumn="0"/>
            </w:pPr>
            <w:r>
              <w:t>Compliance Evidence</w:t>
            </w:r>
          </w:p>
        </w:tc>
        <w:tc>
          <w:tcPr>
            <w:tcW w:w="2327" w:type="dxa"/>
            <w:vAlign w:val="center"/>
          </w:tcPr>
          <w:p w14:paraId="1BD0C9D0" w14:textId="46E86337" w:rsidR="008C174E" w:rsidRDefault="008C174E" w:rsidP="00AD06AB">
            <w:pPr>
              <w:cnfStyle w:val="100000000000" w:firstRow="1" w:lastRow="0" w:firstColumn="0" w:lastColumn="0" w:oddVBand="0" w:evenVBand="0" w:oddHBand="0" w:evenHBand="0" w:firstRowFirstColumn="0" w:firstRowLastColumn="0" w:lastRowFirstColumn="0" w:lastRowLastColumn="0"/>
            </w:pPr>
            <w:r>
              <w:t>Monitoring Method</w:t>
            </w:r>
          </w:p>
        </w:tc>
        <w:tc>
          <w:tcPr>
            <w:tcW w:w="1217" w:type="dxa"/>
            <w:vAlign w:val="center"/>
          </w:tcPr>
          <w:p w14:paraId="33DAF01A" w14:textId="5157EDED" w:rsidR="008C174E" w:rsidRDefault="008C174E" w:rsidP="00AD06AB">
            <w:pPr>
              <w:cnfStyle w:val="100000000000" w:firstRow="1" w:lastRow="0" w:firstColumn="0" w:lastColumn="0" w:oddVBand="0" w:evenVBand="0" w:oddHBand="0" w:evenHBand="0" w:firstRowFirstColumn="0" w:firstRowLastColumn="0" w:lastRowFirstColumn="0" w:lastRowLastColumn="0"/>
            </w:pPr>
            <w:r>
              <w:t>Frequency</w:t>
            </w:r>
          </w:p>
        </w:tc>
      </w:tr>
      <w:tr w:rsidR="00DF6A6E" w14:paraId="08616796" w14:textId="77777777" w:rsidTr="00AD0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vAlign w:val="center"/>
          </w:tcPr>
          <w:p w14:paraId="5AD7F097" w14:textId="308DFFA1" w:rsidR="00DF6A6E" w:rsidRPr="008C174E" w:rsidRDefault="00DF6A6E" w:rsidP="00DF6A6E">
            <w:pPr>
              <w:rPr>
                <w:sz w:val="20"/>
                <w:szCs w:val="20"/>
              </w:rPr>
            </w:pPr>
            <w:r w:rsidRPr="008C174E">
              <w:rPr>
                <w:sz w:val="20"/>
                <w:szCs w:val="20"/>
              </w:rPr>
              <w:t>4 Accountable Parties</w:t>
            </w:r>
          </w:p>
        </w:tc>
        <w:tc>
          <w:tcPr>
            <w:tcW w:w="4110" w:type="dxa"/>
            <w:vAlign w:val="center"/>
          </w:tcPr>
          <w:p w14:paraId="5FAC7C96" w14:textId="283D2FBB" w:rsidR="00DF6A6E" w:rsidRPr="008C174E" w:rsidRDefault="00DF6A6E" w:rsidP="00DF6A6E">
            <w:pPr>
              <w:cnfStyle w:val="000000100000" w:firstRow="0" w:lastRow="0" w:firstColumn="0" w:lastColumn="0" w:oddVBand="0" w:evenVBand="0" w:oddHBand="1" w:evenHBand="0" w:firstRowFirstColumn="0" w:firstRowLastColumn="0" w:lastRowFirstColumn="0" w:lastRowLastColumn="0"/>
              <w:rPr>
                <w:sz w:val="20"/>
                <w:szCs w:val="20"/>
              </w:rPr>
            </w:pPr>
            <w:r w:rsidRPr="008C174E">
              <w:rPr>
                <w:sz w:val="20"/>
                <w:szCs w:val="20"/>
              </w:rPr>
              <w:t>The most senior members of the organisation are regularly appraised of internal and external governance status and requirements including resource requirements</w:t>
            </w:r>
          </w:p>
        </w:tc>
        <w:tc>
          <w:tcPr>
            <w:tcW w:w="2327" w:type="dxa"/>
            <w:vAlign w:val="center"/>
          </w:tcPr>
          <w:p w14:paraId="2935B303" w14:textId="21C693E3" w:rsidR="00DF6A6E" w:rsidRPr="008C174E" w:rsidRDefault="00DF6A6E" w:rsidP="00DF6A6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IG Audit</w:t>
            </w:r>
          </w:p>
        </w:tc>
        <w:tc>
          <w:tcPr>
            <w:tcW w:w="1217" w:type="dxa"/>
            <w:vAlign w:val="center"/>
          </w:tcPr>
          <w:p w14:paraId="0C2151FC" w14:textId="3AB1E7F6" w:rsidR="00DF6A6E" w:rsidRPr="008C174E" w:rsidRDefault="00DF6A6E" w:rsidP="00DF6A6E">
            <w:pPr>
              <w:cnfStyle w:val="000000100000" w:firstRow="0" w:lastRow="0" w:firstColumn="0" w:lastColumn="0" w:oddVBand="0" w:evenVBand="0" w:oddHBand="1" w:evenHBand="0" w:firstRowFirstColumn="0" w:firstRowLastColumn="0" w:lastRowFirstColumn="0" w:lastRowLastColumn="0"/>
              <w:rPr>
                <w:sz w:val="20"/>
                <w:szCs w:val="20"/>
              </w:rPr>
            </w:pPr>
            <w:r w:rsidRPr="008C174E">
              <w:rPr>
                <w:sz w:val="20"/>
                <w:szCs w:val="20"/>
              </w:rPr>
              <w:t>Quarterly</w:t>
            </w:r>
          </w:p>
        </w:tc>
      </w:tr>
      <w:tr w:rsidR="00DF6A6E" w14:paraId="67FFCC0D" w14:textId="77777777" w:rsidTr="00AD06AB">
        <w:tc>
          <w:tcPr>
            <w:cnfStyle w:val="001000000000" w:firstRow="0" w:lastRow="0" w:firstColumn="1" w:lastColumn="0" w:oddVBand="0" w:evenVBand="0" w:oddHBand="0" w:evenHBand="0" w:firstRowFirstColumn="0" w:firstRowLastColumn="0" w:lastRowFirstColumn="0" w:lastRowLastColumn="0"/>
            <w:tcW w:w="1844" w:type="dxa"/>
            <w:vAlign w:val="center"/>
          </w:tcPr>
          <w:p w14:paraId="7C864943" w14:textId="529498E8" w:rsidR="00DF6A6E" w:rsidRPr="008C174E" w:rsidRDefault="00DF6A6E" w:rsidP="00DF6A6E">
            <w:pPr>
              <w:rPr>
                <w:sz w:val="20"/>
                <w:szCs w:val="20"/>
              </w:rPr>
            </w:pPr>
            <w:r>
              <w:rPr>
                <w:sz w:val="20"/>
                <w:szCs w:val="20"/>
              </w:rPr>
              <w:t>4 Data Protection Officer</w:t>
            </w:r>
          </w:p>
        </w:tc>
        <w:tc>
          <w:tcPr>
            <w:tcW w:w="4110" w:type="dxa"/>
            <w:vAlign w:val="center"/>
          </w:tcPr>
          <w:p w14:paraId="422272F0" w14:textId="5E124D38" w:rsidR="00DF6A6E" w:rsidRPr="008C174E" w:rsidRDefault="00DF6A6E" w:rsidP="00DF6A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Changes within the organisation are subject to a Data Protection Impact Assessment</w:t>
            </w:r>
          </w:p>
        </w:tc>
        <w:tc>
          <w:tcPr>
            <w:tcW w:w="2327" w:type="dxa"/>
            <w:vAlign w:val="center"/>
          </w:tcPr>
          <w:p w14:paraId="46B59BAE" w14:textId="2006C547" w:rsidR="00DF6A6E" w:rsidRPr="008C174E" w:rsidRDefault="00DF6A6E" w:rsidP="00DF6A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IG Audit</w:t>
            </w:r>
          </w:p>
        </w:tc>
        <w:tc>
          <w:tcPr>
            <w:tcW w:w="1217" w:type="dxa"/>
            <w:vAlign w:val="center"/>
          </w:tcPr>
          <w:p w14:paraId="4022444B" w14:textId="0C230F60" w:rsidR="00DF6A6E" w:rsidRPr="008C174E" w:rsidRDefault="00DF6A6E" w:rsidP="00DF6A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Quarterly</w:t>
            </w:r>
          </w:p>
        </w:tc>
      </w:tr>
      <w:tr w:rsidR="00DF6A6E" w14:paraId="280DF7D8" w14:textId="77777777" w:rsidTr="00B67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shd w:val="clear" w:color="auto" w:fill="auto"/>
            <w:vAlign w:val="center"/>
          </w:tcPr>
          <w:p w14:paraId="1EFE9A0F" w14:textId="29BAD8D2" w:rsidR="00DF6A6E" w:rsidRPr="008C174E" w:rsidRDefault="00DF6A6E" w:rsidP="00DF6A6E">
            <w:pPr>
              <w:rPr>
                <w:sz w:val="20"/>
                <w:szCs w:val="20"/>
              </w:rPr>
            </w:pPr>
            <w:r>
              <w:rPr>
                <w:sz w:val="20"/>
                <w:szCs w:val="20"/>
              </w:rPr>
              <w:t>4 Data Protection Officer</w:t>
            </w:r>
          </w:p>
        </w:tc>
        <w:tc>
          <w:tcPr>
            <w:tcW w:w="4110" w:type="dxa"/>
            <w:shd w:val="clear" w:color="auto" w:fill="auto"/>
            <w:vAlign w:val="center"/>
          </w:tcPr>
          <w:p w14:paraId="2868FAF5" w14:textId="48689B09" w:rsidR="00DF6A6E" w:rsidRPr="008C174E" w:rsidRDefault="00DF6A6E" w:rsidP="00DF6A6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 DPO is being made aware of all processing activities across the organisation</w:t>
            </w:r>
          </w:p>
        </w:tc>
        <w:tc>
          <w:tcPr>
            <w:tcW w:w="2327" w:type="dxa"/>
            <w:shd w:val="clear" w:color="auto" w:fill="auto"/>
            <w:vAlign w:val="center"/>
          </w:tcPr>
          <w:p w14:paraId="5E7043BF" w14:textId="15618144" w:rsidR="00DF6A6E" w:rsidRPr="008C174E" w:rsidRDefault="00DF6A6E" w:rsidP="00DF6A6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Processing Activities Log</w:t>
            </w:r>
          </w:p>
        </w:tc>
        <w:tc>
          <w:tcPr>
            <w:tcW w:w="1217" w:type="dxa"/>
            <w:shd w:val="clear" w:color="auto" w:fill="auto"/>
            <w:vAlign w:val="center"/>
          </w:tcPr>
          <w:p w14:paraId="13E3DFD0" w14:textId="5CBD16BE" w:rsidR="00DF6A6E" w:rsidRPr="008C174E" w:rsidRDefault="00DF6A6E" w:rsidP="00DF6A6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Quarterly</w:t>
            </w:r>
          </w:p>
        </w:tc>
      </w:tr>
      <w:tr w:rsidR="00DF6A6E" w14:paraId="4324C0A4" w14:textId="77777777" w:rsidTr="00B6756C">
        <w:tc>
          <w:tcPr>
            <w:cnfStyle w:val="001000000000" w:firstRow="0" w:lastRow="0" w:firstColumn="1" w:lastColumn="0" w:oddVBand="0" w:evenVBand="0" w:oddHBand="0" w:evenHBand="0" w:firstRowFirstColumn="0" w:firstRowLastColumn="0" w:lastRowFirstColumn="0" w:lastRowLastColumn="0"/>
            <w:tcW w:w="1844" w:type="dxa"/>
            <w:shd w:val="clear" w:color="auto" w:fill="auto"/>
            <w:vAlign w:val="center"/>
          </w:tcPr>
          <w:p w14:paraId="1D3F9E30" w14:textId="0463E983" w:rsidR="00DF6A6E" w:rsidRPr="008C174E" w:rsidRDefault="00DF6A6E" w:rsidP="00DF6A6E">
            <w:pPr>
              <w:rPr>
                <w:sz w:val="20"/>
                <w:szCs w:val="20"/>
              </w:rPr>
            </w:pPr>
            <w:r>
              <w:rPr>
                <w:sz w:val="20"/>
                <w:szCs w:val="20"/>
              </w:rPr>
              <w:t>6 Privacy and Information Rights</w:t>
            </w:r>
          </w:p>
        </w:tc>
        <w:tc>
          <w:tcPr>
            <w:tcW w:w="4110" w:type="dxa"/>
            <w:shd w:val="clear" w:color="auto" w:fill="auto"/>
            <w:vAlign w:val="center"/>
          </w:tcPr>
          <w:p w14:paraId="2CA467E9" w14:textId="4E4AA389" w:rsidR="00DF6A6E" w:rsidRPr="008C174E" w:rsidRDefault="00DF6A6E" w:rsidP="00DF6A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organisation has an effective infrastructure in place to ensure privacy and to give effect to the information rights of individuals</w:t>
            </w:r>
          </w:p>
        </w:tc>
        <w:tc>
          <w:tcPr>
            <w:tcW w:w="2327" w:type="dxa"/>
            <w:shd w:val="clear" w:color="auto" w:fill="auto"/>
            <w:vAlign w:val="center"/>
          </w:tcPr>
          <w:p w14:paraId="3A3332A2" w14:textId="5D1E6ED5" w:rsidR="00DF6A6E" w:rsidRPr="008C174E" w:rsidRDefault="00DF6A6E" w:rsidP="00DF6A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IG Audit</w:t>
            </w:r>
          </w:p>
        </w:tc>
        <w:tc>
          <w:tcPr>
            <w:tcW w:w="1217" w:type="dxa"/>
            <w:shd w:val="clear" w:color="auto" w:fill="auto"/>
            <w:vAlign w:val="center"/>
          </w:tcPr>
          <w:p w14:paraId="592A3449" w14:textId="483DA7A9" w:rsidR="00DF6A6E" w:rsidRPr="008C174E" w:rsidRDefault="00DF6A6E" w:rsidP="00DF6A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Quarterly</w:t>
            </w:r>
          </w:p>
        </w:tc>
      </w:tr>
      <w:tr w:rsidR="00DF6A6E" w14:paraId="26F8972F" w14:textId="77777777" w:rsidTr="00AD0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vAlign w:val="center"/>
          </w:tcPr>
          <w:p w14:paraId="0233044F" w14:textId="0801EEAE" w:rsidR="00DF6A6E" w:rsidRPr="008C174E" w:rsidRDefault="00DF6A6E" w:rsidP="00DF6A6E">
            <w:pPr>
              <w:rPr>
                <w:sz w:val="20"/>
                <w:szCs w:val="20"/>
              </w:rPr>
            </w:pPr>
            <w:r>
              <w:rPr>
                <w:sz w:val="20"/>
                <w:szCs w:val="20"/>
              </w:rPr>
              <w:lastRenderedPageBreak/>
              <w:t>7 Information Security</w:t>
            </w:r>
          </w:p>
        </w:tc>
        <w:tc>
          <w:tcPr>
            <w:tcW w:w="4110" w:type="dxa"/>
            <w:vAlign w:val="center"/>
          </w:tcPr>
          <w:p w14:paraId="7A38FFD2" w14:textId="4F69E57A" w:rsidR="00DF6A6E" w:rsidRPr="008C174E" w:rsidRDefault="00DF6A6E" w:rsidP="00DF6A6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 organisation has an effective infrastructure in place to ensure information security</w:t>
            </w:r>
          </w:p>
        </w:tc>
        <w:tc>
          <w:tcPr>
            <w:tcW w:w="2327" w:type="dxa"/>
            <w:vAlign w:val="center"/>
          </w:tcPr>
          <w:p w14:paraId="77BB132C" w14:textId="7610A197" w:rsidR="00DF6A6E" w:rsidRPr="008C174E" w:rsidRDefault="00DF6A6E" w:rsidP="00DF6A6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IG Audit</w:t>
            </w:r>
          </w:p>
        </w:tc>
        <w:tc>
          <w:tcPr>
            <w:tcW w:w="1217" w:type="dxa"/>
            <w:vAlign w:val="center"/>
          </w:tcPr>
          <w:p w14:paraId="5EDB87E0" w14:textId="58061A46" w:rsidR="00DF6A6E" w:rsidRPr="008C174E" w:rsidRDefault="00DF6A6E" w:rsidP="00DF6A6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Quarterly</w:t>
            </w:r>
          </w:p>
        </w:tc>
      </w:tr>
      <w:tr w:rsidR="00DF6A6E" w14:paraId="5A0526B6" w14:textId="77777777" w:rsidTr="00AD06AB">
        <w:tc>
          <w:tcPr>
            <w:cnfStyle w:val="001000000000" w:firstRow="0" w:lastRow="0" w:firstColumn="1" w:lastColumn="0" w:oddVBand="0" w:evenVBand="0" w:oddHBand="0" w:evenHBand="0" w:firstRowFirstColumn="0" w:firstRowLastColumn="0" w:lastRowFirstColumn="0" w:lastRowLastColumn="0"/>
            <w:tcW w:w="1844" w:type="dxa"/>
            <w:vAlign w:val="center"/>
          </w:tcPr>
          <w:p w14:paraId="2856C8C2" w14:textId="4D2E4381" w:rsidR="00DF6A6E" w:rsidRPr="008C174E" w:rsidRDefault="00DF6A6E" w:rsidP="00DF6A6E">
            <w:pPr>
              <w:rPr>
                <w:sz w:val="20"/>
                <w:szCs w:val="20"/>
              </w:rPr>
            </w:pPr>
            <w:r>
              <w:rPr>
                <w:sz w:val="20"/>
                <w:szCs w:val="20"/>
              </w:rPr>
              <w:t>8 Information Quality and Records Management</w:t>
            </w:r>
          </w:p>
        </w:tc>
        <w:tc>
          <w:tcPr>
            <w:tcW w:w="4110" w:type="dxa"/>
            <w:vAlign w:val="center"/>
          </w:tcPr>
          <w:p w14:paraId="24608794" w14:textId="16224371" w:rsidR="00DF6A6E" w:rsidRPr="008C174E" w:rsidRDefault="00DF6A6E" w:rsidP="00DF6A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organisation has an effective infrastructure in place to ensure information security</w:t>
            </w:r>
          </w:p>
        </w:tc>
        <w:tc>
          <w:tcPr>
            <w:tcW w:w="2327" w:type="dxa"/>
            <w:vAlign w:val="center"/>
          </w:tcPr>
          <w:p w14:paraId="6ED11E37" w14:textId="77777777" w:rsidR="00DF6A6E" w:rsidRDefault="00DF6A6E" w:rsidP="00DF6A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IG Audit</w:t>
            </w:r>
          </w:p>
          <w:p w14:paraId="263E0F16" w14:textId="7D2AD242" w:rsidR="00DF6A6E" w:rsidRPr="008C174E" w:rsidRDefault="00DF6A6E" w:rsidP="00DF6A6E">
            <w:pPr>
              <w:cnfStyle w:val="000000000000" w:firstRow="0" w:lastRow="0" w:firstColumn="0" w:lastColumn="0" w:oddVBand="0" w:evenVBand="0" w:oddHBand="0" w:evenHBand="0" w:firstRowFirstColumn="0" w:firstRowLastColumn="0" w:lastRowFirstColumn="0" w:lastRowLastColumn="0"/>
              <w:rPr>
                <w:sz w:val="20"/>
                <w:szCs w:val="20"/>
              </w:rPr>
            </w:pPr>
          </w:p>
        </w:tc>
        <w:tc>
          <w:tcPr>
            <w:tcW w:w="1217" w:type="dxa"/>
            <w:vAlign w:val="center"/>
          </w:tcPr>
          <w:p w14:paraId="35D57C0F" w14:textId="77777777" w:rsidR="00DF6A6E" w:rsidRPr="008C174E" w:rsidRDefault="00DF6A6E" w:rsidP="00DF6A6E">
            <w:pPr>
              <w:cnfStyle w:val="000000000000" w:firstRow="0" w:lastRow="0" w:firstColumn="0" w:lastColumn="0" w:oddVBand="0" w:evenVBand="0" w:oddHBand="0" w:evenHBand="0" w:firstRowFirstColumn="0" w:firstRowLastColumn="0" w:lastRowFirstColumn="0" w:lastRowLastColumn="0"/>
              <w:rPr>
                <w:sz w:val="20"/>
                <w:szCs w:val="20"/>
              </w:rPr>
            </w:pPr>
          </w:p>
        </w:tc>
      </w:tr>
    </w:tbl>
    <w:p w14:paraId="1FC9875F" w14:textId="77777777" w:rsidR="008C174E" w:rsidRPr="008C174E" w:rsidRDefault="008C174E" w:rsidP="008C174E"/>
    <w:p w14:paraId="0F8449E7" w14:textId="77777777" w:rsidR="00B94E5A" w:rsidRDefault="00B94E5A" w:rsidP="007E0044">
      <w:pPr>
        <w:pStyle w:val="Heading1"/>
      </w:pPr>
      <w:bookmarkStart w:id="18" w:name="_Toc6743488"/>
      <w:r>
        <w:t>Review</w:t>
      </w:r>
      <w:bookmarkEnd w:id="18"/>
    </w:p>
    <w:p w14:paraId="6113ECB8" w14:textId="15D72E3F" w:rsidR="00B94E5A" w:rsidRDefault="00AD06AB" w:rsidP="00AD06AB">
      <w:r>
        <w:t>This policy will be reviewed every two years or sooner where necessary.</w:t>
      </w:r>
    </w:p>
    <w:p w14:paraId="546D4BD3" w14:textId="77777777" w:rsidR="00B94E5A" w:rsidRDefault="00B94E5A" w:rsidP="00B94E5A">
      <w:pPr>
        <w:pStyle w:val="NoSpacing"/>
      </w:pPr>
    </w:p>
    <w:sectPr w:rsidR="00B94E5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D7D74" w14:textId="77777777" w:rsidR="00771C1D" w:rsidRDefault="00771C1D" w:rsidP="00B94E5A">
      <w:pPr>
        <w:spacing w:after="0" w:line="240" w:lineRule="auto"/>
      </w:pPr>
      <w:r>
        <w:separator/>
      </w:r>
    </w:p>
  </w:endnote>
  <w:endnote w:type="continuationSeparator" w:id="0">
    <w:p w14:paraId="2E72C385" w14:textId="77777777" w:rsidR="00771C1D" w:rsidRDefault="00771C1D" w:rsidP="00B9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ova Light">
    <w:altName w:val="Arial"/>
    <w:charset w:val="00"/>
    <w:family w:val="swiss"/>
    <w:pitch w:val="variable"/>
    <w:sig w:usb0="00000001"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FF7D5" w14:textId="77777777" w:rsidR="00771C1D" w:rsidRDefault="00771C1D" w:rsidP="00B94E5A">
      <w:pPr>
        <w:spacing w:after="0" w:line="240" w:lineRule="auto"/>
      </w:pPr>
      <w:r>
        <w:separator/>
      </w:r>
    </w:p>
  </w:footnote>
  <w:footnote w:type="continuationSeparator" w:id="0">
    <w:p w14:paraId="126CF427" w14:textId="77777777" w:rsidR="00771C1D" w:rsidRDefault="00771C1D" w:rsidP="00B94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B9E3E" w14:textId="5C7EBDAB" w:rsidR="00B94E5A" w:rsidRPr="00BA2D92" w:rsidRDefault="00393B98" w:rsidP="00B94E5A">
    <w:pPr>
      <w:pStyle w:val="Header"/>
      <w:jc w:val="center"/>
      <w:rPr>
        <w:sz w:val="60"/>
        <w:szCs w:val="60"/>
      </w:rPr>
    </w:pPr>
    <w:r>
      <w:rPr>
        <w:noProof/>
        <w:sz w:val="60"/>
        <w:szCs w:val="60"/>
      </w:rPr>
      <w:t xml:space="preserve"> </w:t>
    </w:r>
    <w:r w:rsidR="00AC658B">
      <w:rPr>
        <w:noProof/>
        <w:sz w:val="60"/>
        <w:szCs w:val="60"/>
      </w:rPr>
      <w:t>Suffolk</w:t>
    </w:r>
    <w:r>
      <w:rPr>
        <w:noProof/>
        <w:sz w:val="60"/>
        <w:szCs w:val="60"/>
      </w:rPr>
      <w:t xml:space="preserve"> GP Practice DPO Cluster</w:t>
    </w:r>
  </w:p>
  <w:p w14:paraId="3E32844B" w14:textId="77777777" w:rsidR="00B94E5A" w:rsidRDefault="00B94E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0277F"/>
    <w:multiLevelType w:val="hybridMultilevel"/>
    <w:tmpl w:val="ECCCEF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356CF"/>
    <w:multiLevelType w:val="hybridMultilevel"/>
    <w:tmpl w:val="386A85D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57129"/>
    <w:multiLevelType w:val="hybridMultilevel"/>
    <w:tmpl w:val="E352422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6D2761"/>
    <w:multiLevelType w:val="hybridMultilevel"/>
    <w:tmpl w:val="D8780A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B50582"/>
    <w:multiLevelType w:val="hybridMultilevel"/>
    <w:tmpl w:val="08BA25AC"/>
    <w:lvl w:ilvl="0" w:tplc="95AC901E">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057A5B"/>
    <w:multiLevelType w:val="hybridMultilevel"/>
    <w:tmpl w:val="8B801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3225C9"/>
    <w:multiLevelType w:val="hybridMultilevel"/>
    <w:tmpl w:val="85D827E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2A639B"/>
    <w:multiLevelType w:val="hybridMultilevel"/>
    <w:tmpl w:val="DFC65FA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500E1E"/>
    <w:multiLevelType w:val="hybridMultilevel"/>
    <w:tmpl w:val="8BE2C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B94E89"/>
    <w:multiLevelType w:val="hybridMultilevel"/>
    <w:tmpl w:val="42040E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9"/>
  </w:num>
  <w:num w:numId="5">
    <w:abstractNumId w:val="0"/>
  </w:num>
  <w:num w:numId="6">
    <w:abstractNumId w:val="6"/>
  </w:num>
  <w:num w:numId="7">
    <w:abstractNumId w:val="5"/>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E5A"/>
    <w:rsid w:val="000455AA"/>
    <w:rsid w:val="00045F9B"/>
    <w:rsid w:val="000F4B31"/>
    <w:rsid w:val="001228B8"/>
    <w:rsid w:val="001633A2"/>
    <w:rsid w:val="00163DF8"/>
    <w:rsid w:val="00185F34"/>
    <w:rsid w:val="001C49ED"/>
    <w:rsid w:val="001C6F82"/>
    <w:rsid w:val="001E5524"/>
    <w:rsid w:val="001E75EC"/>
    <w:rsid w:val="002473BA"/>
    <w:rsid w:val="00256E39"/>
    <w:rsid w:val="002613AD"/>
    <w:rsid w:val="002F2F19"/>
    <w:rsid w:val="00300599"/>
    <w:rsid w:val="00315C5E"/>
    <w:rsid w:val="00334E20"/>
    <w:rsid w:val="00367B0B"/>
    <w:rsid w:val="00393B98"/>
    <w:rsid w:val="003C451F"/>
    <w:rsid w:val="003F50A0"/>
    <w:rsid w:val="00401A3B"/>
    <w:rsid w:val="004044D7"/>
    <w:rsid w:val="004658C0"/>
    <w:rsid w:val="004671E3"/>
    <w:rsid w:val="004B0F49"/>
    <w:rsid w:val="004D0819"/>
    <w:rsid w:val="004D31FC"/>
    <w:rsid w:val="004F496A"/>
    <w:rsid w:val="00506E73"/>
    <w:rsid w:val="00527FE6"/>
    <w:rsid w:val="005361DD"/>
    <w:rsid w:val="005363B8"/>
    <w:rsid w:val="00536C7C"/>
    <w:rsid w:val="00545BA2"/>
    <w:rsid w:val="005D1B77"/>
    <w:rsid w:val="005D4ADA"/>
    <w:rsid w:val="005F3FEA"/>
    <w:rsid w:val="006D1FEB"/>
    <w:rsid w:val="00712C04"/>
    <w:rsid w:val="00723456"/>
    <w:rsid w:val="00771C1D"/>
    <w:rsid w:val="00791718"/>
    <w:rsid w:val="007C1AEE"/>
    <w:rsid w:val="007E0044"/>
    <w:rsid w:val="007E2E9B"/>
    <w:rsid w:val="00812449"/>
    <w:rsid w:val="00862EAF"/>
    <w:rsid w:val="008C174E"/>
    <w:rsid w:val="008D19B8"/>
    <w:rsid w:val="008E12A4"/>
    <w:rsid w:val="008F1399"/>
    <w:rsid w:val="008F2E5E"/>
    <w:rsid w:val="00903C75"/>
    <w:rsid w:val="009256C1"/>
    <w:rsid w:val="009E3468"/>
    <w:rsid w:val="00A53F79"/>
    <w:rsid w:val="00A55FB0"/>
    <w:rsid w:val="00A6071F"/>
    <w:rsid w:val="00A848D4"/>
    <w:rsid w:val="00AC4237"/>
    <w:rsid w:val="00AC658B"/>
    <w:rsid w:val="00AD06AB"/>
    <w:rsid w:val="00AF1E4C"/>
    <w:rsid w:val="00B35254"/>
    <w:rsid w:val="00B36438"/>
    <w:rsid w:val="00B6348F"/>
    <w:rsid w:val="00B6756C"/>
    <w:rsid w:val="00B85E12"/>
    <w:rsid w:val="00B94E5A"/>
    <w:rsid w:val="00BA2D92"/>
    <w:rsid w:val="00BB03ED"/>
    <w:rsid w:val="00C364F5"/>
    <w:rsid w:val="00C40A64"/>
    <w:rsid w:val="00CE2695"/>
    <w:rsid w:val="00D212B5"/>
    <w:rsid w:val="00D25CAA"/>
    <w:rsid w:val="00D57FDA"/>
    <w:rsid w:val="00D8758B"/>
    <w:rsid w:val="00D9298C"/>
    <w:rsid w:val="00D97B78"/>
    <w:rsid w:val="00DF6A6E"/>
    <w:rsid w:val="00E53E66"/>
    <w:rsid w:val="00EA13E4"/>
    <w:rsid w:val="00EB0209"/>
    <w:rsid w:val="00EB4F7D"/>
    <w:rsid w:val="00EF6FA7"/>
    <w:rsid w:val="00F03257"/>
    <w:rsid w:val="00F1030B"/>
    <w:rsid w:val="00F2775E"/>
    <w:rsid w:val="00F3271A"/>
    <w:rsid w:val="00F43979"/>
    <w:rsid w:val="00F74280"/>
    <w:rsid w:val="00F83EF8"/>
    <w:rsid w:val="00FA5EE3"/>
    <w:rsid w:val="00FD13F6"/>
    <w:rsid w:val="00FD4DE2"/>
    <w:rsid w:val="2AF3C61D"/>
    <w:rsid w:val="3D605BD1"/>
    <w:rsid w:val="42F74FDB"/>
    <w:rsid w:val="6F5CB668"/>
    <w:rsid w:val="725EE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EE4ED1"/>
  <w15:chartTrackingRefBased/>
  <w15:docId w15:val="{B0C6B3AB-0833-4374-BEAF-4EF1B937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rsid w:val="00F03257"/>
    <w:pPr>
      <w:spacing w:line="360" w:lineRule="auto"/>
    </w:pPr>
    <w:rPr>
      <w:rFonts w:ascii="Arial Nova Light" w:hAnsi="Arial Nova Light"/>
    </w:rPr>
  </w:style>
  <w:style w:type="paragraph" w:styleId="Heading1">
    <w:name w:val="heading 1"/>
    <w:basedOn w:val="Normal"/>
    <w:next w:val="Normal"/>
    <w:link w:val="Heading1Char"/>
    <w:uiPriority w:val="9"/>
    <w:qFormat/>
    <w:rsid w:val="004D0819"/>
    <w:pPr>
      <w:keepNext/>
      <w:keepLines/>
      <w:numPr>
        <w:numId w:val="2"/>
      </w:numPr>
      <w:spacing w:before="240" w:after="0"/>
      <w:ind w:left="36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63D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E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E5A"/>
  </w:style>
  <w:style w:type="paragraph" w:styleId="Footer">
    <w:name w:val="footer"/>
    <w:basedOn w:val="Normal"/>
    <w:link w:val="FooterChar"/>
    <w:uiPriority w:val="99"/>
    <w:unhideWhenUsed/>
    <w:rsid w:val="00B94E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E5A"/>
  </w:style>
  <w:style w:type="character" w:customStyle="1" w:styleId="Heading1Char">
    <w:name w:val="Heading 1 Char"/>
    <w:basedOn w:val="DefaultParagraphFont"/>
    <w:link w:val="Heading1"/>
    <w:uiPriority w:val="9"/>
    <w:rsid w:val="004D0819"/>
    <w:rPr>
      <w:rFonts w:asciiTheme="majorHAnsi" w:eastAsiaTheme="majorEastAsia" w:hAnsiTheme="majorHAnsi" w:cstheme="majorBidi"/>
      <w:color w:val="2F5496" w:themeColor="accent1" w:themeShade="BF"/>
      <w:sz w:val="32"/>
      <w:szCs w:val="32"/>
    </w:rPr>
  </w:style>
  <w:style w:type="paragraph" w:styleId="NoSpacing">
    <w:name w:val="No Spacing"/>
    <w:aliases w:val="TITLE"/>
    <w:uiPriority w:val="1"/>
    <w:qFormat/>
    <w:rsid w:val="00AD06AB"/>
    <w:pPr>
      <w:spacing w:after="0" w:line="360" w:lineRule="auto"/>
      <w:jc w:val="center"/>
    </w:pPr>
    <w:rPr>
      <w:rFonts w:ascii="Arial Nova Light" w:hAnsi="Arial Nova Light"/>
      <w:color w:val="2E74B5" w:themeColor="accent5" w:themeShade="BF"/>
      <w:sz w:val="52"/>
    </w:rPr>
  </w:style>
  <w:style w:type="table" w:styleId="TableGrid">
    <w:name w:val="Table Grid"/>
    <w:basedOn w:val="TableNormal"/>
    <w:uiPriority w:val="39"/>
    <w:rsid w:val="00B94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B94E5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odyText">
    <w:name w:val="Body Text"/>
    <w:basedOn w:val="Normal"/>
    <w:link w:val="BodyTextChar"/>
    <w:uiPriority w:val="1"/>
    <w:qFormat/>
    <w:rsid w:val="002613AD"/>
    <w:pPr>
      <w:widowControl w:val="0"/>
      <w:autoSpaceDE w:val="0"/>
      <w:autoSpaceDN w:val="0"/>
      <w:spacing w:after="0"/>
    </w:pPr>
    <w:rPr>
      <w:rFonts w:eastAsia="Verdana" w:cs="Verdana"/>
      <w:szCs w:val="20"/>
      <w:lang w:val="en-US"/>
    </w:rPr>
  </w:style>
  <w:style w:type="character" w:customStyle="1" w:styleId="BodyTextChar">
    <w:name w:val="Body Text Char"/>
    <w:basedOn w:val="DefaultParagraphFont"/>
    <w:link w:val="BodyText"/>
    <w:uiPriority w:val="1"/>
    <w:rsid w:val="002613AD"/>
    <w:rPr>
      <w:rFonts w:ascii="Arial Nova Light" w:eastAsia="Verdana" w:hAnsi="Arial Nova Light" w:cs="Verdana"/>
      <w:szCs w:val="20"/>
      <w:lang w:val="en-US"/>
    </w:rPr>
  </w:style>
  <w:style w:type="paragraph" w:styleId="TOCHeading">
    <w:name w:val="TOC Heading"/>
    <w:basedOn w:val="Heading1"/>
    <w:next w:val="Normal"/>
    <w:uiPriority w:val="39"/>
    <w:unhideWhenUsed/>
    <w:qFormat/>
    <w:rsid w:val="00F03257"/>
    <w:pPr>
      <w:spacing w:line="259" w:lineRule="auto"/>
      <w:outlineLvl w:val="9"/>
    </w:pPr>
    <w:rPr>
      <w:lang w:val="en-US"/>
    </w:rPr>
  </w:style>
  <w:style w:type="paragraph" w:styleId="TOC1">
    <w:name w:val="toc 1"/>
    <w:basedOn w:val="Normal"/>
    <w:next w:val="Normal"/>
    <w:autoRedefine/>
    <w:uiPriority w:val="39"/>
    <w:unhideWhenUsed/>
    <w:rsid w:val="00F03257"/>
    <w:pPr>
      <w:spacing w:after="100"/>
    </w:pPr>
  </w:style>
  <w:style w:type="character" w:styleId="Hyperlink">
    <w:name w:val="Hyperlink"/>
    <w:basedOn w:val="DefaultParagraphFont"/>
    <w:uiPriority w:val="99"/>
    <w:unhideWhenUsed/>
    <w:rsid w:val="00F03257"/>
    <w:rPr>
      <w:color w:val="0563C1" w:themeColor="hyperlink"/>
      <w:u w:val="single"/>
    </w:rPr>
  </w:style>
  <w:style w:type="paragraph" w:styleId="ListParagraph">
    <w:name w:val="List Paragraph"/>
    <w:basedOn w:val="Normal"/>
    <w:uiPriority w:val="34"/>
    <w:qFormat/>
    <w:rsid w:val="00163DF8"/>
    <w:pPr>
      <w:ind w:left="720"/>
      <w:contextualSpacing/>
    </w:pPr>
  </w:style>
  <w:style w:type="paragraph" w:styleId="NormalWeb">
    <w:name w:val="Normal (Web)"/>
    <w:basedOn w:val="Normal"/>
    <w:rsid w:val="00163DF8"/>
    <w:pPr>
      <w:spacing w:before="100" w:beforeAutospacing="1" w:after="100" w:afterAutospacing="1"/>
    </w:pPr>
    <w:rPr>
      <w:rFonts w:eastAsia="Times New Roman" w:cs="Times New Roman"/>
      <w:szCs w:val="24"/>
      <w:lang w:eastAsia="en-GB"/>
    </w:rPr>
  </w:style>
  <w:style w:type="character" w:customStyle="1" w:styleId="Heading2Char">
    <w:name w:val="Heading 2 Char"/>
    <w:basedOn w:val="DefaultParagraphFont"/>
    <w:link w:val="Heading2"/>
    <w:uiPriority w:val="9"/>
    <w:rsid w:val="00163DF8"/>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AF1E4C"/>
    <w:pPr>
      <w:spacing w:after="100"/>
      <w:ind w:left="220"/>
    </w:pPr>
  </w:style>
  <w:style w:type="paragraph" w:styleId="BalloonText">
    <w:name w:val="Balloon Text"/>
    <w:basedOn w:val="Normal"/>
    <w:link w:val="BalloonTextChar"/>
    <w:uiPriority w:val="99"/>
    <w:semiHidden/>
    <w:unhideWhenUsed/>
    <w:rsid w:val="007E2E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E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145508">
      <w:bodyDiv w:val="1"/>
      <w:marLeft w:val="0"/>
      <w:marRight w:val="0"/>
      <w:marTop w:val="0"/>
      <w:marBottom w:val="0"/>
      <w:divBdr>
        <w:top w:val="none" w:sz="0" w:space="0" w:color="auto"/>
        <w:left w:val="none" w:sz="0" w:space="0" w:color="auto"/>
        <w:bottom w:val="none" w:sz="0" w:space="0" w:color="auto"/>
        <w:right w:val="none" w:sz="0" w:space="0" w:color="auto"/>
      </w:divBdr>
    </w:div>
    <w:div w:id="1333558706">
      <w:bodyDiv w:val="1"/>
      <w:marLeft w:val="0"/>
      <w:marRight w:val="0"/>
      <w:marTop w:val="0"/>
      <w:marBottom w:val="0"/>
      <w:divBdr>
        <w:top w:val="none" w:sz="0" w:space="0" w:color="auto"/>
        <w:left w:val="none" w:sz="0" w:space="0" w:color="auto"/>
        <w:bottom w:val="none" w:sz="0" w:space="0" w:color="auto"/>
        <w:right w:val="none" w:sz="0" w:space="0" w:color="auto"/>
      </w:divBdr>
    </w:div>
    <w:div w:id="200871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9C097-2498-4F1A-B1B5-4EE956658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1805</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Cooper</dc:creator>
  <cp:keywords/>
  <dc:description/>
  <cp:lastModifiedBy>Calver Susan (Data Administrator)</cp:lastModifiedBy>
  <cp:revision>2</cp:revision>
  <dcterms:created xsi:type="dcterms:W3CDTF">2021-03-19T13:09:00Z</dcterms:created>
  <dcterms:modified xsi:type="dcterms:W3CDTF">2021-03-19T13:09:00Z</dcterms:modified>
</cp:coreProperties>
</file>