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9AE" w:rsidRPr="007D79AE" w:rsidRDefault="007D79AE" w:rsidP="007D79AE">
      <w:pPr>
        <w:outlineLvl w:val="0"/>
        <w:rPr>
          <w:rFonts w:asciiTheme="minorHAnsi" w:hAnsiTheme="minorHAnsi"/>
          <w:b/>
        </w:rPr>
      </w:pPr>
      <w:r w:rsidRPr="007D79AE">
        <w:rPr>
          <w:rFonts w:asciiTheme="minorHAnsi" w:hAnsiTheme="minorHAnsi"/>
          <w:b/>
        </w:rPr>
        <w:t>Open Exeter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D79AE" w:rsidRPr="007D79AE" w:rsidTr="007D79AE">
        <w:tc>
          <w:tcPr>
            <w:tcW w:w="4644" w:type="dxa"/>
            <w:tcBorders>
              <w:top w:val="single" w:sz="4" w:space="0" w:color="auto"/>
              <w:left w:val="single" w:sz="4" w:space="0" w:color="auto"/>
              <w:bottom w:val="single" w:sz="4" w:space="0" w:color="auto"/>
              <w:right w:val="single" w:sz="4" w:space="0" w:color="auto"/>
            </w:tcBorders>
          </w:tcPr>
          <w:p w:rsidR="007D79AE" w:rsidRPr="007D79AE" w:rsidRDefault="007D79AE" w:rsidP="00BE5DBE">
            <w:pPr>
              <w:spacing w:after="0" w:line="240" w:lineRule="auto"/>
              <w:rPr>
                <w:rFonts w:asciiTheme="minorHAnsi" w:hAnsiTheme="minorHAnsi"/>
                <w:i/>
                <w:color w:val="000000"/>
                <w:lang w:eastAsia="en-GB"/>
              </w:rPr>
            </w:pPr>
            <w:r w:rsidRPr="007D79AE">
              <w:rPr>
                <w:rFonts w:asciiTheme="minorHAnsi" w:hAnsiTheme="minorHAnsi"/>
                <w:i/>
                <w:color w:val="000000"/>
                <w:lang w:eastAsia="en-GB"/>
              </w:rPr>
              <w:t>Plain English Explanation</w:t>
            </w:r>
          </w:p>
          <w:p w:rsidR="007D79AE" w:rsidRPr="007D79AE" w:rsidRDefault="007D79AE" w:rsidP="00BE5DBE">
            <w:pPr>
              <w:spacing w:after="0" w:line="240" w:lineRule="auto"/>
              <w:rPr>
                <w:rFonts w:asciiTheme="minorHAnsi" w:hAnsiTheme="minorHAnsi"/>
                <w:i/>
                <w:color w:val="000000"/>
                <w:lang w:eastAsia="en-GB"/>
              </w:rPr>
            </w:pPr>
          </w:p>
        </w:tc>
        <w:tc>
          <w:tcPr>
            <w:tcW w:w="4598" w:type="dxa"/>
            <w:tcBorders>
              <w:top w:val="single" w:sz="4" w:space="0" w:color="auto"/>
              <w:left w:val="single" w:sz="4" w:space="0" w:color="auto"/>
              <w:bottom w:val="single" w:sz="4" w:space="0" w:color="auto"/>
              <w:right w:val="single" w:sz="4" w:space="0" w:color="auto"/>
            </w:tcBorders>
          </w:tcPr>
          <w:p w:rsidR="007D79AE" w:rsidRPr="007D79AE" w:rsidRDefault="007D79AE" w:rsidP="00BE5DBE">
            <w:pPr>
              <w:spacing w:after="0" w:line="240" w:lineRule="auto"/>
              <w:rPr>
                <w:rFonts w:asciiTheme="minorHAnsi" w:hAnsiTheme="minorHAnsi"/>
              </w:rPr>
            </w:pPr>
            <w:r w:rsidRPr="007D79AE">
              <w:rPr>
                <w:rFonts w:asciiTheme="minorHAnsi" w:hAnsiTheme="minorHAnsi"/>
                <w:color w:val="333333"/>
              </w:rPr>
              <w:t>Information about Open Exeter:</w:t>
            </w:r>
            <w:r w:rsidRPr="007D79AE">
              <w:rPr>
                <w:rFonts w:asciiTheme="minorHAnsi" w:hAnsiTheme="minorHAnsi"/>
                <w:color w:val="333333"/>
              </w:rPr>
              <w:br/>
            </w:r>
            <w:hyperlink r:id="rId6" w:history="1">
              <w:r w:rsidRPr="007D79AE">
                <w:rPr>
                  <w:rStyle w:val="Hyperlink"/>
                  <w:rFonts w:asciiTheme="minorHAnsi" w:hAnsiTheme="minorHAnsi"/>
                </w:rPr>
                <w:t>https://digital.nhs.uk/NHAIS/open-exeter</w:t>
              </w:r>
            </w:hyperlink>
          </w:p>
          <w:p w:rsidR="007D79AE" w:rsidRPr="007D79AE" w:rsidRDefault="007D79AE" w:rsidP="00BE5DBE">
            <w:pPr>
              <w:spacing w:after="0" w:line="240" w:lineRule="auto"/>
              <w:rPr>
                <w:rFonts w:asciiTheme="minorHAnsi" w:hAnsiTheme="minorHAnsi"/>
              </w:rPr>
            </w:pPr>
          </w:p>
          <w:p w:rsidR="007D79AE" w:rsidRPr="007D79AE" w:rsidRDefault="007D79AE" w:rsidP="00BE5DBE">
            <w:pPr>
              <w:spacing w:after="0" w:line="240" w:lineRule="auto"/>
              <w:rPr>
                <w:rFonts w:asciiTheme="minorHAnsi" w:hAnsiTheme="minorHAnsi"/>
                <w:color w:val="333333"/>
              </w:rPr>
            </w:pPr>
            <w:r w:rsidRPr="007D79AE">
              <w:rPr>
                <w:rFonts w:asciiTheme="minorHAnsi" w:hAnsiTheme="minorHAnsi"/>
                <w:color w:val="333333"/>
              </w:rPr>
              <w:t>Access to Open Exeter is only possible on the N3 network, and via authorised logons/passwords provided by NHS Digital.</w:t>
            </w:r>
          </w:p>
          <w:p w:rsidR="007D79AE" w:rsidRPr="007D79AE" w:rsidRDefault="007D79AE" w:rsidP="00BE5DBE">
            <w:pPr>
              <w:spacing w:after="0" w:line="240" w:lineRule="auto"/>
              <w:rPr>
                <w:rFonts w:asciiTheme="minorHAnsi" w:hAnsiTheme="minorHAnsi"/>
                <w:color w:val="333333"/>
              </w:rPr>
            </w:pPr>
          </w:p>
          <w:p w:rsidR="007D79AE" w:rsidRPr="007D79AE" w:rsidRDefault="007D79AE" w:rsidP="00BE5DBE">
            <w:pPr>
              <w:spacing w:after="0" w:line="240" w:lineRule="auto"/>
              <w:rPr>
                <w:rFonts w:asciiTheme="minorHAnsi" w:hAnsiTheme="minorHAnsi"/>
                <w:color w:val="333333"/>
              </w:rPr>
            </w:pPr>
            <w:r w:rsidRPr="007D79AE">
              <w:rPr>
                <w:rFonts w:asciiTheme="minorHAnsi" w:hAnsiTheme="minorHAnsi"/>
                <w:color w:val="333333"/>
              </w:rPr>
              <w:t>The information available on Open Exeter, about data subjects:</w:t>
            </w:r>
          </w:p>
          <w:p w:rsidR="007D79AE" w:rsidRPr="007D79AE" w:rsidRDefault="007D79AE" w:rsidP="00BE5DBE">
            <w:pPr>
              <w:spacing w:after="0" w:line="240" w:lineRule="auto"/>
              <w:rPr>
                <w:rFonts w:asciiTheme="minorHAnsi" w:hAnsiTheme="minorHAnsi"/>
                <w:color w:val="333333"/>
              </w:rPr>
            </w:pPr>
          </w:p>
          <w:p w:rsidR="007D79AE" w:rsidRPr="007D79AE" w:rsidRDefault="007D79AE" w:rsidP="00BE5DBE">
            <w:pPr>
              <w:pStyle w:val="ListParagraph"/>
              <w:numPr>
                <w:ilvl w:val="0"/>
                <w:numId w:val="5"/>
              </w:numPr>
              <w:spacing w:after="0" w:line="240" w:lineRule="auto"/>
              <w:rPr>
                <w:rFonts w:asciiTheme="minorHAnsi" w:hAnsiTheme="minorHAnsi"/>
                <w:color w:val="333333"/>
              </w:rPr>
            </w:pPr>
            <w:r w:rsidRPr="007D79AE">
              <w:rPr>
                <w:rFonts w:asciiTheme="minorHAnsi" w:hAnsiTheme="minorHAnsi"/>
                <w:color w:val="333333"/>
              </w:rPr>
              <w:t>Demographic data</w:t>
            </w:r>
          </w:p>
          <w:p w:rsidR="007D79AE" w:rsidRPr="007D79AE" w:rsidRDefault="007D79AE" w:rsidP="00BE5DBE">
            <w:pPr>
              <w:pStyle w:val="ListParagraph"/>
              <w:numPr>
                <w:ilvl w:val="0"/>
                <w:numId w:val="5"/>
              </w:numPr>
              <w:spacing w:after="0" w:line="240" w:lineRule="auto"/>
              <w:rPr>
                <w:rFonts w:asciiTheme="minorHAnsi" w:hAnsiTheme="minorHAnsi"/>
                <w:color w:val="333333"/>
              </w:rPr>
            </w:pPr>
            <w:r w:rsidRPr="007D79AE">
              <w:rPr>
                <w:rFonts w:asciiTheme="minorHAnsi" w:hAnsiTheme="minorHAnsi"/>
                <w:color w:val="333333"/>
              </w:rPr>
              <w:t>Cervical Screening</w:t>
            </w:r>
          </w:p>
          <w:p w:rsidR="007D79AE" w:rsidRPr="007D79AE" w:rsidRDefault="007D79AE" w:rsidP="00BE5DBE">
            <w:pPr>
              <w:pStyle w:val="ListParagraph"/>
              <w:numPr>
                <w:ilvl w:val="0"/>
                <w:numId w:val="5"/>
              </w:numPr>
              <w:spacing w:after="0" w:line="240" w:lineRule="auto"/>
              <w:rPr>
                <w:rFonts w:asciiTheme="minorHAnsi" w:hAnsiTheme="minorHAnsi"/>
                <w:color w:val="333333"/>
              </w:rPr>
            </w:pPr>
            <w:r w:rsidRPr="007D79AE">
              <w:rPr>
                <w:rFonts w:asciiTheme="minorHAnsi" w:hAnsiTheme="minorHAnsi"/>
                <w:color w:val="333333"/>
              </w:rPr>
              <w:t>Breast Screening</w:t>
            </w:r>
          </w:p>
          <w:p w:rsidR="007D79AE" w:rsidRPr="007D79AE" w:rsidRDefault="007D79AE" w:rsidP="00BE5DBE">
            <w:pPr>
              <w:pStyle w:val="ListParagraph"/>
              <w:numPr>
                <w:ilvl w:val="0"/>
                <w:numId w:val="5"/>
              </w:numPr>
              <w:spacing w:after="0" w:line="240" w:lineRule="auto"/>
              <w:rPr>
                <w:rFonts w:asciiTheme="minorHAnsi" w:hAnsiTheme="minorHAnsi"/>
                <w:color w:val="333333"/>
              </w:rPr>
            </w:pPr>
            <w:r w:rsidRPr="007D79AE">
              <w:rPr>
                <w:rFonts w:asciiTheme="minorHAnsi" w:hAnsiTheme="minorHAnsi"/>
                <w:color w:val="333333"/>
              </w:rPr>
              <w:t>Bowel Screening</w:t>
            </w:r>
          </w:p>
          <w:p w:rsidR="007D79AE" w:rsidRPr="007D79AE" w:rsidRDefault="007D79AE" w:rsidP="00BE5DBE">
            <w:pPr>
              <w:pStyle w:val="ListParagraph"/>
              <w:numPr>
                <w:ilvl w:val="0"/>
                <w:numId w:val="5"/>
              </w:numPr>
              <w:spacing w:after="0" w:line="240" w:lineRule="auto"/>
              <w:rPr>
                <w:rFonts w:asciiTheme="minorHAnsi" w:hAnsiTheme="minorHAnsi"/>
                <w:color w:val="333333"/>
              </w:rPr>
            </w:pPr>
            <w:r w:rsidRPr="007D79AE">
              <w:rPr>
                <w:rFonts w:asciiTheme="minorHAnsi" w:hAnsiTheme="minorHAnsi"/>
                <w:color w:val="333333"/>
              </w:rPr>
              <w:t>HPV Vaccination</w:t>
            </w:r>
          </w:p>
          <w:p w:rsidR="007D79AE" w:rsidRPr="007D79AE" w:rsidRDefault="007D79AE" w:rsidP="00BE5DBE">
            <w:pPr>
              <w:pStyle w:val="ListParagraph"/>
              <w:numPr>
                <w:ilvl w:val="0"/>
                <w:numId w:val="5"/>
              </w:numPr>
              <w:spacing w:after="0" w:line="240" w:lineRule="auto"/>
              <w:rPr>
                <w:rFonts w:asciiTheme="minorHAnsi" w:hAnsiTheme="minorHAnsi"/>
                <w:color w:val="333333"/>
              </w:rPr>
            </w:pPr>
            <w:r w:rsidRPr="007D79AE">
              <w:rPr>
                <w:rFonts w:asciiTheme="minorHAnsi" w:hAnsiTheme="minorHAnsi"/>
                <w:color w:val="333333"/>
              </w:rPr>
              <w:t xml:space="preserve">Childhood immunisations </w:t>
            </w:r>
          </w:p>
          <w:p w:rsidR="007D79AE" w:rsidRPr="007D79AE" w:rsidRDefault="007D79AE" w:rsidP="00BE5DBE">
            <w:pPr>
              <w:pStyle w:val="ListParagraph"/>
              <w:numPr>
                <w:ilvl w:val="0"/>
                <w:numId w:val="5"/>
              </w:numPr>
              <w:spacing w:after="0" w:line="240" w:lineRule="auto"/>
              <w:rPr>
                <w:rFonts w:asciiTheme="minorHAnsi" w:hAnsiTheme="minorHAnsi"/>
                <w:color w:val="333333"/>
              </w:rPr>
            </w:pPr>
            <w:r w:rsidRPr="007D79AE">
              <w:rPr>
                <w:rFonts w:asciiTheme="minorHAnsi" w:hAnsiTheme="minorHAnsi"/>
                <w:color w:val="333333"/>
              </w:rPr>
              <w:t>Pre-School Booster vaccinations</w:t>
            </w:r>
          </w:p>
          <w:p w:rsidR="007D79AE" w:rsidRPr="007D79AE" w:rsidRDefault="007D79AE" w:rsidP="00BE5DBE">
            <w:pPr>
              <w:pStyle w:val="ListParagraph"/>
              <w:numPr>
                <w:ilvl w:val="0"/>
                <w:numId w:val="5"/>
              </w:numPr>
              <w:spacing w:after="0" w:line="240" w:lineRule="auto"/>
              <w:rPr>
                <w:rFonts w:asciiTheme="minorHAnsi" w:hAnsiTheme="minorHAnsi"/>
                <w:color w:val="333333"/>
              </w:rPr>
            </w:pPr>
            <w:r w:rsidRPr="007D79AE">
              <w:rPr>
                <w:rFonts w:asciiTheme="minorHAnsi" w:hAnsiTheme="minorHAnsi"/>
                <w:color w:val="333333"/>
              </w:rPr>
              <w:t>Organ Donor registration details</w:t>
            </w:r>
          </w:p>
          <w:p w:rsidR="007D79AE" w:rsidRPr="007D79AE" w:rsidRDefault="007D79AE" w:rsidP="007D79AE">
            <w:pPr>
              <w:pStyle w:val="ListParagraph"/>
              <w:numPr>
                <w:ilvl w:val="0"/>
                <w:numId w:val="5"/>
              </w:numPr>
              <w:spacing w:after="0" w:line="240" w:lineRule="auto"/>
              <w:rPr>
                <w:rFonts w:asciiTheme="minorHAnsi" w:hAnsiTheme="minorHAnsi"/>
                <w:color w:val="333333"/>
              </w:rPr>
            </w:pPr>
            <w:r w:rsidRPr="007D79AE">
              <w:rPr>
                <w:rFonts w:asciiTheme="minorHAnsi" w:hAnsiTheme="minorHAnsi"/>
                <w:color w:val="333333"/>
              </w:rPr>
              <w:t>Blood Donor registration details</w:t>
            </w:r>
            <w:r w:rsidRPr="007D79AE">
              <w:rPr>
                <w:rFonts w:asciiTheme="minorHAnsi" w:hAnsiTheme="minorHAnsi"/>
              </w:rPr>
              <w:br/>
            </w:r>
          </w:p>
        </w:tc>
      </w:tr>
      <w:tr w:rsidR="007D79AE" w:rsidRPr="007D79AE" w:rsidTr="007D79AE">
        <w:tc>
          <w:tcPr>
            <w:tcW w:w="4644" w:type="dxa"/>
            <w:tcBorders>
              <w:top w:val="single" w:sz="4" w:space="0" w:color="auto"/>
              <w:left w:val="single" w:sz="4" w:space="0" w:color="auto"/>
              <w:bottom w:val="single" w:sz="4" w:space="0" w:color="auto"/>
              <w:right w:val="single" w:sz="4" w:space="0" w:color="auto"/>
            </w:tcBorders>
          </w:tcPr>
          <w:p w:rsidR="007D79AE" w:rsidRPr="007D79AE" w:rsidRDefault="007D79AE">
            <w:pPr>
              <w:spacing w:after="0" w:line="240" w:lineRule="auto"/>
              <w:rPr>
                <w:rFonts w:asciiTheme="minorHAnsi" w:hAnsiTheme="minorHAnsi"/>
                <w:i/>
                <w:color w:val="000000"/>
                <w:lang w:eastAsia="en-GB"/>
              </w:rPr>
            </w:pPr>
            <w:r w:rsidRPr="007D79AE">
              <w:rPr>
                <w:rFonts w:asciiTheme="minorHAnsi" w:hAnsiTheme="minorHAnsi"/>
                <w:i/>
                <w:color w:val="000000"/>
                <w:lang w:eastAsia="en-GB"/>
              </w:rPr>
              <w:br/>
              <w:t>Identity and contact details of the data controller and the data protection officer</w:t>
            </w:r>
          </w:p>
          <w:p w:rsidR="007D79AE" w:rsidRPr="007D79AE" w:rsidRDefault="007D79AE">
            <w:pPr>
              <w:spacing w:after="0" w:line="240" w:lineRule="auto"/>
              <w:rPr>
                <w:rFonts w:asciiTheme="minorHAnsi" w:hAnsiTheme="minorHAnsi"/>
              </w:rPr>
            </w:pPr>
          </w:p>
        </w:tc>
        <w:tc>
          <w:tcPr>
            <w:tcW w:w="4598" w:type="dxa"/>
            <w:tcBorders>
              <w:top w:val="single" w:sz="4" w:space="0" w:color="auto"/>
              <w:left w:val="single" w:sz="4" w:space="0" w:color="auto"/>
              <w:bottom w:val="single" w:sz="4" w:space="0" w:color="auto"/>
              <w:right w:val="single" w:sz="4" w:space="0" w:color="auto"/>
            </w:tcBorders>
          </w:tcPr>
          <w:p w:rsidR="007D79AE" w:rsidRPr="007D79AE" w:rsidRDefault="007D79AE">
            <w:pPr>
              <w:spacing w:after="0" w:line="240" w:lineRule="auto"/>
              <w:rPr>
                <w:rFonts w:asciiTheme="minorHAnsi" w:hAnsiTheme="minorHAnsi"/>
              </w:rPr>
            </w:pPr>
          </w:p>
          <w:p w:rsidR="00E256B5" w:rsidRPr="000135FD" w:rsidRDefault="00E256B5" w:rsidP="00E256B5">
            <w:pPr>
              <w:spacing w:after="0" w:line="240" w:lineRule="auto"/>
              <w:rPr>
                <w:rFonts w:asciiTheme="minorHAnsi" w:hAnsiTheme="minorHAnsi" w:cstheme="minorHAnsi"/>
              </w:rPr>
            </w:pPr>
            <w:r w:rsidRPr="000135FD">
              <w:rPr>
                <w:rFonts w:asciiTheme="minorHAnsi" w:hAnsiTheme="minorHAnsi" w:cstheme="minorHAnsi"/>
              </w:rPr>
              <w:t>The Redcliffe Surgery</w:t>
            </w:r>
          </w:p>
          <w:p w:rsidR="00E256B5" w:rsidRPr="000135FD" w:rsidRDefault="00E256B5" w:rsidP="00E256B5">
            <w:pPr>
              <w:spacing w:after="0" w:line="240" w:lineRule="auto"/>
              <w:rPr>
                <w:rFonts w:asciiTheme="minorHAnsi" w:hAnsiTheme="minorHAnsi" w:cstheme="minorHAnsi"/>
                <w:lang w:eastAsia="en-GB"/>
              </w:rPr>
            </w:pPr>
            <w:r w:rsidRPr="000135FD">
              <w:rPr>
                <w:rFonts w:asciiTheme="minorHAnsi" w:hAnsiTheme="minorHAnsi" w:cstheme="minorHAnsi"/>
                <w:lang w:eastAsia="en-GB"/>
              </w:rPr>
              <w:t>DPO -Warwick Young</w:t>
            </w:r>
          </w:p>
          <w:p w:rsidR="00E256B5" w:rsidRPr="000135FD" w:rsidRDefault="00E256B5" w:rsidP="00E256B5">
            <w:pPr>
              <w:spacing w:after="0" w:line="240" w:lineRule="auto"/>
              <w:rPr>
                <w:rFonts w:asciiTheme="minorHAnsi" w:hAnsiTheme="minorHAnsi" w:cstheme="minorHAnsi"/>
                <w:lang w:eastAsia="en-GB"/>
              </w:rPr>
            </w:pPr>
            <w:r w:rsidRPr="000135FD">
              <w:rPr>
                <w:rFonts w:asciiTheme="minorHAnsi" w:hAnsiTheme="minorHAnsi" w:cstheme="minorHAnsi"/>
                <w:lang w:eastAsia="en-GB"/>
              </w:rPr>
              <w:t xml:space="preserve">Email: </w:t>
            </w:r>
            <w:hyperlink r:id="rId7" w:history="1">
              <w:r w:rsidRPr="000135FD">
                <w:rPr>
                  <w:rStyle w:val="Hyperlink"/>
                  <w:rFonts w:asciiTheme="minorHAnsi" w:hAnsiTheme="minorHAnsi" w:cstheme="minorHAnsi"/>
                  <w:lang w:eastAsia="en-GB"/>
                </w:rPr>
                <w:t>redcliffesurgery@nhs.net</w:t>
              </w:r>
            </w:hyperlink>
          </w:p>
          <w:p w:rsidR="007D79AE" w:rsidRPr="007D79AE" w:rsidRDefault="00E256B5" w:rsidP="00E256B5">
            <w:pPr>
              <w:spacing w:after="0" w:line="240" w:lineRule="auto"/>
              <w:rPr>
                <w:rFonts w:asciiTheme="minorHAnsi" w:hAnsiTheme="minorHAnsi"/>
              </w:rPr>
            </w:pPr>
            <w:r w:rsidRPr="000135FD">
              <w:rPr>
                <w:rFonts w:asciiTheme="minorHAnsi" w:hAnsiTheme="minorHAnsi" w:cstheme="minorHAnsi"/>
                <w:lang w:eastAsia="en-GB"/>
              </w:rPr>
              <w:t>Tel: 02074602222</w:t>
            </w:r>
          </w:p>
        </w:tc>
      </w:tr>
      <w:tr w:rsidR="007D79AE" w:rsidRPr="007D79AE" w:rsidTr="007D79AE">
        <w:tc>
          <w:tcPr>
            <w:tcW w:w="4644" w:type="dxa"/>
            <w:tcBorders>
              <w:top w:val="single" w:sz="4" w:space="0" w:color="auto"/>
              <w:left w:val="single" w:sz="4" w:space="0" w:color="auto"/>
              <w:bottom w:val="single" w:sz="4" w:space="0" w:color="auto"/>
              <w:right w:val="single" w:sz="4" w:space="0" w:color="auto"/>
            </w:tcBorders>
          </w:tcPr>
          <w:p w:rsidR="007D79AE" w:rsidRPr="007D79AE" w:rsidRDefault="007D79AE">
            <w:pPr>
              <w:spacing w:after="0" w:line="240" w:lineRule="auto"/>
              <w:rPr>
                <w:rFonts w:asciiTheme="minorHAnsi" w:hAnsiTheme="minorHAnsi"/>
                <w:i/>
                <w:color w:val="000000"/>
              </w:rPr>
            </w:pPr>
          </w:p>
          <w:p w:rsidR="007D79AE" w:rsidRPr="007D79AE" w:rsidRDefault="007D79AE">
            <w:pPr>
              <w:spacing w:after="0" w:line="240" w:lineRule="auto"/>
              <w:rPr>
                <w:rFonts w:asciiTheme="minorHAnsi" w:hAnsiTheme="minorHAnsi"/>
                <w:i/>
                <w:color w:val="000000"/>
              </w:rPr>
            </w:pPr>
            <w:r w:rsidRPr="007D79AE">
              <w:rPr>
                <w:rFonts w:asciiTheme="minorHAnsi" w:hAnsiTheme="minorHAnsi"/>
                <w:i/>
                <w:color w:val="000000"/>
              </w:rPr>
              <w:t>How does this comply with the Common Law Duty of Confidentiality?</w:t>
            </w:r>
            <w:r w:rsidRPr="007D79AE">
              <w:rPr>
                <w:rFonts w:asciiTheme="minorHAnsi" w:hAnsiTheme="minorHAnsi"/>
                <w:i/>
                <w:color w:val="000000"/>
              </w:rPr>
              <w:br/>
            </w:r>
          </w:p>
          <w:p w:rsidR="007D79AE" w:rsidRPr="007D79AE" w:rsidRDefault="007D79AE">
            <w:pPr>
              <w:numPr>
                <w:ilvl w:val="0"/>
                <w:numId w:val="1"/>
              </w:numPr>
              <w:spacing w:after="0" w:line="240" w:lineRule="auto"/>
              <w:contextualSpacing/>
              <w:rPr>
                <w:rFonts w:asciiTheme="minorHAnsi" w:hAnsiTheme="minorHAnsi"/>
                <w:i/>
                <w:color w:val="000000"/>
              </w:rPr>
            </w:pPr>
            <w:r w:rsidRPr="007D79AE">
              <w:rPr>
                <w:rFonts w:asciiTheme="minorHAnsi" w:hAnsiTheme="minorHAnsi"/>
                <w:i/>
                <w:color w:val="000000"/>
              </w:rPr>
              <w:t>Consent</w:t>
            </w:r>
          </w:p>
          <w:p w:rsidR="007D79AE" w:rsidRPr="007D79AE" w:rsidRDefault="007D79AE">
            <w:pPr>
              <w:numPr>
                <w:ilvl w:val="0"/>
                <w:numId w:val="2"/>
              </w:numPr>
              <w:spacing w:after="0" w:line="240" w:lineRule="auto"/>
              <w:rPr>
                <w:rFonts w:asciiTheme="minorHAnsi" w:hAnsiTheme="minorHAnsi"/>
                <w:i/>
                <w:color w:val="00B050"/>
              </w:rPr>
            </w:pPr>
            <w:r w:rsidRPr="007D79AE">
              <w:rPr>
                <w:rFonts w:asciiTheme="minorHAnsi" w:hAnsiTheme="minorHAnsi"/>
                <w:i/>
                <w:color w:val="00B050"/>
              </w:rPr>
              <w:t>Implied (e.g. direct care)</w:t>
            </w:r>
          </w:p>
          <w:p w:rsidR="007D79AE" w:rsidRPr="007D79AE" w:rsidRDefault="007D79AE">
            <w:pPr>
              <w:numPr>
                <w:ilvl w:val="0"/>
                <w:numId w:val="2"/>
              </w:numPr>
              <w:spacing w:after="0" w:line="240" w:lineRule="auto"/>
              <w:rPr>
                <w:rFonts w:asciiTheme="minorHAnsi" w:hAnsiTheme="minorHAnsi"/>
                <w:i/>
                <w:color w:val="FF0000"/>
              </w:rPr>
            </w:pPr>
            <w:r w:rsidRPr="007D79AE">
              <w:rPr>
                <w:rFonts w:asciiTheme="minorHAnsi" w:hAnsiTheme="minorHAnsi"/>
                <w:i/>
                <w:color w:val="FF0000"/>
              </w:rPr>
              <w:t xml:space="preserve">Explicit </w:t>
            </w:r>
            <w:r w:rsidR="000021C1">
              <w:rPr>
                <w:rFonts w:asciiTheme="minorHAnsi" w:hAnsiTheme="minorHAnsi"/>
                <w:i/>
                <w:color w:val="FF0000"/>
              </w:rPr>
              <w:t xml:space="preserve">(e.g. transfer of medical records to third party such as Solicitor or Insurance company </w:t>
            </w:r>
            <w:bookmarkStart w:id="0" w:name="_GoBack"/>
            <w:bookmarkEnd w:id="0"/>
          </w:p>
          <w:p w:rsidR="007D79AE" w:rsidRPr="007D79AE" w:rsidRDefault="007D79AE">
            <w:pPr>
              <w:numPr>
                <w:ilvl w:val="0"/>
                <w:numId w:val="1"/>
              </w:numPr>
              <w:spacing w:after="0" w:line="240" w:lineRule="auto"/>
              <w:contextualSpacing/>
              <w:rPr>
                <w:rFonts w:asciiTheme="minorHAnsi" w:hAnsiTheme="minorHAnsi"/>
                <w:i/>
                <w:color w:val="000000"/>
              </w:rPr>
            </w:pPr>
            <w:r w:rsidRPr="007D79AE">
              <w:rPr>
                <w:rFonts w:asciiTheme="minorHAnsi" w:hAnsiTheme="minorHAnsi"/>
                <w:i/>
                <w:color w:val="000000"/>
              </w:rPr>
              <w:t>COPI Regulations 2002</w:t>
            </w:r>
            <w:r w:rsidRPr="007D79AE">
              <w:rPr>
                <w:rFonts w:asciiTheme="minorHAnsi" w:hAnsiTheme="minorHAnsi"/>
                <w:i/>
                <w:color w:val="000000"/>
              </w:rPr>
              <w:br/>
              <w:t xml:space="preserve">(e.g. </w:t>
            </w:r>
            <w:proofErr w:type="spellStart"/>
            <w:r w:rsidRPr="007D79AE">
              <w:rPr>
                <w:rFonts w:asciiTheme="minorHAnsi" w:hAnsiTheme="minorHAnsi"/>
                <w:i/>
                <w:color w:val="000000"/>
              </w:rPr>
              <w:t>Reg</w:t>
            </w:r>
            <w:proofErr w:type="spellEnd"/>
            <w:r w:rsidRPr="007D79AE">
              <w:rPr>
                <w:rFonts w:asciiTheme="minorHAnsi" w:hAnsiTheme="minorHAnsi"/>
                <w:i/>
                <w:color w:val="000000"/>
              </w:rPr>
              <w:t xml:space="preserve"> 5 - “s251”)</w:t>
            </w:r>
          </w:p>
          <w:p w:rsidR="007D79AE" w:rsidRPr="007D79AE" w:rsidRDefault="007D79AE">
            <w:pPr>
              <w:numPr>
                <w:ilvl w:val="0"/>
                <w:numId w:val="1"/>
              </w:numPr>
              <w:spacing w:after="0" w:line="240" w:lineRule="auto"/>
              <w:contextualSpacing/>
              <w:rPr>
                <w:rFonts w:asciiTheme="minorHAnsi" w:hAnsiTheme="minorHAnsi"/>
                <w:i/>
                <w:color w:val="000000"/>
              </w:rPr>
            </w:pPr>
            <w:r w:rsidRPr="007D79AE">
              <w:rPr>
                <w:rFonts w:asciiTheme="minorHAnsi" w:hAnsiTheme="minorHAnsi"/>
                <w:i/>
                <w:color w:val="000000"/>
              </w:rPr>
              <w:t>“overriding public interest”</w:t>
            </w:r>
            <w:r w:rsidRPr="007D79AE">
              <w:rPr>
                <w:rFonts w:asciiTheme="minorHAnsi" w:hAnsiTheme="minorHAnsi"/>
                <w:i/>
                <w:color w:val="000000"/>
              </w:rPr>
              <w:br/>
              <w:t>(to safeguard you or another person)</w:t>
            </w:r>
          </w:p>
          <w:p w:rsidR="007D79AE" w:rsidRPr="007D79AE" w:rsidRDefault="007D79AE">
            <w:pPr>
              <w:numPr>
                <w:ilvl w:val="0"/>
                <w:numId w:val="1"/>
              </w:numPr>
              <w:spacing w:after="0" w:line="240" w:lineRule="auto"/>
              <w:contextualSpacing/>
              <w:rPr>
                <w:rFonts w:asciiTheme="minorHAnsi" w:hAnsiTheme="minorHAnsi"/>
                <w:i/>
                <w:color w:val="000000"/>
              </w:rPr>
            </w:pPr>
            <w:r w:rsidRPr="007D79AE">
              <w:rPr>
                <w:rFonts w:asciiTheme="minorHAnsi" w:hAnsiTheme="minorHAnsi"/>
                <w:i/>
                <w:color w:val="000000"/>
              </w:rPr>
              <w:t>legal obligation (e.g. court order)</w:t>
            </w:r>
          </w:p>
          <w:p w:rsidR="007D79AE" w:rsidRPr="007D79AE" w:rsidRDefault="007D79AE">
            <w:pPr>
              <w:spacing w:after="0" w:line="240" w:lineRule="auto"/>
              <w:contextualSpacing/>
              <w:rPr>
                <w:rFonts w:asciiTheme="minorHAnsi" w:hAnsiTheme="minorHAnsi"/>
                <w:i/>
                <w:color w:val="000000"/>
              </w:rPr>
            </w:pPr>
          </w:p>
        </w:tc>
        <w:tc>
          <w:tcPr>
            <w:tcW w:w="4598" w:type="dxa"/>
            <w:tcBorders>
              <w:top w:val="single" w:sz="4" w:space="0" w:color="auto"/>
              <w:left w:val="single" w:sz="4" w:space="0" w:color="auto"/>
              <w:bottom w:val="single" w:sz="4" w:space="0" w:color="auto"/>
              <w:right w:val="single" w:sz="4" w:space="0" w:color="auto"/>
            </w:tcBorders>
            <w:hideMark/>
          </w:tcPr>
          <w:p w:rsidR="007D79AE" w:rsidRPr="007D79AE" w:rsidRDefault="007D79AE">
            <w:pPr>
              <w:spacing w:after="0" w:line="240" w:lineRule="auto"/>
              <w:rPr>
                <w:rFonts w:asciiTheme="minorHAnsi" w:hAnsiTheme="minorHAnsi"/>
                <w:color w:val="00B050"/>
                <w:lang w:eastAsia="en-GB"/>
              </w:rPr>
            </w:pPr>
            <w:r w:rsidRPr="007D79AE">
              <w:rPr>
                <w:rFonts w:asciiTheme="minorHAnsi" w:hAnsiTheme="minorHAnsi"/>
                <w:color w:val="00B050"/>
                <w:lang w:eastAsia="en-GB"/>
              </w:rPr>
              <w:t>Consent (implied)</w:t>
            </w:r>
          </w:p>
          <w:p w:rsidR="007D79AE" w:rsidRPr="007D79AE" w:rsidRDefault="007D79AE">
            <w:pPr>
              <w:spacing w:after="0" w:line="240" w:lineRule="auto"/>
              <w:rPr>
                <w:rFonts w:asciiTheme="minorHAnsi" w:hAnsiTheme="minorHAnsi"/>
                <w:color w:val="000000"/>
              </w:rPr>
            </w:pPr>
            <w:r w:rsidRPr="007D79AE">
              <w:rPr>
                <w:rFonts w:asciiTheme="minorHAnsi" w:hAnsiTheme="minorHAnsi"/>
                <w:color w:val="000000"/>
              </w:rPr>
              <w:br/>
              <w:t>This means that it would be reasonable to infer that you agree to the use of the information as long as:</w:t>
            </w:r>
          </w:p>
          <w:p w:rsidR="007D79AE" w:rsidRPr="007D79AE" w:rsidRDefault="007D79AE">
            <w:pPr>
              <w:pStyle w:val="ListParagraph"/>
              <w:numPr>
                <w:ilvl w:val="0"/>
                <w:numId w:val="3"/>
              </w:numPr>
              <w:spacing w:after="0" w:line="240" w:lineRule="auto"/>
              <w:rPr>
                <w:rFonts w:asciiTheme="minorHAnsi" w:hAnsiTheme="minorHAnsi"/>
                <w:color w:val="000000"/>
              </w:rPr>
            </w:pPr>
            <w:r w:rsidRPr="007D79AE">
              <w:rPr>
                <w:rFonts w:asciiTheme="minorHAnsi" w:hAnsiTheme="minorHAnsi"/>
                <w:color w:val="000000"/>
              </w:rPr>
              <w:t>We are accessing the information to provide or support your direct care, or are satisfied that the person we are sharing the information with is accessing or receiving it for this purpose</w:t>
            </w:r>
          </w:p>
          <w:p w:rsidR="007D79AE" w:rsidRPr="007D79AE" w:rsidRDefault="007D79AE">
            <w:pPr>
              <w:pStyle w:val="ListParagraph"/>
              <w:numPr>
                <w:ilvl w:val="0"/>
                <w:numId w:val="3"/>
              </w:numPr>
              <w:spacing w:after="0" w:line="240" w:lineRule="auto"/>
              <w:rPr>
                <w:rFonts w:asciiTheme="minorHAnsi" w:hAnsiTheme="minorHAnsi"/>
                <w:color w:val="000000"/>
              </w:rPr>
            </w:pPr>
            <w:r w:rsidRPr="007D79AE">
              <w:rPr>
                <w:rFonts w:asciiTheme="minorHAnsi" w:hAnsiTheme="minorHAnsi"/>
                <w:color w:val="000000"/>
              </w:rPr>
              <w:t>Information is readily available to you, explaining how your information will be used and that you have the right to object</w:t>
            </w:r>
          </w:p>
          <w:p w:rsidR="007D79AE" w:rsidRPr="007D79AE" w:rsidRDefault="007D79AE">
            <w:pPr>
              <w:pStyle w:val="ListParagraph"/>
              <w:numPr>
                <w:ilvl w:val="0"/>
                <w:numId w:val="3"/>
              </w:numPr>
              <w:spacing w:after="0" w:line="240" w:lineRule="auto"/>
              <w:rPr>
                <w:rFonts w:asciiTheme="minorHAnsi" w:hAnsiTheme="minorHAnsi"/>
                <w:color w:val="000000"/>
              </w:rPr>
            </w:pPr>
            <w:r w:rsidRPr="007D79AE">
              <w:rPr>
                <w:rFonts w:asciiTheme="minorHAnsi" w:hAnsiTheme="minorHAnsi"/>
                <w:color w:val="000000"/>
              </w:rPr>
              <w:t>We have no reason to believe that you have objected</w:t>
            </w:r>
          </w:p>
          <w:p w:rsidR="007D79AE" w:rsidRPr="007D79AE" w:rsidRDefault="007D79AE">
            <w:pPr>
              <w:pStyle w:val="ListParagraph"/>
              <w:numPr>
                <w:ilvl w:val="0"/>
                <w:numId w:val="3"/>
              </w:numPr>
              <w:spacing w:after="0" w:line="240" w:lineRule="auto"/>
              <w:rPr>
                <w:rFonts w:asciiTheme="minorHAnsi" w:hAnsiTheme="minorHAnsi"/>
                <w:color w:val="000000"/>
              </w:rPr>
            </w:pPr>
            <w:r w:rsidRPr="007D79AE">
              <w:rPr>
                <w:rFonts w:asciiTheme="minorHAnsi" w:hAnsiTheme="minorHAnsi"/>
                <w:color w:val="000000"/>
              </w:rPr>
              <w:t>We are satisfied that anyone we disclose personal information to understands that we are giving it to them in confidence, which they must respect</w:t>
            </w:r>
            <w:r w:rsidRPr="007D79AE">
              <w:rPr>
                <w:rFonts w:asciiTheme="minorHAnsi" w:hAnsiTheme="minorHAnsi"/>
                <w:color w:val="000000"/>
              </w:rPr>
              <w:br/>
            </w:r>
          </w:p>
        </w:tc>
      </w:tr>
      <w:tr w:rsidR="007D79AE" w:rsidRPr="007D79AE" w:rsidTr="007D79AE">
        <w:tc>
          <w:tcPr>
            <w:tcW w:w="4644" w:type="dxa"/>
            <w:tcBorders>
              <w:top w:val="single" w:sz="4" w:space="0" w:color="auto"/>
              <w:left w:val="single" w:sz="4" w:space="0" w:color="auto"/>
              <w:bottom w:val="single" w:sz="4" w:space="0" w:color="auto"/>
              <w:right w:val="single" w:sz="4" w:space="0" w:color="auto"/>
            </w:tcBorders>
            <w:hideMark/>
          </w:tcPr>
          <w:p w:rsidR="007D79AE" w:rsidRPr="007D79AE" w:rsidRDefault="007D79AE">
            <w:pPr>
              <w:spacing w:after="0" w:line="240" w:lineRule="auto"/>
              <w:rPr>
                <w:rFonts w:asciiTheme="minorHAnsi" w:hAnsiTheme="minorHAnsi"/>
                <w:i/>
                <w:color w:val="000000"/>
                <w:lang w:eastAsia="en-GB"/>
              </w:rPr>
            </w:pPr>
            <w:r w:rsidRPr="007D79AE">
              <w:rPr>
                <w:rFonts w:asciiTheme="minorHAnsi" w:hAnsiTheme="minorHAnsi"/>
                <w:i/>
                <w:color w:val="000000"/>
                <w:lang w:eastAsia="en-GB"/>
              </w:rPr>
              <w:br/>
              <w:t>Purpose of the processing and the lawful basis for the processing</w:t>
            </w:r>
            <w:r w:rsidRPr="007D79AE">
              <w:rPr>
                <w:rFonts w:asciiTheme="minorHAnsi" w:hAnsiTheme="minorHAnsi"/>
                <w:i/>
                <w:color w:val="000000"/>
                <w:lang w:eastAsia="en-GB"/>
              </w:rPr>
              <w:br/>
            </w:r>
          </w:p>
        </w:tc>
        <w:tc>
          <w:tcPr>
            <w:tcW w:w="4598" w:type="dxa"/>
            <w:tcBorders>
              <w:top w:val="single" w:sz="4" w:space="0" w:color="auto"/>
              <w:left w:val="single" w:sz="4" w:space="0" w:color="auto"/>
              <w:bottom w:val="single" w:sz="4" w:space="0" w:color="auto"/>
              <w:right w:val="single" w:sz="4" w:space="0" w:color="auto"/>
            </w:tcBorders>
          </w:tcPr>
          <w:p w:rsidR="007D79AE" w:rsidRPr="007D79AE" w:rsidRDefault="007D79AE">
            <w:pPr>
              <w:spacing w:after="0" w:line="240" w:lineRule="auto"/>
              <w:rPr>
                <w:rFonts w:asciiTheme="minorHAnsi" w:hAnsiTheme="minorHAnsi"/>
                <w:color w:val="000000"/>
                <w:lang w:eastAsia="en-GB"/>
              </w:rPr>
            </w:pPr>
            <w:r w:rsidRPr="007D79AE">
              <w:rPr>
                <w:rFonts w:asciiTheme="minorHAnsi" w:hAnsiTheme="minorHAnsi"/>
              </w:rPr>
              <w:br/>
            </w:r>
            <w:r w:rsidRPr="007D79AE">
              <w:rPr>
                <w:rFonts w:asciiTheme="minorHAnsi" w:hAnsiTheme="minorHAnsi"/>
                <w:color w:val="000000"/>
                <w:lang w:eastAsia="en-GB"/>
              </w:rPr>
              <w:t xml:space="preserve">To enable healthcare professionals working for </w:t>
            </w:r>
            <w:r w:rsidR="00563927">
              <w:rPr>
                <w:rFonts w:asciiTheme="minorHAnsi" w:hAnsiTheme="minorHAnsi"/>
                <w:color w:val="000000"/>
                <w:lang w:eastAsia="en-GB"/>
              </w:rPr>
              <w:t xml:space="preserve">The Redcliffe </w:t>
            </w:r>
            <w:r>
              <w:rPr>
                <w:rFonts w:asciiTheme="minorHAnsi" w:hAnsiTheme="minorHAnsi"/>
                <w:color w:val="000000"/>
                <w:lang w:eastAsia="en-GB"/>
              </w:rPr>
              <w:t xml:space="preserve"> Surgery</w:t>
            </w:r>
            <w:r w:rsidR="00563927">
              <w:rPr>
                <w:rFonts w:asciiTheme="minorHAnsi" w:hAnsiTheme="minorHAnsi"/>
                <w:color w:val="000000"/>
                <w:lang w:eastAsia="en-GB"/>
              </w:rPr>
              <w:t xml:space="preserve"> </w:t>
            </w:r>
            <w:r w:rsidRPr="007D79AE">
              <w:rPr>
                <w:rFonts w:asciiTheme="minorHAnsi" w:hAnsiTheme="minorHAnsi"/>
                <w:color w:val="000000"/>
                <w:lang w:eastAsia="en-GB"/>
              </w:rPr>
              <w:t xml:space="preserve">to access the Open Exeter database (NHAIS), and in so providing </w:t>
            </w:r>
            <w:r>
              <w:rPr>
                <w:rFonts w:asciiTheme="minorHAnsi" w:hAnsiTheme="minorHAnsi"/>
                <w:color w:val="000000"/>
                <w:lang w:eastAsia="en-GB"/>
              </w:rPr>
              <w:t xml:space="preserve">the </w:t>
            </w:r>
            <w:r>
              <w:rPr>
                <w:rFonts w:asciiTheme="minorHAnsi" w:hAnsiTheme="minorHAnsi"/>
                <w:color w:val="000000"/>
                <w:lang w:eastAsia="en-GB"/>
              </w:rPr>
              <w:lastRenderedPageBreak/>
              <w:t xml:space="preserve">practice </w:t>
            </w:r>
            <w:r w:rsidRPr="007D79AE">
              <w:rPr>
                <w:rFonts w:asciiTheme="minorHAnsi" w:hAnsiTheme="minorHAnsi"/>
                <w:color w:val="000000"/>
                <w:lang w:eastAsia="en-GB"/>
              </w:rPr>
              <w:t>with relevant information about patients</w:t>
            </w:r>
          </w:p>
          <w:p w:rsidR="007D79AE" w:rsidRPr="007D79AE" w:rsidRDefault="007D79AE">
            <w:pPr>
              <w:spacing w:after="0" w:line="240" w:lineRule="auto"/>
              <w:rPr>
                <w:rFonts w:asciiTheme="minorHAnsi" w:hAnsiTheme="minorHAnsi"/>
                <w:color w:val="000000"/>
                <w:lang w:eastAsia="en-GB"/>
              </w:rPr>
            </w:pPr>
            <w:r w:rsidRPr="007D79AE">
              <w:rPr>
                <w:rFonts w:asciiTheme="minorHAnsi" w:hAnsiTheme="minorHAnsi"/>
                <w:color w:val="000000"/>
                <w:lang w:eastAsia="en-GB"/>
              </w:rPr>
              <w:t xml:space="preserve">This is a </w:t>
            </w:r>
            <w:r w:rsidRPr="007D79AE">
              <w:rPr>
                <w:rFonts w:asciiTheme="minorHAnsi" w:hAnsiTheme="minorHAnsi"/>
                <w:b/>
                <w:color w:val="000000"/>
                <w:lang w:eastAsia="en-GB"/>
              </w:rPr>
              <w:t>Direct Care</w:t>
            </w:r>
            <w:r w:rsidRPr="007D79AE">
              <w:rPr>
                <w:rFonts w:asciiTheme="minorHAnsi" w:hAnsiTheme="minorHAnsi"/>
                <w:color w:val="000000"/>
                <w:lang w:eastAsia="en-GB"/>
              </w:rPr>
              <w:t xml:space="preserve"> purpose</w:t>
            </w:r>
          </w:p>
          <w:p w:rsidR="007D79AE" w:rsidRPr="007D79AE" w:rsidRDefault="007D79AE">
            <w:pPr>
              <w:spacing w:after="0" w:line="240" w:lineRule="auto"/>
              <w:rPr>
                <w:rFonts w:asciiTheme="minorHAnsi" w:hAnsiTheme="minorHAnsi"/>
                <w:color w:val="000000"/>
                <w:lang w:eastAsia="en-GB"/>
              </w:rPr>
            </w:pPr>
            <w:r w:rsidRPr="007D79AE">
              <w:rPr>
                <w:rFonts w:asciiTheme="minorHAnsi" w:hAnsiTheme="minorHAnsi"/>
                <w:color w:val="000000"/>
                <w:lang w:eastAsia="en-GB"/>
              </w:rPr>
              <w:t>Special category of data (health)</w:t>
            </w:r>
          </w:p>
          <w:p w:rsidR="007D79AE" w:rsidRPr="007D79AE" w:rsidRDefault="007D79AE">
            <w:pPr>
              <w:spacing w:after="0" w:line="240" w:lineRule="auto"/>
              <w:rPr>
                <w:rFonts w:asciiTheme="minorHAnsi" w:hAnsiTheme="minorHAnsi"/>
                <w:b/>
                <w:color w:val="000000"/>
                <w:lang w:eastAsia="en-GB"/>
              </w:rPr>
            </w:pPr>
            <w:r w:rsidRPr="007D79AE">
              <w:rPr>
                <w:rFonts w:asciiTheme="minorHAnsi" w:hAnsiTheme="minorHAnsi"/>
                <w:color w:val="000000"/>
                <w:lang w:eastAsia="en-GB"/>
              </w:rPr>
              <w:t>Lawful bases:</w:t>
            </w:r>
            <w:r w:rsidRPr="007D79AE">
              <w:rPr>
                <w:rFonts w:asciiTheme="minorHAnsi" w:hAnsiTheme="minorHAnsi"/>
                <w:color w:val="000000"/>
                <w:lang w:eastAsia="en-GB"/>
              </w:rPr>
              <w:br/>
            </w:r>
            <w:r w:rsidRPr="007D79AE">
              <w:rPr>
                <w:rFonts w:asciiTheme="minorHAnsi" w:hAnsiTheme="minorHAnsi"/>
                <w:b/>
                <w:color w:val="000000"/>
              </w:rPr>
              <w:t>Article 6(1)(e) – Official Authority</w:t>
            </w:r>
          </w:p>
          <w:p w:rsidR="007D79AE" w:rsidRPr="007D79AE" w:rsidRDefault="007D79AE">
            <w:pPr>
              <w:spacing w:after="0" w:line="240" w:lineRule="auto"/>
              <w:rPr>
                <w:rFonts w:asciiTheme="minorHAnsi" w:hAnsiTheme="minorHAnsi"/>
                <w:b/>
                <w:color w:val="000000"/>
              </w:rPr>
            </w:pPr>
            <w:r w:rsidRPr="007D79AE">
              <w:rPr>
                <w:rFonts w:asciiTheme="minorHAnsi" w:hAnsiTheme="minorHAnsi"/>
                <w:b/>
                <w:color w:val="000000"/>
              </w:rPr>
              <w:t>Article 9(2)(h) – Provision of health</w:t>
            </w:r>
          </w:p>
          <w:p w:rsidR="007D79AE" w:rsidRPr="007D79AE" w:rsidRDefault="007D79AE">
            <w:pPr>
              <w:spacing w:after="0" w:line="240" w:lineRule="auto"/>
              <w:rPr>
                <w:rFonts w:asciiTheme="minorHAnsi" w:hAnsiTheme="minorHAnsi"/>
              </w:rPr>
            </w:pPr>
          </w:p>
        </w:tc>
      </w:tr>
      <w:tr w:rsidR="007D79AE" w:rsidRPr="007D79AE" w:rsidTr="007D79AE">
        <w:tc>
          <w:tcPr>
            <w:tcW w:w="4644" w:type="dxa"/>
            <w:tcBorders>
              <w:top w:val="single" w:sz="4" w:space="0" w:color="auto"/>
              <w:left w:val="single" w:sz="4" w:space="0" w:color="auto"/>
              <w:bottom w:val="single" w:sz="4" w:space="0" w:color="auto"/>
              <w:right w:val="single" w:sz="4" w:space="0" w:color="auto"/>
            </w:tcBorders>
          </w:tcPr>
          <w:p w:rsidR="007D79AE" w:rsidRPr="007D79AE" w:rsidRDefault="007D79AE">
            <w:pPr>
              <w:spacing w:after="0" w:line="240" w:lineRule="auto"/>
              <w:rPr>
                <w:rFonts w:asciiTheme="minorHAnsi" w:hAnsiTheme="minorHAnsi"/>
                <w:i/>
                <w:color w:val="000000"/>
              </w:rPr>
            </w:pPr>
            <w:r w:rsidRPr="007D79AE">
              <w:rPr>
                <w:rFonts w:asciiTheme="minorHAnsi" w:hAnsiTheme="minorHAnsi"/>
                <w:i/>
                <w:color w:val="000000"/>
              </w:rPr>
              <w:lastRenderedPageBreak/>
              <w:t>Is this:</w:t>
            </w:r>
            <w:r w:rsidRPr="007D79AE">
              <w:rPr>
                <w:rFonts w:asciiTheme="minorHAnsi" w:hAnsiTheme="minorHAnsi"/>
                <w:i/>
                <w:color w:val="000000"/>
              </w:rPr>
              <w:br/>
            </w:r>
          </w:p>
          <w:p w:rsidR="007D79AE" w:rsidRPr="007D79AE" w:rsidRDefault="007D79AE">
            <w:pPr>
              <w:pStyle w:val="ListParagraph"/>
              <w:numPr>
                <w:ilvl w:val="0"/>
                <w:numId w:val="4"/>
              </w:numPr>
              <w:spacing w:after="0" w:line="240" w:lineRule="auto"/>
              <w:rPr>
                <w:rFonts w:asciiTheme="minorHAnsi" w:hAnsiTheme="minorHAnsi"/>
                <w:i/>
                <w:color w:val="C00000"/>
              </w:rPr>
            </w:pPr>
            <w:r w:rsidRPr="007D79AE">
              <w:rPr>
                <w:rFonts w:asciiTheme="minorHAnsi" w:hAnsiTheme="minorHAnsi"/>
                <w:i/>
                <w:color w:val="C00000"/>
              </w:rPr>
              <w:t xml:space="preserve">Access </w:t>
            </w:r>
            <w:r w:rsidRPr="007D79AE">
              <w:rPr>
                <w:rFonts w:asciiTheme="minorHAnsi" w:hAnsiTheme="minorHAnsi"/>
                <w:b/>
                <w:i/>
                <w:color w:val="C00000"/>
              </w:rPr>
              <w:t>to</w:t>
            </w:r>
            <w:r w:rsidRPr="007D79AE">
              <w:rPr>
                <w:rFonts w:asciiTheme="minorHAnsi" w:hAnsiTheme="minorHAnsi"/>
                <w:i/>
                <w:color w:val="C00000"/>
              </w:rPr>
              <w:t xml:space="preserve"> your GP record</w:t>
            </w:r>
          </w:p>
          <w:p w:rsidR="007D79AE" w:rsidRPr="007D79AE" w:rsidRDefault="007D79AE">
            <w:pPr>
              <w:pStyle w:val="ListParagraph"/>
              <w:numPr>
                <w:ilvl w:val="0"/>
                <w:numId w:val="4"/>
              </w:numPr>
              <w:spacing w:after="0" w:line="240" w:lineRule="auto"/>
              <w:rPr>
                <w:rFonts w:asciiTheme="minorHAnsi" w:hAnsiTheme="minorHAnsi"/>
                <w:i/>
                <w:color w:val="7030A0"/>
              </w:rPr>
            </w:pPr>
            <w:r w:rsidRPr="007D79AE">
              <w:rPr>
                <w:rFonts w:asciiTheme="minorHAnsi" w:hAnsiTheme="minorHAnsi"/>
                <w:i/>
                <w:color w:val="7030A0"/>
              </w:rPr>
              <w:t xml:space="preserve">Extraction of information </w:t>
            </w:r>
            <w:r w:rsidRPr="007D79AE">
              <w:rPr>
                <w:rFonts w:asciiTheme="minorHAnsi" w:hAnsiTheme="minorHAnsi"/>
                <w:b/>
                <w:i/>
                <w:color w:val="7030A0"/>
              </w:rPr>
              <w:br/>
              <w:t xml:space="preserve">from </w:t>
            </w:r>
            <w:r w:rsidRPr="007D79AE">
              <w:rPr>
                <w:rFonts w:asciiTheme="minorHAnsi" w:hAnsiTheme="minorHAnsi"/>
                <w:i/>
                <w:color w:val="7030A0"/>
              </w:rPr>
              <w:t>your GP record</w:t>
            </w:r>
          </w:p>
          <w:p w:rsidR="007D79AE" w:rsidRPr="007D79AE" w:rsidRDefault="007D79AE">
            <w:pPr>
              <w:pStyle w:val="ListParagraph"/>
              <w:numPr>
                <w:ilvl w:val="0"/>
                <w:numId w:val="4"/>
              </w:numPr>
              <w:spacing w:after="0" w:line="240" w:lineRule="auto"/>
              <w:rPr>
                <w:rFonts w:asciiTheme="minorHAnsi" w:hAnsiTheme="minorHAnsi"/>
                <w:i/>
                <w:color w:val="7030A0"/>
              </w:rPr>
            </w:pPr>
            <w:r w:rsidRPr="007D79AE">
              <w:rPr>
                <w:rFonts w:asciiTheme="minorHAnsi" w:hAnsiTheme="minorHAnsi"/>
                <w:i/>
                <w:color w:val="00B050"/>
              </w:rPr>
              <w:t>Access to data held about you</w:t>
            </w:r>
            <w:r w:rsidRPr="007D79AE">
              <w:rPr>
                <w:rFonts w:asciiTheme="minorHAnsi" w:hAnsiTheme="minorHAnsi"/>
                <w:i/>
                <w:color w:val="00B050"/>
              </w:rPr>
              <w:br/>
            </w:r>
            <w:r w:rsidRPr="007D79AE">
              <w:rPr>
                <w:rFonts w:asciiTheme="minorHAnsi" w:hAnsiTheme="minorHAnsi"/>
                <w:b/>
                <w:i/>
                <w:color w:val="00B050"/>
              </w:rPr>
              <w:t>by another data controller</w:t>
            </w:r>
          </w:p>
          <w:p w:rsidR="007D79AE" w:rsidRPr="007D79AE" w:rsidRDefault="007D79AE">
            <w:pPr>
              <w:spacing w:after="0" w:line="240" w:lineRule="auto"/>
              <w:rPr>
                <w:rFonts w:asciiTheme="minorHAnsi" w:hAnsiTheme="minorHAnsi"/>
                <w:i/>
                <w:color w:val="7030A0"/>
              </w:rPr>
            </w:pPr>
          </w:p>
        </w:tc>
        <w:tc>
          <w:tcPr>
            <w:tcW w:w="4598" w:type="dxa"/>
            <w:tcBorders>
              <w:top w:val="single" w:sz="4" w:space="0" w:color="auto"/>
              <w:left w:val="single" w:sz="4" w:space="0" w:color="auto"/>
              <w:bottom w:val="single" w:sz="4" w:space="0" w:color="auto"/>
              <w:right w:val="single" w:sz="4" w:space="0" w:color="auto"/>
            </w:tcBorders>
            <w:hideMark/>
          </w:tcPr>
          <w:p w:rsidR="007D79AE" w:rsidRPr="007D79AE" w:rsidRDefault="007D79AE">
            <w:pPr>
              <w:spacing w:after="0" w:line="240" w:lineRule="auto"/>
              <w:rPr>
                <w:rFonts w:asciiTheme="minorHAnsi" w:hAnsiTheme="minorHAnsi"/>
              </w:rPr>
            </w:pPr>
            <w:r w:rsidRPr="007D79AE">
              <w:rPr>
                <w:rFonts w:asciiTheme="minorHAnsi" w:hAnsiTheme="minorHAnsi"/>
              </w:rPr>
              <w:br/>
            </w:r>
            <w:r w:rsidRPr="007D79AE">
              <w:rPr>
                <w:rFonts w:asciiTheme="minorHAnsi" w:hAnsiTheme="minorHAnsi"/>
                <w:color w:val="00B050"/>
                <w:lang w:eastAsia="en-GB"/>
              </w:rPr>
              <w:t>Access to data held by another data controller</w:t>
            </w:r>
          </w:p>
        </w:tc>
      </w:tr>
      <w:tr w:rsidR="007D79AE" w:rsidRPr="007D79AE" w:rsidTr="007D79AE">
        <w:tc>
          <w:tcPr>
            <w:tcW w:w="4644" w:type="dxa"/>
            <w:tcBorders>
              <w:top w:val="single" w:sz="4" w:space="0" w:color="auto"/>
              <w:left w:val="single" w:sz="4" w:space="0" w:color="auto"/>
              <w:bottom w:val="single" w:sz="4" w:space="0" w:color="auto"/>
              <w:right w:val="single" w:sz="4" w:space="0" w:color="auto"/>
            </w:tcBorders>
          </w:tcPr>
          <w:p w:rsidR="007D79AE" w:rsidRPr="007D79AE" w:rsidRDefault="007D79AE">
            <w:pPr>
              <w:spacing w:after="0" w:line="240" w:lineRule="auto"/>
              <w:rPr>
                <w:rFonts w:asciiTheme="minorHAnsi" w:hAnsiTheme="minorHAnsi"/>
                <w:i/>
                <w:color w:val="000000"/>
                <w:lang w:eastAsia="en-GB"/>
              </w:rPr>
            </w:pPr>
          </w:p>
          <w:p w:rsidR="007D79AE" w:rsidRPr="007D79AE" w:rsidRDefault="007D79AE">
            <w:pPr>
              <w:spacing w:after="0" w:line="240" w:lineRule="auto"/>
              <w:rPr>
                <w:rFonts w:asciiTheme="minorHAnsi" w:hAnsiTheme="minorHAnsi"/>
                <w:i/>
                <w:color w:val="000000"/>
                <w:lang w:eastAsia="en-GB"/>
              </w:rPr>
            </w:pPr>
            <w:r w:rsidRPr="007D79AE">
              <w:rPr>
                <w:rFonts w:asciiTheme="minorHAnsi" w:hAnsiTheme="minorHAnsi"/>
                <w:i/>
                <w:color w:val="000000"/>
                <w:lang w:eastAsia="en-GB"/>
              </w:rPr>
              <w:t>The recipient(s), or categories of recipients, of your personal data</w:t>
            </w:r>
          </w:p>
          <w:p w:rsidR="007D79AE" w:rsidRPr="007D79AE" w:rsidRDefault="007D79AE">
            <w:pPr>
              <w:spacing w:after="0" w:line="240" w:lineRule="auto"/>
              <w:rPr>
                <w:rFonts w:asciiTheme="minorHAnsi" w:hAnsiTheme="minorHAnsi"/>
              </w:rPr>
            </w:pPr>
          </w:p>
        </w:tc>
        <w:tc>
          <w:tcPr>
            <w:tcW w:w="4598" w:type="dxa"/>
            <w:tcBorders>
              <w:top w:val="single" w:sz="4" w:space="0" w:color="auto"/>
              <w:left w:val="single" w:sz="4" w:space="0" w:color="auto"/>
              <w:bottom w:val="single" w:sz="4" w:space="0" w:color="auto"/>
              <w:right w:val="single" w:sz="4" w:space="0" w:color="auto"/>
            </w:tcBorders>
          </w:tcPr>
          <w:p w:rsidR="007D79AE" w:rsidRPr="007D79AE" w:rsidRDefault="007D79AE">
            <w:pPr>
              <w:spacing w:after="0" w:line="240" w:lineRule="auto"/>
              <w:rPr>
                <w:rFonts w:asciiTheme="minorHAnsi" w:hAnsiTheme="minorHAnsi"/>
              </w:rPr>
            </w:pPr>
          </w:p>
          <w:p w:rsidR="007D79AE" w:rsidRPr="007D79AE" w:rsidRDefault="007D79AE" w:rsidP="00A85FA9">
            <w:pPr>
              <w:spacing w:after="0" w:line="240" w:lineRule="auto"/>
              <w:rPr>
                <w:rFonts w:asciiTheme="minorHAnsi" w:hAnsiTheme="minorHAnsi"/>
              </w:rPr>
            </w:pPr>
            <w:r w:rsidRPr="007D79AE">
              <w:rPr>
                <w:rFonts w:asciiTheme="minorHAnsi" w:hAnsiTheme="minorHAnsi"/>
                <w:color w:val="000000"/>
                <w:lang w:eastAsia="en-GB"/>
              </w:rPr>
              <w:t xml:space="preserve">Healthcare Professionals and administrative  staff from </w:t>
            </w:r>
            <w:r w:rsidR="00A85FA9">
              <w:rPr>
                <w:rFonts w:asciiTheme="minorHAnsi" w:hAnsiTheme="minorHAnsi"/>
                <w:color w:val="000000"/>
                <w:lang w:eastAsia="en-GB"/>
              </w:rPr>
              <w:t>The Redcliffe Surgery</w:t>
            </w:r>
          </w:p>
        </w:tc>
      </w:tr>
      <w:tr w:rsidR="007D79AE" w:rsidRPr="007D79AE" w:rsidTr="007D79AE">
        <w:tc>
          <w:tcPr>
            <w:tcW w:w="4644" w:type="dxa"/>
            <w:tcBorders>
              <w:top w:val="single" w:sz="4" w:space="0" w:color="auto"/>
              <w:left w:val="single" w:sz="4" w:space="0" w:color="auto"/>
              <w:bottom w:val="single" w:sz="4" w:space="0" w:color="auto"/>
              <w:right w:val="single" w:sz="4" w:space="0" w:color="auto"/>
            </w:tcBorders>
          </w:tcPr>
          <w:p w:rsidR="007D79AE" w:rsidRPr="007D79AE" w:rsidRDefault="007D79AE">
            <w:pPr>
              <w:spacing w:after="0" w:line="240" w:lineRule="auto"/>
              <w:rPr>
                <w:rFonts w:asciiTheme="minorHAnsi" w:hAnsiTheme="minorHAnsi"/>
                <w:i/>
                <w:color w:val="000000"/>
                <w:lang w:eastAsia="en-GB"/>
              </w:rPr>
            </w:pPr>
          </w:p>
          <w:p w:rsidR="007D79AE" w:rsidRPr="007D79AE" w:rsidRDefault="007D79AE">
            <w:pPr>
              <w:spacing w:after="0" w:line="240" w:lineRule="auto"/>
              <w:rPr>
                <w:rFonts w:asciiTheme="minorHAnsi" w:hAnsiTheme="minorHAnsi"/>
                <w:i/>
                <w:color w:val="000000"/>
                <w:lang w:eastAsia="en-GB"/>
              </w:rPr>
            </w:pPr>
            <w:r w:rsidRPr="007D79AE">
              <w:rPr>
                <w:rFonts w:asciiTheme="minorHAnsi" w:hAnsiTheme="minorHAnsi"/>
                <w:i/>
                <w:color w:val="000000"/>
                <w:lang w:eastAsia="en-GB"/>
              </w:rPr>
              <w:t>Retention period of the data (or criteria used to determine the retention period)</w:t>
            </w:r>
          </w:p>
          <w:p w:rsidR="007D79AE" w:rsidRPr="007D79AE" w:rsidRDefault="007D79AE">
            <w:pPr>
              <w:spacing w:after="0" w:line="240" w:lineRule="auto"/>
              <w:rPr>
                <w:rFonts w:asciiTheme="minorHAnsi" w:hAnsiTheme="minorHAnsi"/>
              </w:rPr>
            </w:pPr>
          </w:p>
        </w:tc>
        <w:tc>
          <w:tcPr>
            <w:tcW w:w="4598" w:type="dxa"/>
            <w:tcBorders>
              <w:top w:val="single" w:sz="4" w:space="0" w:color="auto"/>
              <w:left w:val="single" w:sz="4" w:space="0" w:color="auto"/>
              <w:bottom w:val="single" w:sz="4" w:space="0" w:color="auto"/>
              <w:right w:val="single" w:sz="4" w:space="0" w:color="auto"/>
            </w:tcBorders>
          </w:tcPr>
          <w:p w:rsidR="007D79AE" w:rsidRPr="007D79AE" w:rsidRDefault="007D79AE">
            <w:pPr>
              <w:spacing w:after="0" w:line="240" w:lineRule="auto"/>
              <w:rPr>
                <w:rFonts w:asciiTheme="minorHAnsi" w:hAnsiTheme="minorHAnsi"/>
                <w:color w:val="000000"/>
                <w:lang w:eastAsia="en-GB"/>
              </w:rPr>
            </w:pPr>
            <w:r w:rsidRPr="007D79AE">
              <w:rPr>
                <w:rFonts w:asciiTheme="minorHAnsi" w:hAnsiTheme="minorHAnsi"/>
              </w:rPr>
              <w:br/>
            </w:r>
            <w:r w:rsidRPr="007D79AE">
              <w:rPr>
                <w:rFonts w:asciiTheme="minorHAnsi" w:hAnsiTheme="minorHAnsi"/>
                <w:color w:val="000000"/>
                <w:lang w:eastAsia="en-GB"/>
              </w:rPr>
              <w:t>Data is viewed on screen.</w:t>
            </w:r>
            <w:r w:rsidRPr="007D79AE">
              <w:rPr>
                <w:rFonts w:asciiTheme="minorHAnsi" w:hAnsiTheme="minorHAnsi"/>
                <w:color w:val="000000"/>
                <w:lang w:eastAsia="en-GB"/>
              </w:rPr>
              <w:br/>
              <w:t>If printed, it is destroyed when no longer required (usually within 24 hrs).</w:t>
            </w:r>
          </w:p>
          <w:p w:rsidR="007D79AE" w:rsidRPr="007D79AE" w:rsidRDefault="007D79AE">
            <w:pPr>
              <w:spacing w:after="0" w:line="240" w:lineRule="auto"/>
              <w:rPr>
                <w:rFonts w:asciiTheme="minorHAnsi" w:hAnsiTheme="minorHAnsi"/>
              </w:rPr>
            </w:pPr>
          </w:p>
        </w:tc>
      </w:tr>
      <w:tr w:rsidR="007D79AE" w:rsidRPr="007D79AE" w:rsidTr="007D79AE">
        <w:tc>
          <w:tcPr>
            <w:tcW w:w="4644" w:type="dxa"/>
            <w:tcBorders>
              <w:top w:val="single" w:sz="4" w:space="0" w:color="auto"/>
              <w:left w:val="single" w:sz="4" w:space="0" w:color="auto"/>
              <w:bottom w:val="single" w:sz="4" w:space="0" w:color="auto"/>
              <w:right w:val="single" w:sz="4" w:space="0" w:color="auto"/>
            </w:tcBorders>
          </w:tcPr>
          <w:p w:rsidR="007D79AE" w:rsidRPr="007D79AE" w:rsidRDefault="007D79AE">
            <w:pPr>
              <w:spacing w:after="0" w:line="240" w:lineRule="auto"/>
              <w:rPr>
                <w:rFonts w:asciiTheme="minorHAnsi" w:hAnsiTheme="minorHAnsi"/>
                <w:i/>
                <w:color w:val="000000"/>
                <w:lang w:eastAsia="en-GB"/>
              </w:rPr>
            </w:pPr>
          </w:p>
          <w:p w:rsidR="007D79AE" w:rsidRPr="007D79AE" w:rsidRDefault="007D79AE">
            <w:pPr>
              <w:spacing w:after="0" w:line="240" w:lineRule="auto"/>
              <w:rPr>
                <w:rFonts w:asciiTheme="minorHAnsi" w:hAnsiTheme="minorHAnsi"/>
                <w:i/>
                <w:color w:val="000000"/>
                <w:lang w:eastAsia="en-GB"/>
              </w:rPr>
            </w:pPr>
            <w:r w:rsidRPr="007D79AE">
              <w:rPr>
                <w:rFonts w:asciiTheme="minorHAnsi" w:hAnsiTheme="minorHAnsi"/>
                <w:i/>
                <w:color w:val="000000"/>
                <w:lang w:eastAsia="en-GB"/>
              </w:rPr>
              <w:t>The existence of each of your rights</w:t>
            </w:r>
          </w:p>
          <w:p w:rsidR="007D79AE" w:rsidRPr="007D79AE" w:rsidRDefault="007D79AE">
            <w:pPr>
              <w:spacing w:after="0" w:line="240" w:lineRule="auto"/>
              <w:rPr>
                <w:rFonts w:asciiTheme="minorHAnsi" w:hAnsiTheme="minorHAnsi"/>
              </w:rPr>
            </w:pPr>
          </w:p>
        </w:tc>
        <w:tc>
          <w:tcPr>
            <w:tcW w:w="4598" w:type="dxa"/>
            <w:tcBorders>
              <w:top w:val="single" w:sz="4" w:space="0" w:color="auto"/>
              <w:left w:val="single" w:sz="4" w:space="0" w:color="auto"/>
              <w:bottom w:val="single" w:sz="4" w:space="0" w:color="auto"/>
              <w:right w:val="single" w:sz="4" w:space="0" w:color="auto"/>
            </w:tcBorders>
          </w:tcPr>
          <w:p w:rsidR="007D79AE" w:rsidRPr="007D79AE" w:rsidRDefault="007D79AE">
            <w:pPr>
              <w:spacing w:after="0" w:line="240" w:lineRule="auto"/>
              <w:rPr>
                <w:rFonts w:asciiTheme="minorHAnsi" w:hAnsiTheme="minorHAnsi"/>
                <w:color w:val="000000"/>
                <w:lang w:eastAsia="en-GB"/>
              </w:rPr>
            </w:pPr>
          </w:p>
          <w:p w:rsidR="007D79AE" w:rsidRPr="007D79AE" w:rsidRDefault="007D79AE">
            <w:pPr>
              <w:spacing w:after="0" w:line="240" w:lineRule="auto"/>
              <w:rPr>
                <w:rFonts w:asciiTheme="minorHAnsi" w:hAnsiTheme="minorHAnsi"/>
                <w:color w:val="000000"/>
                <w:lang w:eastAsia="en-GB"/>
              </w:rPr>
            </w:pPr>
            <w:r w:rsidRPr="007D79AE">
              <w:rPr>
                <w:rFonts w:asciiTheme="minorHAnsi" w:hAnsiTheme="minorHAnsi"/>
                <w:color w:val="000000"/>
                <w:lang w:eastAsia="en-GB"/>
              </w:rPr>
              <w:t>Article 6(1</w:t>
            </w:r>
            <w:proofErr w:type="gramStart"/>
            <w:r w:rsidRPr="007D79AE">
              <w:rPr>
                <w:rFonts w:asciiTheme="minorHAnsi" w:hAnsiTheme="minorHAnsi"/>
                <w:color w:val="000000"/>
                <w:lang w:eastAsia="en-GB"/>
              </w:rPr>
              <w:t>)(</w:t>
            </w:r>
            <w:proofErr w:type="gramEnd"/>
            <w:r w:rsidRPr="007D79AE">
              <w:rPr>
                <w:rFonts w:asciiTheme="minorHAnsi" w:hAnsiTheme="minorHAnsi"/>
                <w:color w:val="000000"/>
                <w:lang w:eastAsia="en-GB"/>
              </w:rPr>
              <w:t>e) gives the data subject the right to object.</w:t>
            </w:r>
          </w:p>
          <w:p w:rsidR="007D79AE" w:rsidRPr="007D79AE" w:rsidRDefault="007D79AE">
            <w:pPr>
              <w:spacing w:after="0" w:line="240" w:lineRule="auto"/>
              <w:rPr>
                <w:rFonts w:asciiTheme="minorHAnsi" w:hAnsiTheme="minorHAnsi"/>
              </w:rPr>
            </w:pPr>
          </w:p>
          <w:p w:rsidR="007D79AE" w:rsidRPr="007D79AE" w:rsidRDefault="007D79AE">
            <w:pPr>
              <w:spacing w:after="0" w:line="240" w:lineRule="auto"/>
              <w:rPr>
                <w:rFonts w:asciiTheme="minorHAnsi" w:hAnsiTheme="minorHAnsi"/>
              </w:rPr>
            </w:pPr>
          </w:p>
          <w:p w:rsidR="007D79AE" w:rsidRPr="007D79AE" w:rsidRDefault="007D79AE">
            <w:pPr>
              <w:spacing w:after="0" w:line="240" w:lineRule="auto"/>
              <w:rPr>
                <w:rFonts w:asciiTheme="minorHAnsi" w:hAnsiTheme="minorHAnsi"/>
              </w:rPr>
            </w:pPr>
          </w:p>
        </w:tc>
      </w:tr>
      <w:tr w:rsidR="007D79AE" w:rsidRPr="007D79AE" w:rsidTr="007D79AE">
        <w:tc>
          <w:tcPr>
            <w:tcW w:w="4644" w:type="dxa"/>
            <w:tcBorders>
              <w:top w:val="single" w:sz="4" w:space="0" w:color="auto"/>
              <w:left w:val="single" w:sz="4" w:space="0" w:color="auto"/>
              <w:bottom w:val="single" w:sz="4" w:space="0" w:color="auto"/>
              <w:right w:val="single" w:sz="4" w:space="0" w:color="auto"/>
            </w:tcBorders>
          </w:tcPr>
          <w:p w:rsidR="007D79AE" w:rsidRPr="007D79AE" w:rsidRDefault="007D79AE">
            <w:pPr>
              <w:spacing w:after="0" w:line="240" w:lineRule="auto"/>
              <w:rPr>
                <w:rFonts w:asciiTheme="minorHAnsi" w:hAnsiTheme="minorHAnsi"/>
                <w:i/>
                <w:color w:val="000000"/>
                <w:lang w:eastAsia="en-GB"/>
              </w:rPr>
            </w:pPr>
          </w:p>
          <w:p w:rsidR="007D79AE" w:rsidRPr="007D79AE" w:rsidRDefault="007D79AE">
            <w:pPr>
              <w:spacing w:after="0" w:line="240" w:lineRule="auto"/>
              <w:rPr>
                <w:rFonts w:asciiTheme="minorHAnsi" w:hAnsiTheme="minorHAnsi"/>
                <w:i/>
                <w:color w:val="000000"/>
                <w:lang w:eastAsia="en-GB"/>
              </w:rPr>
            </w:pPr>
            <w:r w:rsidRPr="007D79AE">
              <w:rPr>
                <w:rFonts w:asciiTheme="minorHAnsi" w:hAnsiTheme="minorHAnsi"/>
                <w:i/>
                <w:color w:val="000000"/>
                <w:lang w:eastAsia="en-GB"/>
              </w:rPr>
              <w:t>The right to lodge a complaint with a supervisory authority</w:t>
            </w:r>
          </w:p>
          <w:p w:rsidR="007D79AE" w:rsidRPr="007D79AE" w:rsidRDefault="007D79AE">
            <w:pPr>
              <w:spacing w:after="0" w:line="240" w:lineRule="auto"/>
              <w:rPr>
                <w:rFonts w:asciiTheme="minorHAnsi" w:hAnsiTheme="minorHAnsi"/>
              </w:rPr>
            </w:pPr>
          </w:p>
        </w:tc>
        <w:tc>
          <w:tcPr>
            <w:tcW w:w="4598" w:type="dxa"/>
            <w:tcBorders>
              <w:top w:val="single" w:sz="4" w:space="0" w:color="auto"/>
              <w:left w:val="single" w:sz="4" w:space="0" w:color="auto"/>
              <w:bottom w:val="single" w:sz="4" w:space="0" w:color="auto"/>
              <w:right w:val="single" w:sz="4" w:space="0" w:color="auto"/>
            </w:tcBorders>
          </w:tcPr>
          <w:p w:rsidR="007D79AE" w:rsidRPr="007D79AE" w:rsidRDefault="007D79AE">
            <w:pPr>
              <w:spacing w:after="0" w:line="240" w:lineRule="auto"/>
              <w:rPr>
                <w:rFonts w:asciiTheme="minorHAnsi" w:hAnsiTheme="minorHAnsi"/>
              </w:rPr>
            </w:pPr>
          </w:p>
          <w:p w:rsidR="007D79AE" w:rsidRPr="007D79AE" w:rsidRDefault="007D79AE">
            <w:pPr>
              <w:spacing w:after="0" w:line="240" w:lineRule="auto"/>
              <w:rPr>
                <w:rFonts w:asciiTheme="minorHAnsi" w:hAnsiTheme="minorHAnsi"/>
              </w:rPr>
            </w:pPr>
            <w:r w:rsidRPr="007D79AE">
              <w:rPr>
                <w:rFonts w:asciiTheme="minorHAnsi" w:hAnsiTheme="minorHAnsi"/>
              </w:rPr>
              <w:t>Yes:</w:t>
            </w:r>
            <w:r w:rsidRPr="007D79AE">
              <w:rPr>
                <w:rFonts w:asciiTheme="minorHAnsi" w:hAnsiTheme="minorHAnsi"/>
              </w:rPr>
              <w:br/>
              <w:t>The Information Commissioner</w:t>
            </w:r>
          </w:p>
        </w:tc>
      </w:tr>
      <w:tr w:rsidR="007D79AE" w:rsidRPr="007D79AE" w:rsidTr="007D79AE">
        <w:tc>
          <w:tcPr>
            <w:tcW w:w="4644" w:type="dxa"/>
            <w:tcBorders>
              <w:top w:val="single" w:sz="4" w:space="0" w:color="auto"/>
              <w:left w:val="single" w:sz="4" w:space="0" w:color="auto"/>
              <w:bottom w:val="single" w:sz="4" w:space="0" w:color="auto"/>
              <w:right w:val="single" w:sz="4" w:space="0" w:color="auto"/>
            </w:tcBorders>
          </w:tcPr>
          <w:p w:rsidR="007D79AE" w:rsidRPr="007D79AE" w:rsidRDefault="007D79AE">
            <w:pPr>
              <w:spacing w:after="0" w:line="240" w:lineRule="auto"/>
              <w:rPr>
                <w:rFonts w:asciiTheme="minorHAnsi" w:hAnsiTheme="minorHAnsi"/>
                <w:i/>
                <w:color w:val="000000"/>
                <w:lang w:eastAsia="en-GB"/>
              </w:rPr>
            </w:pPr>
          </w:p>
          <w:p w:rsidR="007D79AE" w:rsidRPr="007D79AE" w:rsidRDefault="007D79AE">
            <w:pPr>
              <w:spacing w:after="0" w:line="240" w:lineRule="auto"/>
              <w:rPr>
                <w:rFonts w:asciiTheme="minorHAnsi" w:hAnsiTheme="minorHAnsi"/>
                <w:i/>
                <w:color w:val="000000"/>
                <w:lang w:eastAsia="en-GB"/>
              </w:rPr>
            </w:pPr>
            <w:r w:rsidRPr="007D79AE">
              <w:rPr>
                <w:rFonts w:asciiTheme="minorHAnsi" w:hAnsiTheme="minorHAnsi"/>
                <w:i/>
                <w:color w:val="000000"/>
                <w:lang w:eastAsia="en-GB"/>
              </w:rPr>
              <w:t>The existence of automated decision making, including profiling and information about how decisions are made, the significance and the consequences</w:t>
            </w:r>
          </w:p>
          <w:p w:rsidR="007D79AE" w:rsidRPr="007D79AE" w:rsidRDefault="007D79AE">
            <w:pPr>
              <w:spacing w:after="0" w:line="240" w:lineRule="auto"/>
              <w:rPr>
                <w:rFonts w:asciiTheme="minorHAnsi" w:hAnsiTheme="minorHAnsi"/>
                <w:i/>
                <w:color w:val="000000"/>
                <w:lang w:eastAsia="en-GB"/>
              </w:rPr>
            </w:pPr>
          </w:p>
        </w:tc>
        <w:tc>
          <w:tcPr>
            <w:tcW w:w="4598" w:type="dxa"/>
            <w:tcBorders>
              <w:top w:val="single" w:sz="4" w:space="0" w:color="auto"/>
              <w:left w:val="single" w:sz="4" w:space="0" w:color="auto"/>
              <w:bottom w:val="single" w:sz="4" w:space="0" w:color="auto"/>
              <w:right w:val="single" w:sz="4" w:space="0" w:color="auto"/>
            </w:tcBorders>
            <w:hideMark/>
          </w:tcPr>
          <w:p w:rsidR="007D79AE" w:rsidRPr="007D79AE" w:rsidRDefault="007D79AE">
            <w:pPr>
              <w:spacing w:after="0" w:line="240" w:lineRule="auto"/>
              <w:rPr>
                <w:rFonts w:asciiTheme="minorHAnsi" w:hAnsiTheme="minorHAnsi"/>
              </w:rPr>
            </w:pPr>
            <w:r w:rsidRPr="007D79AE">
              <w:rPr>
                <w:rFonts w:asciiTheme="minorHAnsi" w:hAnsiTheme="minorHAnsi"/>
              </w:rPr>
              <w:br/>
              <w:t>No</w:t>
            </w:r>
          </w:p>
        </w:tc>
      </w:tr>
    </w:tbl>
    <w:p w:rsidR="00173BE8" w:rsidRPr="007D79AE" w:rsidRDefault="00173BE8">
      <w:pPr>
        <w:rPr>
          <w:rFonts w:asciiTheme="minorHAnsi" w:hAnsiTheme="minorHAnsi"/>
        </w:rPr>
      </w:pPr>
    </w:p>
    <w:sectPr w:rsidR="00173BE8" w:rsidRPr="007D7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04EE"/>
    <w:multiLevelType w:val="hybridMultilevel"/>
    <w:tmpl w:val="91E203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
    <w:nsid w:val="4D784225"/>
    <w:multiLevelType w:val="hybridMultilevel"/>
    <w:tmpl w:val="7C7AB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
    <w:nsid w:val="518C3E21"/>
    <w:multiLevelType w:val="hybridMultilevel"/>
    <w:tmpl w:val="85D6E52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nsid w:val="78D010C2"/>
    <w:multiLevelType w:val="hybridMultilevel"/>
    <w:tmpl w:val="259638F4"/>
    <w:lvl w:ilvl="0" w:tplc="08090003">
      <w:start w:val="1"/>
      <w:numFmt w:val="bullet"/>
      <w:lvlText w:val="o"/>
      <w:lvlJc w:val="left"/>
      <w:pPr>
        <w:ind w:left="720" w:hanging="360"/>
      </w:pPr>
      <w:rPr>
        <w:rFonts w:ascii="Courier New" w:hAnsi="Courier New"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7F0544EE"/>
    <w:multiLevelType w:val="hybridMultilevel"/>
    <w:tmpl w:val="55F2879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AE"/>
    <w:rsid w:val="000021C1"/>
    <w:rsid w:val="00173BE8"/>
    <w:rsid w:val="00563927"/>
    <w:rsid w:val="007D79AE"/>
    <w:rsid w:val="00A85FA9"/>
    <w:rsid w:val="00E2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AE"/>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79AE"/>
    <w:rPr>
      <w:rFonts w:ascii="Times New Roman" w:hAnsi="Times New Roman" w:cs="Times New Roman" w:hint="default"/>
      <w:color w:val="0000FF"/>
      <w:u w:val="single"/>
    </w:rPr>
  </w:style>
  <w:style w:type="paragraph" w:styleId="ListParagraph">
    <w:name w:val="List Paragraph"/>
    <w:basedOn w:val="Normal"/>
    <w:uiPriority w:val="99"/>
    <w:qFormat/>
    <w:rsid w:val="007D79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AE"/>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79AE"/>
    <w:rPr>
      <w:rFonts w:ascii="Times New Roman" w:hAnsi="Times New Roman" w:cs="Times New Roman" w:hint="default"/>
      <w:color w:val="0000FF"/>
      <w:u w:val="single"/>
    </w:rPr>
  </w:style>
  <w:style w:type="paragraph" w:styleId="ListParagraph">
    <w:name w:val="List Paragraph"/>
    <w:basedOn w:val="Normal"/>
    <w:uiPriority w:val="99"/>
    <w:qFormat/>
    <w:rsid w:val="007D7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dcliffesurger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NHAIS/open-exet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Natalia Mousa</cp:lastModifiedBy>
  <cp:revision>5</cp:revision>
  <dcterms:created xsi:type="dcterms:W3CDTF">2018-05-24T10:36:00Z</dcterms:created>
  <dcterms:modified xsi:type="dcterms:W3CDTF">2018-05-30T14:27:00Z</dcterms:modified>
</cp:coreProperties>
</file>