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BB" w:rsidRPr="009668BB" w:rsidRDefault="009668BB" w:rsidP="009668BB">
      <w:pPr>
        <w:jc w:val="center"/>
        <w:outlineLvl w:val="0"/>
        <w:rPr>
          <w:rFonts w:asciiTheme="minorHAnsi" w:hAnsiTheme="minorHAnsi"/>
          <w:b/>
        </w:rPr>
      </w:pPr>
      <w:r w:rsidRPr="009668BB">
        <w:rPr>
          <w:rFonts w:asciiTheme="minorHAnsi" w:hAnsiTheme="minorHAnsi"/>
          <w:b/>
        </w:rPr>
        <w:t>SMS Text Messages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598"/>
      </w:tblGrid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b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b/>
                <w:i/>
                <w:color w:val="000000"/>
                <w:lang w:eastAsia="en-GB"/>
              </w:rPr>
              <w:t>Plain English Explanation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</w:rPr>
              <w:br/>
            </w:r>
            <w:r w:rsidRPr="009668BB">
              <w:rPr>
                <w:rFonts w:asciiTheme="minorHAnsi" w:hAnsiTheme="minorHAnsi"/>
                <w:color w:val="000000"/>
              </w:rPr>
              <w:t xml:space="preserve">Patients are free to provide </w:t>
            </w:r>
            <w:r w:rsidR="00E54586">
              <w:rPr>
                <w:rFonts w:asciiTheme="minorHAnsi" w:hAnsiTheme="minorHAnsi"/>
                <w:color w:val="000000"/>
              </w:rPr>
              <w:t>Redcliffe</w:t>
            </w:r>
            <w:r>
              <w:rPr>
                <w:rFonts w:asciiTheme="minorHAnsi" w:hAnsiTheme="minorHAnsi"/>
                <w:color w:val="000000"/>
              </w:rPr>
              <w:t xml:space="preserve"> Surgery</w:t>
            </w:r>
            <w:r w:rsidRPr="009668BB">
              <w:rPr>
                <w:rFonts w:asciiTheme="minorHAnsi" w:hAnsiTheme="minorHAnsi"/>
                <w:color w:val="000000"/>
              </w:rPr>
              <w:t xml:space="preserve"> with their mobile phone number and consent will be recorded to allow </w:t>
            </w:r>
            <w:r w:rsidR="00E54586">
              <w:rPr>
                <w:rFonts w:asciiTheme="minorHAnsi" w:hAnsiTheme="minorHAnsi"/>
                <w:color w:val="000000"/>
              </w:rPr>
              <w:t>Redcliffe</w:t>
            </w:r>
            <w:r>
              <w:rPr>
                <w:rFonts w:asciiTheme="minorHAnsi" w:hAnsiTheme="minorHAnsi"/>
                <w:color w:val="000000"/>
              </w:rPr>
              <w:t xml:space="preserve"> Surgery</w:t>
            </w:r>
            <w:r w:rsidRPr="009668BB">
              <w:rPr>
                <w:rFonts w:asciiTheme="minorHAnsi" w:hAnsiTheme="minorHAnsi"/>
                <w:color w:val="000000"/>
              </w:rPr>
              <w:t xml:space="preserve"> staff to use SMS if needed, or if preferred by the patient.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The majority of SMS messages are automatically generated to remind patients of forthcoming surgery appointments that they have booked.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SMS can be used to convey test results.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Other uses include inviting eligible patients to attend for flu clinics or annual reviews (e.g. asthma, COPD</w:t>
            </w:r>
            <w:r w:rsidR="00E54586">
              <w:rPr>
                <w:rFonts w:asciiTheme="minorHAnsi" w:hAnsiTheme="minorHAnsi"/>
                <w:color w:val="000000"/>
              </w:rPr>
              <w:t>, Diabetes</w:t>
            </w:r>
            <w:r w:rsidRPr="009668BB">
              <w:rPr>
                <w:rFonts w:asciiTheme="minorHAnsi" w:hAnsiTheme="minorHAnsi"/>
                <w:color w:val="000000"/>
              </w:rPr>
              <w:t xml:space="preserve">) or in emergencies when surgeries have to be cancelled at short notice. 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</w:rPr>
            </w:pPr>
            <w:r w:rsidRPr="009668BB">
              <w:rPr>
                <w:rFonts w:asciiTheme="minorHAnsi" w:hAnsiTheme="minorHAnsi"/>
                <w:b/>
              </w:rPr>
              <w:t>We do not use SMS messages for any form of direct marketing.</w:t>
            </w:r>
            <w:r w:rsidRPr="009668BB">
              <w:rPr>
                <w:rFonts w:asciiTheme="minorHAnsi" w:hAnsiTheme="minorHAnsi"/>
              </w:rPr>
              <w:br/>
            </w:r>
            <w:r w:rsidRPr="009668BB">
              <w:rPr>
                <w:rFonts w:asciiTheme="minorHAnsi" w:hAnsiTheme="minorHAnsi"/>
              </w:rPr>
              <w:br/>
            </w:r>
            <w:r w:rsidRPr="009668BB">
              <w:rPr>
                <w:rFonts w:asciiTheme="minorHAnsi" w:hAnsiTheme="minorHAnsi"/>
                <w:b/>
              </w:rPr>
              <w:t>All text messages are for direct medical care purposes only.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Patients have the right to provi</w:t>
            </w:r>
            <w:r w:rsidR="00E54586">
              <w:rPr>
                <w:rFonts w:asciiTheme="minorHAnsi" w:hAnsiTheme="minorHAnsi"/>
                <w:color w:val="000000"/>
              </w:rPr>
              <w:t xml:space="preserve">de Redcliffe </w:t>
            </w:r>
            <w:r>
              <w:rPr>
                <w:rFonts w:asciiTheme="minorHAnsi" w:hAnsiTheme="minorHAnsi"/>
                <w:color w:val="000000"/>
              </w:rPr>
              <w:t xml:space="preserve"> Surgery</w:t>
            </w:r>
            <w:r w:rsidRPr="009668BB">
              <w:rPr>
                <w:rFonts w:asciiTheme="minorHAnsi" w:hAnsiTheme="minorHAnsi"/>
                <w:color w:val="000000"/>
              </w:rPr>
              <w:t xml:space="preserve"> with their mobile number in order to enable an alternative number by which to contact them, </w:t>
            </w:r>
            <w:r w:rsidRPr="009668BB">
              <w:rPr>
                <w:rFonts w:asciiTheme="minorHAnsi" w:hAnsiTheme="minorHAnsi"/>
                <w:b/>
                <w:color w:val="000000"/>
              </w:rPr>
              <w:t>without</w:t>
            </w:r>
            <w:r w:rsidRPr="009668BB">
              <w:rPr>
                <w:rFonts w:asciiTheme="minorHAnsi" w:hAnsiTheme="minorHAnsi"/>
                <w:color w:val="000000"/>
              </w:rPr>
              <w:t xml:space="preserve"> allowing SMS messages to be sent (i.e. “mobile phone calls only”).</w:t>
            </w:r>
          </w:p>
          <w:p w:rsidR="009668BB" w:rsidRPr="009668BB" w:rsidRDefault="009668BB" w:rsidP="00BE5DBE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9668BB" w:rsidRDefault="009668BB" w:rsidP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We will record and action any such objection accordingly, ensuring no SMS messages are sent to you.</w:t>
            </w:r>
          </w:p>
          <w:p w:rsidR="00E54586" w:rsidRPr="009668BB" w:rsidRDefault="00E54586" w:rsidP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br/>
              <w:t>Identity and contact details of the data controller and the data protection officer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0135FD" w:rsidRDefault="000135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135FD">
              <w:rPr>
                <w:rFonts w:asciiTheme="minorHAnsi" w:hAnsiTheme="minorHAnsi" w:cstheme="minorHAnsi"/>
              </w:rPr>
              <w:t>The Redcliffe Surgery</w:t>
            </w:r>
          </w:p>
          <w:p w:rsidR="000135FD" w:rsidRPr="000135FD" w:rsidRDefault="000135FD" w:rsidP="000135FD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0135FD">
              <w:rPr>
                <w:rFonts w:asciiTheme="minorHAnsi" w:hAnsiTheme="minorHAnsi" w:cstheme="minorHAnsi"/>
                <w:lang w:eastAsia="en-GB"/>
              </w:rPr>
              <w:t>DPO -Warwick Young</w:t>
            </w:r>
          </w:p>
          <w:p w:rsidR="000135FD" w:rsidRPr="000135FD" w:rsidRDefault="000135FD" w:rsidP="000135FD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0135FD">
              <w:rPr>
                <w:rFonts w:asciiTheme="minorHAnsi" w:hAnsiTheme="minorHAnsi" w:cstheme="minorHAnsi"/>
                <w:lang w:eastAsia="en-GB"/>
              </w:rPr>
              <w:t xml:space="preserve">Email: </w:t>
            </w:r>
            <w:hyperlink r:id="rId6" w:history="1">
              <w:r w:rsidRPr="000135FD">
                <w:rPr>
                  <w:rStyle w:val="Hyperlink"/>
                  <w:rFonts w:asciiTheme="minorHAnsi" w:hAnsiTheme="minorHAnsi" w:cstheme="minorHAnsi"/>
                  <w:lang w:eastAsia="en-GB"/>
                </w:rPr>
                <w:t>redcliffesurgery@nhs.net</w:t>
              </w:r>
            </w:hyperlink>
          </w:p>
          <w:p w:rsidR="009668BB" w:rsidRPr="009668BB" w:rsidRDefault="000135FD" w:rsidP="000135FD">
            <w:pPr>
              <w:spacing w:after="0" w:line="240" w:lineRule="auto"/>
              <w:rPr>
                <w:rFonts w:asciiTheme="minorHAnsi" w:hAnsiTheme="minorHAnsi"/>
              </w:rPr>
            </w:pPr>
            <w:r w:rsidRPr="000135FD">
              <w:rPr>
                <w:rFonts w:asciiTheme="minorHAnsi" w:hAnsiTheme="minorHAnsi" w:cstheme="minorHAnsi"/>
                <w:lang w:eastAsia="en-GB"/>
              </w:rPr>
              <w:t>Tel: 02074602222</w:t>
            </w: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9668BB">
              <w:rPr>
                <w:rFonts w:asciiTheme="minorHAnsi" w:hAnsiTheme="minorHAnsi"/>
                <w:i/>
                <w:color w:val="000000"/>
              </w:rPr>
              <w:t>How does this comply with the Common Law Duty of Confidentiality?</w:t>
            </w:r>
            <w:r w:rsidRPr="009668BB">
              <w:rPr>
                <w:rFonts w:asciiTheme="minorHAnsi" w:hAnsiTheme="minorHAnsi"/>
                <w:i/>
                <w:color w:val="000000"/>
              </w:rPr>
              <w:br/>
            </w:r>
          </w:p>
          <w:p w:rsidR="009668BB" w:rsidRPr="009668BB" w:rsidRDefault="009668BB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668BB">
              <w:rPr>
                <w:rFonts w:asciiTheme="minorHAnsi" w:hAnsiTheme="minorHAnsi"/>
                <w:i/>
                <w:color w:val="000000"/>
              </w:rPr>
              <w:t>Consent</w:t>
            </w:r>
          </w:p>
          <w:p w:rsidR="009668BB" w:rsidRPr="009668BB" w:rsidRDefault="009668BB" w:rsidP="00BE5D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color w:val="00B050"/>
              </w:rPr>
            </w:pPr>
            <w:r w:rsidRPr="009668BB">
              <w:rPr>
                <w:rFonts w:asciiTheme="minorHAnsi" w:hAnsiTheme="minorHAnsi"/>
                <w:i/>
                <w:color w:val="00B050"/>
              </w:rPr>
              <w:t>Implied (e.g. direct care)</w:t>
            </w:r>
          </w:p>
          <w:p w:rsidR="009668BB" w:rsidRPr="009668BB" w:rsidRDefault="009668BB" w:rsidP="00BE5D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9668BB">
              <w:rPr>
                <w:rFonts w:asciiTheme="minorHAnsi" w:hAnsiTheme="minorHAnsi"/>
                <w:i/>
                <w:color w:val="FF0000"/>
              </w:rPr>
              <w:t xml:space="preserve">Explicit (e.g. </w:t>
            </w:r>
            <w:r w:rsidR="00E54586">
              <w:rPr>
                <w:rFonts w:asciiTheme="minorHAnsi" w:hAnsiTheme="minorHAnsi"/>
                <w:i/>
                <w:color w:val="FF0000"/>
              </w:rPr>
              <w:t>emergencies</w:t>
            </w:r>
            <w:r w:rsidRPr="009668BB">
              <w:rPr>
                <w:rFonts w:asciiTheme="minorHAnsi" w:hAnsiTheme="minorHAnsi"/>
                <w:i/>
                <w:color w:val="FF0000"/>
              </w:rPr>
              <w:t>)</w:t>
            </w:r>
          </w:p>
          <w:p w:rsidR="009668BB" w:rsidRPr="009668BB" w:rsidRDefault="009668BB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668BB">
              <w:rPr>
                <w:rFonts w:asciiTheme="minorHAnsi" w:hAnsiTheme="minorHAnsi"/>
                <w:i/>
                <w:color w:val="000000"/>
              </w:rPr>
              <w:t>COPI Regulations 2002</w:t>
            </w:r>
            <w:r w:rsidRPr="009668BB">
              <w:rPr>
                <w:rFonts w:asciiTheme="minorHAnsi" w:hAnsiTheme="minorHAnsi"/>
                <w:i/>
                <w:color w:val="000000"/>
              </w:rPr>
              <w:br/>
              <w:t xml:space="preserve">(e.g. </w:t>
            </w:r>
            <w:proofErr w:type="spellStart"/>
            <w:r w:rsidRPr="009668BB">
              <w:rPr>
                <w:rFonts w:asciiTheme="minorHAnsi" w:hAnsiTheme="minorHAnsi"/>
                <w:i/>
                <w:color w:val="000000"/>
              </w:rPr>
              <w:t>Reg</w:t>
            </w:r>
            <w:proofErr w:type="spellEnd"/>
            <w:r w:rsidRPr="009668BB">
              <w:rPr>
                <w:rFonts w:asciiTheme="minorHAnsi" w:hAnsiTheme="minorHAnsi"/>
                <w:i/>
                <w:color w:val="000000"/>
              </w:rPr>
              <w:t xml:space="preserve"> 5 - “s251”)</w:t>
            </w:r>
          </w:p>
          <w:p w:rsidR="009668BB" w:rsidRPr="009668BB" w:rsidRDefault="009668BB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668BB">
              <w:rPr>
                <w:rFonts w:asciiTheme="minorHAnsi" w:hAnsiTheme="minorHAnsi"/>
                <w:i/>
                <w:color w:val="000000"/>
              </w:rPr>
              <w:t>“overriding public interest”</w:t>
            </w:r>
            <w:r w:rsidRPr="009668BB">
              <w:rPr>
                <w:rFonts w:asciiTheme="minorHAnsi" w:hAnsiTheme="minorHAnsi"/>
                <w:i/>
                <w:color w:val="000000"/>
              </w:rPr>
              <w:br/>
            </w:r>
            <w:r w:rsidRPr="009668BB">
              <w:rPr>
                <w:rFonts w:asciiTheme="minorHAnsi" w:hAnsiTheme="minorHAnsi"/>
                <w:i/>
                <w:color w:val="000000"/>
              </w:rPr>
              <w:lastRenderedPageBreak/>
              <w:t>(to safeguard you or another person)</w:t>
            </w:r>
          </w:p>
          <w:p w:rsidR="009668BB" w:rsidRPr="009668BB" w:rsidRDefault="009668BB" w:rsidP="009668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668BB">
              <w:rPr>
                <w:rFonts w:asciiTheme="minorHAnsi" w:hAnsiTheme="minorHAnsi"/>
                <w:i/>
                <w:color w:val="000000"/>
              </w:rPr>
              <w:t>legal obligation (e.g. court order)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color w:val="000000"/>
              </w:rPr>
              <w:lastRenderedPageBreak/>
              <w:br/>
            </w:r>
            <w:r w:rsidRPr="009668BB">
              <w:rPr>
                <w:rFonts w:asciiTheme="minorHAnsi" w:hAnsiTheme="minorHAnsi"/>
                <w:color w:val="000000"/>
                <w:lang w:eastAsia="en-GB"/>
              </w:rPr>
              <w:t>N/A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  <w:lang w:eastAsia="en-GB"/>
              </w:rPr>
              <w:t>The information is being shared directly with the data subject (you)</w:t>
            </w: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lastRenderedPageBreak/>
              <w:br/>
              <w:t>Purpose of the processing and the lawful basis for the processing</w:t>
            </w: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br/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</w:rPr>
              <w:br/>
            </w:r>
            <w:r w:rsidRPr="009668BB">
              <w:rPr>
                <w:rFonts w:asciiTheme="minorHAnsi" w:hAnsiTheme="minorHAnsi"/>
                <w:color w:val="000000"/>
              </w:rPr>
              <w:t xml:space="preserve">To enable staff at </w:t>
            </w:r>
            <w:r w:rsidR="00E54586">
              <w:rPr>
                <w:rFonts w:asciiTheme="minorHAnsi" w:hAnsiTheme="minorHAnsi"/>
                <w:color w:val="000000"/>
              </w:rPr>
              <w:t>Redcliffe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 xml:space="preserve"> Surgery</w:t>
            </w:r>
            <w:r w:rsidRPr="009668BB">
              <w:rPr>
                <w:rFonts w:asciiTheme="minorHAnsi" w:hAnsiTheme="minorHAnsi"/>
                <w:color w:val="000000"/>
              </w:rPr>
              <w:t xml:space="preserve"> to communicate with patients via text (SMS)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 xml:space="preserve">This is a </w:t>
            </w:r>
            <w:r w:rsidRPr="009668BB">
              <w:rPr>
                <w:rFonts w:asciiTheme="minorHAnsi" w:hAnsiTheme="minorHAnsi"/>
                <w:b/>
                <w:color w:val="000000"/>
              </w:rPr>
              <w:t>Direct Care</w:t>
            </w:r>
            <w:r w:rsidRPr="009668BB">
              <w:rPr>
                <w:rFonts w:asciiTheme="minorHAnsi" w:hAnsiTheme="minorHAnsi"/>
                <w:color w:val="000000"/>
              </w:rPr>
              <w:t xml:space="preserve"> purpose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Personal data being processed includes the mobile number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Special category of data (health)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9668BB">
              <w:rPr>
                <w:rFonts w:asciiTheme="minorHAnsi" w:hAnsiTheme="minorHAnsi"/>
                <w:color w:val="000000"/>
              </w:rPr>
              <w:t>Lawful bases:</w:t>
            </w:r>
            <w:r w:rsidRPr="009668BB">
              <w:rPr>
                <w:rFonts w:asciiTheme="minorHAnsi" w:hAnsiTheme="minorHAnsi"/>
                <w:color w:val="000000"/>
              </w:rPr>
              <w:br/>
            </w:r>
            <w:r w:rsidRPr="009668BB">
              <w:rPr>
                <w:rFonts w:asciiTheme="minorHAnsi" w:hAnsiTheme="minorHAnsi"/>
                <w:b/>
                <w:color w:val="000000"/>
              </w:rPr>
              <w:t xml:space="preserve">Article 6(1)(e) – Official Authority 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9668BB">
              <w:rPr>
                <w:rFonts w:asciiTheme="minorHAnsi" w:hAnsiTheme="minorHAnsi"/>
                <w:b/>
                <w:color w:val="000000"/>
              </w:rPr>
              <w:t>Article 9(2)(h) – Provision of health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9668BB">
              <w:rPr>
                <w:rFonts w:asciiTheme="minorHAnsi" w:hAnsiTheme="minorHAnsi"/>
                <w:i/>
                <w:color w:val="000000"/>
              </w:rPr>
              <w:t>Is this:</w:t>
            </w:r>
            <w:r w:rsidRPr="009668BB">
              <w:rPr>
                <w:rFonts w:asciiTheme="minorHAnsi" w:hAnsiTheme="minorHAnsi"/>
                <w:i/>
                <w:color w:val="000000"/>
              </w:rPr>
              <w:br/>
            </w:r>
          </w:p>
          <w:p w:rsidR="009668BB" w:rsidRPr="009668BB" w:rsidRDefault="009668BB" w:rsidP="00BE5D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color w:val="C00000"/>
              </w:rPr>
            </w:pPr>
            <w:r w:rsidRPr="009668BB">
              <w:rPr>
                <w:rFonts w:asciiTheme="minorHAnsi" w:hAnsiTheme="minorHAnsi"/>
                <w:i/>
                <w:color w:val="C00000"/>
              </w:rPr>
              <w:t xml:space="preserve">Access </w:t>
            </w:r>
            <w:r w:rsidRPr="009668BB">
              <w:rPr>
                <w:rFonts w:asciiTheme="minorHAnsi" w:hAnsiTheme="minorHAnsi"/>
                <w:b/>
                <w:i/>
                <w:color w:val="C00000"/>
              </w:rPr>
              <w:t>to</w:t>
            </w:r>
            <w:r w:rsidRPr="009668BB">
              <w:rPr>
                <w:rFonts w:asciiTheme="minorHAnsi" w:hAnsiTheme="minorHAnsi"/>
                <w:i/>
                <w:color w:val="C00000"/>
              </w:rPr>
              <w:t xml:space="preserve"> your GP record</w:t>
            </w:r>
          </w:p>
          <w:p w:rsidR="009668BB" w:rsidRPr="009668BB" w:rsidRDefault="009668BB" w:rsidP="00BE5D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color w:val="7030A0"/>
              </w:rPr>
            </w:pPr>
            <w:r w:rsidRPr="009668BB">
              <w:rPr>
                <w:rFonts w:asciiTheme="minorHAnsi" w:hAnsiTheme="minorHAnsi"/>
                <w:i/>
                <w:color w:val="7030A0"/>
              </w:rPr>
              <w:t xml:space="preserve">Extraction of information </w:t>
            </w:r>
            <w:r w:rsidRPr="009668BB">
              <w:rPr>
                <w:rFonts w:asciiTheme="minorHAnsi" w:hAnsiTheme="minorHAnsi"/>
                <w:b/>
                <w:i/>
                <w:color w:val="7030A0"/>
              </w:rPr>
              <w:br/>
              <w:t xml:space="preserve">from </w:t>
            </w:r>
            <w:r w:rsidRPr="009668BB">
              <w:rPr>
                <w:rFonts w:asciiTheme="minorHAnsi" w:hAnsiTheme="minorHAnsi"/>
                <w:i/>
                <w:color w:val="7030A0"/>
              </w:rPr>
              <w:t>your GP record</w:t>
            </w:r>
          </w:p>
          <w:p w:rsidR="009668BB" w:rsidRPr="009668BB" w:rsidRDefault="009668BB" w:rsidP="00BE5D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color w:val="7030A0"/>
              </w:rPr>
            </w:pPr>
            <w:r w:rsidRPr="009668BB">
              <w:rPr>
                <w:rFonts w:asciiTheme="minorHAnsi" w:hAnsiTheme="minorHAnsi"/>
                <w:i/>
                <w:color w:val="00B050"/>
              </w:rPr>
              <w:t>Access to data held about you</w:t>
            </w:r>
            <w:r w:rsidRPr="009668BB">
              <w:rPr>
                <w:rFonts w:asciiTheme="minorHAnsi" w:hAnsiTheme="minorHAnsi"/>
                <w:i/>
                <w:color w:val="00B050"/>
              </w:rPr>
              <w:br/>
            </w:r>
            <w:r w:rsidRPr="009668BB">
              <w:rPr>
                <w:rFonts w:asciiTheme="minorHAnsi" w:hAnsiTheme="minorHAnsi"/>
                <w:b/>
                <w:i/>
                <w:color w:val="00B050"/>
              </w:rPr>
              <w:t>by another data controller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7030A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668BB">
              <w:rPr>
                <w:rFonts w:asciiTheme="minorHAnsi" w:hAnsiTheme="minorHAnsi"/>
              </w:rPr>
              <w:br/>
            </w:r>
            <w:r w:rsidRPr="009668BB">
              <w:rPr>
                <w:rFonts w:asciiTheme="minorHAnsi" w:hAnsiTheme="minorHAnsi"/>
                <w:color w:val="000000"/>
              </w:rPr>
              <w:t>N/A</w:t>
            </w: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t>The recipient(s), or categories of recipients, of your personal data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  <w:r w:rsidRPr="009668BB">
              <w:rPr>
                <w:rFonts w:asciiTheme="minorHAnsi" w:hAnsiTheme="minorHAnsi"/>
                <w:color w:val="000000"/>
              </w:rPr>
              <w:t>The data subject (you)</w:t>
            </w: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t>Retention period of the data (or criteria used to determine the retention period)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  <w:r w:rsidRPr="009668BB">
              <w:rPr>
                <w:rFonts w:asciiTheme="minorHAnsi" w:hAnsiTheme="minorHAnsi"/>
              </w:rPr>
              <w:br/>
              <w:t>N/A</w:t>
            </w: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t>The existence of each of your rights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color w:val="000000"/>
                <w:lang w:eastAsia="en-GB"/>
              </w:rPr>
              <w:t>Article 6(1</w:t>
            </w:r>
            <w:proofErr w:type="gramStart"/>
            <w:r w:rsidRPr="009668BB">
              <w:rPr>
                <w:rFonts w:asciiTheme="minorHAnsi" w:hAnsiTheme="minorHAnsi"/>
                <w:color w:val="000000"/>
                <w:lang w:eastAsia="en-GB"/>
              </w:rPr>
              <w:t>)(</w:t>
            </w:r>
            <w:proofErr w:type="gramEnd"/>
            <w:r w:rsidRPr="009668BB">
              <w:rPr>
                <w:rFonts w:asciiTheme="minorHAnsi" w:hAnsiTheme="minorHAnsi"/>
                <w:color w:val="000000"/>
                <w:lang w:eastAsia="en-GB"/>
              </w:rPr>
              <w:t>e) gives the data subject the right to object.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t>The right to lodge a complaint with a supervisory authority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  <w:r w:rsidRPr="009668BB">
              <w:rPr>
                <w:rFonts w:asciiTheme="minorHAnsi" w:hAnsiTheme="minorHAnsi"/>
              </w:rPr>
              <w:t>Yes:</w:t>
            </w:r>
            <w:r w:rsidRPr="009668BB">
              <w:rPr>
                <w:rFonts w:asciiTheme="minorHAnsi" w:hAnsiTheme="minorHAnsi"/>
              </w:rPr>
              <w:br/>
              <w:t>The Information Commissioner</w:t>
            </w:r>
          </w:p>
        </w:tc>
      </w:tr>
      <w:tr w:rsidR="009668BB" w:rsidRPr="009668BB" w:rsidTr="009668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668BB">
              <w:rPr>
                <w:rFonts w:asciiTheme="minorHAnsi" w:hAnsiTheme="minorHAnsi"/>
                <w:i/>
                <w:color w:val="000000"/>
                <w:lang w:eastAsia="en-GB"/>
              </w:rPr>
              <w:t>The existence of automated decision making, including profiling and information about how decisions are made, the significance and the consequences</w:t>
            </w:r>
          </w:p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BB" w:rsidRPr="009668BB" w:rsidRDefault="009668BB">
            <w:pPr>
              <w:spacing w:after="0" w:line="240" w:lineRule="auto"/>
              <w:rPr>
                <w:rFonts w:asciiTheme="minorHAnsi" w:hAnsiTheme="minorHAnsi"/>
              </w:rPr>
            </w:pPr>
            <w:r w:rsidRPr="009668BB">
              <w:rPr>
                <w:rFonts w:asciiTheme="minorHAnsi" w:hAnsiTheme="minorHAnsi"/>
              </w:rPr>
              <w:br/>
              <w:t>No</w:t>
            </w:r>
          </w:p>
        </w:tc>
      </w:tr>
    </w:tbl>
    <w:p w:rsidR="00173BE8" w:rsidRPr="009668BB" w:rsidRDefault="00173BE8">
      <w:pPr>
        <w:rPr>
          <w:rFonts w:asciiTheme="minorHAnsi" w:hAnsiTheme="minorHAnsi"/>
        </w:rPr>
      </w:pPr>
    </w:p>
    <w:sectPr w:rsidR="00173BE8" w:rsidRPr="00966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3E21"/>
    <w:multiLevelType w:val="hybridMultilevel"/>
    <w:tmpl w:val="85D6E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D010C2"/>
    <w:multiLevelType w:val="hybridMultilevel"/>
    <w:tmpl w:val="25963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0544EE"/>
    <w:multiLevelType w:val="hybridMultilevel"/>
    <w:tmpl w:val="55F28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BB"/>
    <w:rsid w:val="000135FD"/>
    <w:rsid w:val="00173BE8"/>
    <w:rsid w:val="009668BB"/>
    <w:rsid w:val="00E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B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8B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6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B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8B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6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cliffesurgery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Mousa</cp:lastModifiedBy>
  <cp:revision>3</cp:revision>
  <dcterms:created xsi:type="dcterms:W3CDTF">2018-05-24T10:35:00Z</dcterms:created>
  <dcterms:modified xsi:type="dcterms:W3CDTF">2018-05-30T13:58:00Z</dcterms:modified>
</cp:coreProperties>
</file>