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r w:rsidR="00552B8A">
        <w:rPr>
          <w:rFonts w:ascii="Calibri" w:hAnsi="Calibri" w:cs="Calibri"/>
          <w:sz w:val="23"/>
        </w:rPr>
        <w:t xml:space="preserve">anonymised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r w:rsidRPr="0050100D">
        <w:rPr>
          <w:rFonts w:ascii="Calibri" w:hAnsi="Calibri" w:cs="Calibri"/>
          <w:sz w:val="23"/>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lastRenderedPageBreak/>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6(1)(e) – ‘…exercise of official authority…’. For special categories (health) data the basis is Article 9(2)(h)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915000"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view either parts of your GP electronic patient record (e.g. your Summary Care Record) or a secure system that enables them to view your full GP electronic patient record (e.g. TPP SystmOne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SystmOne</w:t>
      </w:r>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lastRenderedPageBreak/>
        <w:t xml:space="preserve">If your Practice uses the TPP SystmOne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local organisations with whom we can share your data (when you register for their services and give them verbal permission to provide your care through a TPP clinical system)</w:t>
      </w:r>
      <w:r>
        <w:rPr>
          <w:rFonts w:ascii="Calibri" w:hAnsi="Calibri" w:cs="Calibri"/>
        </w:rPr>
        <w:t xml:space="preserve">. See the link below under </w:t>
      </w:r>
      <w:r w:rsidRPr="000B2CBA">
        <w:rPr>
          <w:rFonts w:ascii="Calibri" w:hAnsi="Calibri" w:cs="Calibri"/>
          <w:i/>
        </w:rPr>
        <w:t>Who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SystmOne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2D9B5704" w:rsidR="00B00DE7" w:rsidRDefault="000B2CBA" w:rsidP="000B2CBA">
      <w:pPr>
        <w:pStyle w:val="BodyText"/>
        <w:spacing w:line="276" w:lineRule="auto"/>
        <w:ind w:left="112" w:right="162"/>
        <w:rPr>
          <w:rFonts w:ascii="Calibri" w:hAnsi="Calibri" w:cs="Calibri"/>
          <w:sz w:val="23"/>
        </w:rPr>
      </w:pPr>
      <w:r>
        <w:rPr>
          <w:rFonts w:ascii="Calibri" w:hAnsi="Calibri" w:cs="Calibri"/>
          <w:sz w:val="23"/>
        </w:rPr>
        <w:object w:dxaOrig="3624" w:dyaOrig="78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9pt" o:ole="">
            <v:imagedata r:id="rId14" o:title=""/>
          </v:shape>
          <o:OLEObject Type="Embed" ProgID="Package" ShapeID="_x0000_i1025" DrawAspect="Content" ObjectID="_1651311420" r:id="rId15"/>
        </w:object>
      </w:r>
      <w:r>
        <w:rPr>
          <w:rFonts w:ascii="Calibri" w:hAnsi="Calibri" w:cs="Calibri"/>
          <w:sz w:val="23"/>
        </w:rPr>
        <w:object w:dxaOrig="5244" w:dyaOrig="780" w14:anchorId="667721A9">
          <v:shape id="_x0000_i1026" type="#_x0000_t75" style="width:262.5pt;height:39pt" o:ole="">
            <v:imagedata r:id="rId16" o:title=""/>
          </v:shape>
          <o:OLEObject Type="Embed" ProgID="Package" ShapeID="_x0000_i1026" DrawAspect="Content" ObjectID="_1651311421" r:id="rId17"/>
        </w:object>
      </w:r>
    </w:p>
    <w:p w14:paraId="71BBCADB" w14:textId="77777777" w:rsidR="00736ABB" w:rsidRDefault="00736ABB" w:rsidP="00736ABB">
      <w:pPr>
        <w:ind w:left="112"/>
        <w:rPr>
          <w:rFonts w:ascii="Calibri" w:hAnsi="Calibri" w:cs="Calibri"/>
          <w:b/>
          <w:sz w:val="23"/>
        </w:rPr>
      </w:pPr>
    </w:p>
    <w:p w14:paraId="5C8FFB28" w14:textId="0D4CABD0" w:rsidR="00736ABB" w:rsidRDefault="00736ABB" w:rsidP="00736ABB">
      <w:pPr>
        <w:ind w:left="112"/>
        <w:rPr>
          <w:rFonts w:ascii="Calibri" w:hAnsi="Calibri" w:cs="Calibri"/>
          <w:b/>
          <w:sz w:val="23"/>
        </w:rPr>
      </w:pPr>
      <w:r>
        <w:rPr>
          <w:rFonts w:ascii="Calibri" w:hAnsi="Calibri" w:cs="Calibri"/>
          <w:b/>
          <w:sz w:val="23"/>
        </w:rPr>
        <w:t>Cloud Based Hosting for EMIS practices</w:t>
      </w:r>
    </w:p>
    <w:p w14:paraId="5D5B3033" w14:textId="7B1863DB" w:rsidR="00736ABB" w:rsidRDefault="00736ABB" w:rsidP="00736ABB">
      <w:pPr>
        <w:ind w:left="112"/>
        <w:rPr>
          <w:rFonts w:ascii="Calibri" w:hAnsi="Calibri" w:cs="Calibri"/>
          <w:sz w:val="23"/>
        </w:rPr>
      </w:pPr>
      <w:r w:rsidRPr="00736ABB">
        <w:rPr>
          <w:rFonts w:ascii="Calibri" w:hAnsi="Calibri" w:cs="Calibri"/>
          <w:sz w:val="23"/>
        </w:rPr>
        <w:t xml:space="preserve">From 10 June 2019 EMIS Web started migrating practice patient data storage to Amazon Web Services (AWS). </w:t>
      </w:r>
      <w:r>
        <w:rPr>
          <w:rFonts w:ascii="Calibri" w:hAnsi="Calibri" w:cs="Calibri"/>
          <w:sz w:val="23"/>
        </w:rPr>
        <w:t>The security and governance arrangements for this service have been scrutinised and a Data Protection Impact Assessment (DPIA) has been undertaken on behalf EMIS practices which can be obtained through those practices.</w:t>
      </w:r>
    </w:p>
    <w:p w14:paraId="4C622EF7" w14:textId="77777777" w:rsidR="00736ABB" w:rsidRDefault="00736ABB" w:rsidP="00736ABB">
      <w:pPr>
        <w:ind w:left="112"/>
        <w:rPr>
          <w:rFonts w:ascii="Calibri" w:hAnsi="Calibri" w:cs="Calibri"/>
          <w:b/>
          <w:sz w:val="23"/>
        </w:rPr>
      </w:pPr>
    </w:p>
    <w:p w14:paraId="0AF02733" w14:textId="0E54EC0C" w:rsidR="00C67834" w:rsidRPr="0050100D" w:rsidRDefault="00C67834" w:rsidP="00736ABB">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915000" w:rsidP="00C67834">
      <w:pPr>
        <w:ind w:left="112" w:right="508"/>
        <w:rPr>
          <w:rFonts w:ascii="Calibri" w:hAnsi="Calibri" w:cs="Calibri"/>
          <w:sz w:val="23"/>
        </w:rPr>
      </w:pPr>
      <w:hyperlink r:id="rId18">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9">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lastRenderedPageBreak/>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20">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lastRenderedPageBreak/>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21"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22"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23"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4"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5"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6"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 xml:space="preserve">(NHS and Specialist Trusts) and in relation to the above mentioned themes – Risk Stratification, Invoice Validation, Supporting </w:t>
      </w:r>
      <w:r w:rsidRPr="0050100D">
        <w:rPr>
          <w:rFonts w:ascii="Calibri" w:hAnsi="Calibri" w:cs="Calibri"/>
        </w:rPr>
        <w:lastRenderedPageBreak/>
        <w:t>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191DCA94" w:rsidR="0000531A" w:rsidRDefault="005F231C" w:rsidP="0000531A">
      <w:pPr>
        <w:pStyle w:val="BodyText"/>
        <w:spacing w:before="34" w:line="276" w:lineRule="auto"/>
        <w:ind w:left="112" w:right="123"/>
        <w:rPr>
          <w:rStyle w:val="Hyperlink"/>
          <w:rFonts w:ascii="Calibri" w:hAnsi="Calibri" w:cs="Calibri"/>
        </w:rPr>
      </w:pPr>
      <w:r>
        <w:rPr>
          <w:rFonts w:ascii="Calibri" w:hAnsi="Calibri" w:cs="Calibri"/>
          <w:noProof/>
          <w:lang w:eastAsia="en-GB"/>
        </w:rPr>
        <mc:AlternateContent>
          <mc:Choice Requires="wps">
            <w:drawing>
              <wp:anchor distT="0" distB="0" distL="114300" distR="114300" simplePos="0" relativeHeight="251660288" behindDoc="0" locked="0" layoutInCell="1" allowOverlap="1" wp14:anchorId="281EB659" wp14:editId="6E653E4D">
                <wp:simplePos x="0" y="0"/>
                <wp:positionH relativeFrom="column">
                  <wp:posOffset>114300</wp:posOffset>
                </wp:positionH>
                <wp:positionV relativeFrom="paragraph">
                  <wp:posOffset>507365</wp:posOffset>
                </wp:positionV>
                <wp:extent cx="5905500" cy="6667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905500" cy="666750"/>
                        </a:xfrm>
                        <a:prstGeom prst="rect">
                          <a:avLst/>
                        </a:prstGeom>
                        <a:solidFill>
                          <a:schemeClr val="lt1"/>
                        </a:solidFill>
                        <a:ln w="28575">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0727F9CA" w14:textId="43089F56" w:rsidR="00915000" w:rsidRPr="005F231C" w:rsidRDefault="00915000" w:rsidP="005F231C">
                            <w:pPr>
                              <w:spacing w:line="240" w:lineRule="auto"/>
                              <w:jc w:val="center"/>
                              <w:rPr>
                                <w:sz w:val="32"/>
                                <w:szCs w:val="32"/>
                              </w:rPr>
                            </w:pPr>
                            <w:r w:rsidRPr="005F231C">
                              <w:rPr>
                                <w:sz w:val="32"/>
                                <w:szCs w:val="32"/>
                              </w:rPr>
                              <w:t>National Data Opt-Out</w:t>
                            </w:r>
                          </w:p>
                          <w:p w14:paraId="3D13FE1E" w14:textId="3CD5894C" w:rsidR="00915000" w:rsidRPr="005F231C" w:rsidRDefault="00915000" w:rsidP="005F231C">
                            <w:pPr>
                              <w:spacing w:line="240" w:lineRule="auto"/>
                              <w:jc w:val="center"/>
                              <w:rPr>
                                <w:sz w:val="32"/>
                                <w:szCs w:val="32"/>
                              </w:rPr>
                            </w:pPr>
                            <w:r w:rsidRPr="005F231C">
                              <w:rPr>
                                <w:sz w:val="32"/>
                                <w:szCs w:val="32"/>
                              </w:rPr>
                              <w:t>Our practice is compliant with the National Data Opt-out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39.95pt;width:465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" fillcolor="white [3201]" strokecolor="#70ad47 [3209]" strokeweight="2.25pt">
                <v:textbox>
                  <w:txbxContent>
                    <w:p w14:paraId="0727F9CA" w14:textId="43089F56" w:rsidR="005F231C" w:rsidRPr="005F231C" w:rsidRDefault="005F231C" w:rsidP="005F231C">
                      <w:pPr>
                        <w:spacing w:line="240" w:lineRule="auto"/>
                        <w:jc w:val="center"/>
                        <w:rPr>
                          <w:sz w:val="32"/>
                          <w:szCs w:val="32"/>
                        </w:rPr>
                      </w:pPr>
                      <w:r w:rsidRPr="005F231C">
                        <w:rPr>
                          <w:sz w:val="32"/>
                          <w:szCs w:val="32"/>
                        </w:rPr>
                        <w:t>National Data Opt-Out</w:t>
                      </w:r>
                    </w:p>
                    <w:p w14:paraId="3D13FE1E" w14:textId="3CD5894C" w:rsidR="005F231C" w:rsidRPr="005F231C" w:rsidRDefault="005F231C" w:rsidP="005F231C">
                      <w:pPr>
                        <w:spacing w:line="240" w:lineRule="auto"/>
                        <w:jc w:val="center"/>
                        <w:rPr>
                          <w:sz w:val="32"/>
                          <w:szCs w:val="32"/>
                        </w:rPr>
                      </w:pPr>
                      <w:r w:rsidRPr="005F231C">
                        <w:rPr>
                          <w:sz w:val="32"/>
                          <w:szCs w:val="32"/>
                        </w:rPr>
                        <w:t>Our practice is compliant with the National Data Opt-out</w:t>
                      </w:r>
                    </w:p>
                  </w:txbxContent>
                </v:textbox>
              </v:shape>
            </w:pict>
          </mc:Fallback>
        </mc:AlternateContent>
      </w:r>
      <w:r w:rsidR="0000531A">
        <w:rPr>
          <w:rFonts w:ascii="Calibri" w:hAnsi="Calibri" w:cs="Calibri"/>
        </w:rPr>
        <w:t xml:space="preserve">If you wish to apply the National Opt-Out, please go to NHS Digitals website here </w:t>
      </w:r>
      <w:hyperlink r:id="rId27" w:history="1">
        <w:r w:rsidR="00914BC4" w:rsidRPr="00757728">
          <w:rPr>
            <w:rStyle w:val="Hyperlink"/>
            <w:rFonts w:ascii="Calibri" w:hAnsi="Calibri" w:cs="Calibri"/>
          </w:rPr>
          <w:t>https://www.nhs.uk/your-nhs-data-matters/</w:t>
        </w:r>
      </w:hyperlink>
    </w:p>
    <w:p w14:paraId="4AC22BC8" w14:textId="3B1B15BD" w:rsidR="005F231C" w:rsidRDefault="005F231C" w:rsidP="0000531A">
      <w:pPr>
        <w:pStyle w:val="BodyText"/>
        <w:spacing w:before="34" w:line="276" w:lineRule="auto"/>
        <w:ind w:left="112" w:right="123"/>
        <w:rPr>
          <w:rFonts w:ascii="Calibri" w:hAnsi="Calibri" w:cs="Calibri"/>
        </w:rPr>
      </w:pPr>
    </w:p>
    <w:p w14:paraId="4548F599" w14:textId="77777777" w:rsidR="00C67834" w:rsidRPr="0050100D" w:rsidRDefault="00C67834" w:rsidP="00C67834">
      <w:pPr>
        <w:pStyle w:val="BodyText"/>
        <w:spacing w:before="12"/>
        <w:rPr>
          <w:rFonts w:ascii="Calibri" w:hAnsi="Calibri" w:cs="Calibri"/>
          <w:sz w:val="23"/>
        </w:rPr>
      </w:pPr>
    </w:p>
    <w:p w14:paraId="134F0D0B" w14:textId="77777777" w:rsidR="005F231C" w:rsidRDefault="005F231C" w:rsidP="00832416">
      <w:pPr>
        <w:rPr>
          <w:rFonts w:ascii="Calibri" w:hAnsi="Calibri" w:cs="Calibri"/>
          <w:color w:val="2F5496" w:themeColor="accent1" w:themeShade="BF"/>
        </w:rPr>
      </w:pPr>
    </w:p>
    <w:p w14:paraId="5AB41CD0" w14:textId="77777777" w:rsidR="005F231C" w:rsidRDefault="005F231C" w:rsidP="00832416">
      <w:pPr>
        <w:rPr>
          <w:rFonts w:ascii="Calibri" w:hAnsi="Calibri" w:cs="Calibri"/>
          <w:color w:val="2F5496" w:themeColor="accent1" w:themeShade="BF"/>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4D2AFF91" w:rsidR="0000148B" w:rsidRPr="005F3D37" w:rsidRDefault="00C67834" w:rsidP="0000148B">
      <w:pPr>
        <w:pStyle w:val="BodyText"/>
        <w:spacing w:before="52"/>
        <w:ind w:left="112"/>
        <w:rPr>
          <w:rFonts w:ascii="Calibri" w:hAnsi="Calibri" w:cs="Calibri"/>
          <w:color w:val="000000" w:themeColor="text1"/>
        </w:rPr>
      </w:pPr>
      <w:r w:rsidRPr="0050100D">
        <w:rPr>
          <w:rFonts w:ascii="Calibri" w:hAnsi="Calibri" w:cs="Calibri"/>
        </w:rPr>
        <w:t xml:space="preserve">If you wish to have a copy of the information we hold about you, please contact: </w:t>
      </w:r>
      <w:r w:rsidR="005F3D37">
        <w:rPr>
          <w:rFonts w:ascii="Calibri" w:hAnsi="Calibri" w:cs="Calibri"/>
          <w:color w:val="000000" w:themeColor="text1"/>
        </w:rPr>
        <w:t xml:space="preserve">Reception Staff. </w:t>
      </w:r>
    </w:p>
    <w:p w14:paraId="70451BD9" w14:textId="274FCD29" w:rsidR="00915000" w:rsidRDefault="00546103" w:rsidP="0000148B">
      <w:pPr>
        <w:pStyle w:val="BodyText"/>
        <w:spacing w:before="52"/>
        <w:ind w:left="112"/>
        <w:rPr>
          <w:lang w:val="en"/>
        </w:rPr>
      </w:pPr>
      <w:r>
        <w:rPr>
          <w:noProof/>
          <w:lang w:eastAsia="en-GB"/>
        </w:rPr>
        <mc:AlternateContent>
          <mc:Choice Requires="wps">
            <w:drawing>
              <wp:anchor distT="0" distB="0" distL="114300" distR="114300" simplePos="0" relativeHeight="251661312" behindDoc="0" locked="0" layoutInCell="1" allowOverlap="1" wp14:anchorId="3B7E60CE" wp14:editId="6A13B2CA">
                <wp:simplePos x="0" y="0"/>
                <wp:positionH relativeFrom="column">
                  <wp:posOffset>-9526</wp:posOffset>
                </wp:positionH>
                <wp:positionV relativeFrom="paragraph">
                  <wp:posOffset>122555</wp:posOffset>
                </wp:positionV>
                <wp:extent cx="6162675" cy="781050"/>
                <wp:effectExtent l="19050" t="19050" r="28575" b="19050"/>
                <wp:wrapNone/>
                <wp:docPr id="4" name="Rectangle 4"/>
                <wp:cNvGraphicFramePr/>
                <a:graphic xmlns:a="http://schemas.openxmlformats.org/drawingml/2006/main">
                  <a:graphicData uri="http://schemas.microsoft.com/office/word/2010/wordprocessingShape">
                    <wps:wsp>
                      <wps:cNvSpPr/>
                      <wps:spPr>
                        <a:xfrm>
                          <a:off x="0" y="0"/>
                          <a:ext cx="6162675" cy="781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75pt;margin-top:9.65pt;width:485.25pt;height:6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" filled="f" strokecolor="red" strokeweight="3pt"/>
            </w:pict>
          </mc:Fallback>
        </mc:AlternateContent>
      </w:r>
    </w:p>
    <w:p w14:paraId="603A77AD" w14:textId="77580149" w:rsidR="00915000" w:rsidRDefault="00915000" w:rsidP="0000148B">
      <w:pPr>
        <w:pStyle w:val="BodyText"/>
        <w:spacing w:before="52"/>
        <w:ind w:left="112"/>
        <w:rPr>
          <w:lang w:val="en"/>
        </w:rPr>
      </w:pPr>
      <w:hyperlink r:id="rId28" w:history="1">
        <w:r w:rsidRPr="00915000">
          <w:rPr>
            <w:rStyle w:val="Hyperlink"/>
            <w:lang w:val="en"/>
          </w:rPr>
          <w:t>GENERAL PRACTICE TRA</w:t>
        </w:r>
        <w:r w:rsidRPr="00915000">
          <w:rPr>
            <w:rStyle w:val="Hyperlink"/>
            <w:lang w:val="en"/>
          </w:rPr>
          <w:t>N</w:t>
        </w:r>
        <w:r w:rsidRPr="00915000">
          <w:rPr>
            <w:rStyle w:val="Hyperlink"/>
            <w:lang w:val="en"/>
          </w:rPr>
          <w:t>SPARENCY NOTICE FOR GPES DATA FOR PANDEMIC PLANNING AND RESEARCH (COVID-19)</w:t>
        </w:r>
      </w:hyperlink>
      <w:r>
        <w:rPr>
          <w:lang w:val="en"/>
        </w:rPr>
        <w:t xml:space="preserve"> – </w:t>
      </w:r>
      <w:r w:rsidR="00546103">
        <w:rPr>
          <w:lang w:val="en"/>
        </w:rPr>
        <w:t>see the link</w:t>
      </w:r>
    </w:p>
    <w:p w14:paraId="06363DC4" w14:textId="77777777" w:rsidR="00546103" w:rsidRDefault="00546103" w:rsidP="00267CDB">
      <w:pPr>
        <w:pStyle w:val="BodyText"/>
        <w:spacing w:before="240" w:after="120" w:line="276" w:lineRule="auto"/>
        <w:ind w:left="112"/>
        <w:rPr>
          <w:lang w:val="en"/>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9">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14F2FF05"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w:t>
      </w:r>
      <w:r w:rsidR="005F3D37">
        <w:rPr>
          <w:rFonts w:ascii="Calibri" w:hAnsi="Calibri" w:cs="Calibri"/>
        </w:rPr>
        <w:t>, Mrs Maryla Karge on 0207 244 5670.</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915000" w:rsidRDefault="00915000"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915000" w:rsidRPr="0050100D" w:rsidRDefault="00915000"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0" w:history="1">
                              <w:r w:rsidRPr="004B4936">
                                <w:rPr>
                                  <w:rStyle w:val="Hyperlink"/>
                                  <w:rFonts w:ascii="Calibri" w:hAnsi="Calibri" w:cs="Calibri"/>
                                </w:rPr>
                                <w:t>www.ico.orguk</w:t>
                              </w:r>
                            </w:hyperlink>
                          </w:p>
                          <w:p w14:paraId="037C1CEF" w14:textId="4625325F" w:rsidR="00915000" w:rsidRDefault="00915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1"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lastRenderedPageBreak/>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5F3D37">
            <w:pPr>
              <w:rPr>
                <w:rFonts w:ascii="Calibri" w:hAnsi="Calibri" w:cs="Calibri"/>
                <w:b/>
                <w:color w:val="000000"/>
                <w:sz w:val="20"/>
                <w:szCs w:val="20"/>
              </w:rPr>
            </w:pPr>
            <w:bookmarkStart w:id="0"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5F3D37">
            <w:pPr>
              <w:rPr>
                <w:rFonts w:ascii="Calibri" w:hAnsi="Calibri" w:cs="Calibri"/>
                <w:b/>
                <w:color w:val="000000"/>
                <w:sz w:val="20"/>
                <w:szCs w:val="20"/>
              </w:rPr>
            </w:pPr>
          </w:p>
        </w:tc>
        <w:tc>
          <w:tcPr>
            <w:tcW w:w="7655" w:type="dxa"/>
          </w:tcPr>
          <w:p w14:paraId="4D9B7372" w14:textId="50EFAA48" w:rsidR="00704419" w:rsidRPr="005F3D37" w:rsidRDefault="005F3D37" w:rsidP="005F3D37">
            <w:pPr>
              <w:rPr>
                <w:rFonts w:ascii="Calibri" w:hAnsi="Calibri" w:cs="Calibri"/>
                <w:color w:val="000000" w:themeColor="text1"/>
                <w:sz w:val="20"/>
                <w:szCs w:val="20"/>
              </w:rPr>
            </w:pPr>
            <w:r>
              <w:rPr>
                <w:rFonts w:ascii="Calibri" w:hAnsi="Calibri" w:cs="Calibri"/>
                <w:color w:val="000000" w:themeColor="text1"/>
                <w:sz w:val="20"/>
                <w:szCs w:val="20"/>
              </w:rPr>
              <w:t>Maryla Karge, Emperor’s Gate Surgery, 49 Emperor’s Gate, London SW7 4HJ</w:t>
            </w:r>
          </w:p>
        </w:tc>
      </w:tr>
      <w:tr w:rsidR="00704419" w:rsidRPr="0050100D" w14:paraId="5BFB483F" w14:textId="77777777" w:rsidTr="008D4DAF">
        <w:trPr>
          <w:trHeight w:val="533"/>
        </w:trPr>
        <w:tc>
          <w:tcPr>
            <w:tcW w:w="2405" w:type="dxa"/>
          </w:tcPr>
          <w:p w14:paraId="648D427E" w14:textId="77777777" w:rsidR="00704419" w:rsidRPr="0050100D" w:rsidRDefault="00704419" w:rsidP="005F3D37">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5F3D37">
            <w:pPr>
              <w:rPr>
                <w:rFonts w:ascii="Calibri" w:hAnsi="Calibri" w:cs="Calibri"/>
                <w:sz w:val="20"/>
                <w:szCs w:val="20"/>
              </w:rPr>
            </w:pPr>
          </w:p>
        </w:tc>
        <w:tc>
          <w:tcPr>
            <w:tcW w:w="7655" w:type="dxa"/>
          </w:tcPr>
          <w:p w14:paraId="298B319E" w14:textId="4D44B775" w:rsidR="00704419" w:rsidRPr="0050100D" w:rsidRDefault="00E8594D" w:rsidP="005F3D37">
            <w:pPr>
              <w:rPr>
                <w:rFonts w:ascii="Calibri" w:hAnsi="Calibri" w:cs="Calibri"/>
                <w:sz w:val="20"/>
                <w:szCs w:val="20"/>
              </w:rPr>
            </w:pPr>
            <w:r>
              <w:rPr>
                <w:rFonts w:ascii="Calibri" w:hAnsi="Calibri" w:cs="Calibri"/>
                <w:sz w:val="20"/>
                <w:szCs w:val="20"/>
              </w:rPr>
              <w:t>NWL</w:t>
            </w:r>
            <w:r w:rsidR="000120C7">
              <w:rPr>
                <w:rFonts w:ascii="Calibri" w:hAnsi="Calibri" w:cs="Calibri"/>
                <w:sz w:val="20"/>
                <w:szCs w:val="20"/>
              </w:rPr>
              <w:t>DPO</w:t>
            </w:r>
            <w:r>
              <w:rPr>
                <w:rFonts w:ascii="Calibri" w:hAnsi="Calibri" w:cs="Calibri"/>
                <w:sz w:val="20"/>
                <w:szCs w:val="20"/>
              </w:rPr>
              <w:t>Service</w:t>
            </w:r>
            <w:r w:rsidR="00704419" w:rsidRPr="0050100D">
              <w:rPr>
                <w:rFonts w:ascii="Calibri" w:hAnsi="Calibri" w:cs="Calibri"/>
                <w:sz w:val="20"/>
                <w:szCs w:val="20"/>
              </w:rPr>
              <w:t xml:space="preserve">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5F3D37">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5F3D37">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5F3D37">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5F3D37">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5F3D37">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5F3D37">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5F3D37">
            <w:pPr>
              <w:rPr>
                <w:rFonts w:ascii="Calibri" w:hAnsi="Calibri" w:cs="Calibri"/>
                <w:sz w:val="20"/>
                <w:szCs w:val="20"/>
              </w:rPr>
            </w:pPr>
          </w:p>
          <w:p w14:paraId="03C87F26" w14:textId="77777777" w:rsidR="00704419" w:rsidRPr="0050100D" w:rsidRDefault="00704419" w:rsidP="005F3D37">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5F3D37">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5F3D37">
            <w:pPr>
              <w:ind w:left="720"/>
              <w:rPr>
                <w:rFonts w:ascii="Calibri" w:hAnsi="Calibri" w:cs="Calibri"/>
                <w:i/>
                <w:color w:val="000000"/>
                <w:sz w:val="20"/>
                <w:szCs w:val="20"/>
              </w:rPr>
            </w:pPr>
          </w:p>
          <w:p w14:paraId="0C031C14" w14:textId="77777777" w:rsidR="00704419" w:rsidRPr="0050100D" w:rsidRDefault="00704419" w:rsidP="005F3D37">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5F3D37">
            <w:pPr>
              <w:ind w:left="720"/>
              <w:rPr>
                <w:rFonts w:ascii="Calibri" w:hAnsi="Calibri" w:cs="Calibri"/>
                <w:i/>
                <w:sz w:val="20"/>
                <w:szCs w:val="20"/>
              </w:rPr>
            </w:pPr>
          </w:p>
          <w:p w14:paraId="65C16A06" w14:textId="77777777" w:rsidR="00704419" w:rsidRPr="0050100D" w:rsidRDefault="00704419" w:rsidP="005F3D37">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5F3D37">
            <w:pPr>
              <w:rPr>
                <w:rFonts w:ascii="Calibri" w:hAnsi="Calibri" w:cs="Calibri"/>
                <w:color w:val="000000"/>
                <w:sz w:val="20"/>
                <w:szCs w:val="20"/>
              </w:rPr>
            </w:pPr>
          </w:p>
          <w:p w14:paraId="44AC91CF" w14:textId="77777777" w:rsidR="00704419" w:rsidRPr="0050100D" w:rsidRDefault="00704419" w:rsidP="005F3D37">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5F3D37">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5F3D37">
            <w:pPr>
              <w:rPr>
                <w:rFonts w:ascii="Calibri" w:hAnsi="Calibri" w:cs="Calibri"/>
                <w:sz w:val="20"/>
                <w:szCs w:val="20"/>
              </w:rPr>
            </w:pPr>
          </w:p>
        </w:tc>
        <w:tc>
          <w:tcPr>
            <w:tcW w:w="7655" w:type="dxa"/>
          </w:tcPr>
          <w:p w14:paraId="5991719B"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5F3D37">
            <w:pPr>
              <w:rPr>
                <w:rFonts w:ascii="Calibri" w:hAnsi="Calibri" w:cs="Calibri"/>
                <w:sz w:val="20"/>
                <w:szCs w:val="20"/>
              </w:rPr>
            </w:pPr>
          </w:p>
          <w:p w14:paraId="584837FF"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5F3D37">
            <w:pPr>
              <w:rPr>
                <w:rFonts w:ascii="Calibri" w:hAnsi="Calibri" w:cs="Calibri"/>
                <w:sz w:val="20"/>
                <w:szCs w:val="20"/>
              </w:rPr>
            </w:pPr>
          </w:p>
          <w:p w14:paraId="3D73A0CF"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5F3D37">
            <w:pPr>
              <w:rPr>
                <w:rFonts w:ascii="Calibri" w:hAnsi="Calibri" w:cs="Calibri"/>
                <w:sz w:val="20"/>
                <w:szCs w:val="20"/>
              </w:rPr>
            </w:pPr>
          </w:p>
          <w:p w14:paraId="796E5AE6"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5F3D37">
            <w:pPr>
              <w:rPr>
                <w:rFonts w:ascii="Calibri" w:hAnsi="Calibri" w:cs="Calibri"/>
                <w:sz w:val="20"/>
                <w:szCs w:val="20"/>
              </w:rPr>
            </w:pPr>
          </w:p>
          <w:p w14:paraId="0ADE287F"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5F3D37">
            <w:pPr>
              <w:rPr>
                <w:rFonts w:ascii="Calibri" w:hAnsi="Calibri" w:cs="Calibri"/>
                <w:sz w:val="20"/>
                <w:szCs w:val="20"/>
              </w:rPr>
            </w:pPr>
            <w:r w:rsidRPr="0050100D">
              <w:rPr>
                <w:rFonts w:ascii="Calibri" w:hAnsi="Calibri" w:cs="Calibri"/>
                <w:sz w:val="20"/>
                <w:szCs w:val="20"/>
              </w:rPr>
              <w:t xml:space="preserve">Article 9(2)(h) – ‘processing is necessary for the purpose of preventative…medicine…the </w:t>
            </w:r>
            <w:r w:rsidRPr="0050100D">
              <w:rPr>
                <w:rFonts w:ascii="Calibri" w:hAnsi="Calibri" w:cs="Calibri"/>
                <w:sz w:val="20"/>
                <w:szCs w:val="20"/>
              </w:rPr>
              <w:lastRenderedPageBreak/>
              <w:t>provision of health or social care or treatment or the management of health or social care systems and services...’</w:t>
            </w:r>
          </w:p>
          <w:p w14:paraId="0EA4F83F" w14:textId="77777777" w:rsidR="00704419" w:rsidRPr="0050100D" w:rsidRDefault="00704419" w:rsidP="005F3D37">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lastRenderedPageBreak/>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5F3D37">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5F3D37">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5F3D37">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5F3D37">
            <w:pPr>
              <w:ind w:left="720"/>
              <w:rPr>
                <w:rFonts w:ascii="Calibri" w:hAnsi="Calibri" w:cs="Calibri"/>
                <w:i/>
                <w:color w:val="000000"/>
                <w:sz w:val="20"/>
                <w:szCs w:val="20"/>
              </w:rPr>
            </w:pPr>
          </w:p>
          <w:p w14:paraId="1D4C1AD4"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5F3D37">
            <w:pPr>
              <w:rPr>
                <w:rFonts w:ascii="Calibri" w:hAnsi="Calibri" w:cs="Calibri"/>
                <w:sz w:val="20"/>
                <w:szCs w:val="20"/>
              </w:rPr>
            </w:pPr>
          </w:p>
          <w:p w14:paraId="1A8DBFE3" w14:textId="300569B1" w:rsidR="00704419" w:rsidRDefault="00704419" w:rsidP="005F3D37">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5F3D37">
            <w:pPr>
              <w:rPr>
                <w:rFonts w:ascii="Calibri" w:hAnsi="Calibri" w:cs="Calibri"/>
                <w:sz w:val="20"/>
                <w:szCs w:val="20"/>
              </w:rPr>
            </w:pPr>
          </w:p>
          <w:p w14:paraId="2C3A3C3A" w14:textId="5216A6B6" w:rsidR="007920C8" w:rsidRPr="0050100D" w:rsidRDefault="007920C8" w:rsidP="005F3D37">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5F3D37">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5F3D37">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5F3D37">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5F3D37">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5F3D37">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5F3D37">
            <w:pPr>
              <w:rPr>
                <w:rFonts w:ascii="Calibri" w:hAnsi="Calibri" w:cs="Calibri"/>
                <w:sz w:val="20"/>
                <w:szCs w:val="20"/>
              </w:rPr>
            </w:pPr>
          </w:p>
        </w:tc>
        <w:tc>
          <w:tcPr>
            <w:tcW w:w="7655" w:type="dxa"/>
          </w:tcPr>
          <w:p w14:paraId="0C1409B1"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5F3D37">
            <w:pPr>
              <w:rPr>
                <w:rFonts w:ascii="Calibri" w:hAnsi="Calibri" w:cs="Calibri"/>
                <w:sz w:val="20"/>
                <w:szCs w:val="20"/>
              </w:rPr>
            </w:pPr>
          </w:p>
          <w:p w14:paraId="4A9C0ECE"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5F3D37">
            <w:pPr>
              <w:rPr>
                <w:rFonts w:ascii="Calibri" w:hAnsi="Calibri" w:cs="Calibri"/>
                <w:sz w:val="20"/>
                <w:szCs w:val="20"/>
              </w:rPr>
            </w:pPr>
          </w:p>
          <w:p w14:paraId="36ADF812" w14:textId="77777777" w:rsidR="00704419" w:rsidRPr="0050100D" w:rsidRDefault="00704419" w:rsidP="005F3D37">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5F3D37">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5F3D37">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5F3D37">
            <w:pPr>
              <w:rPr>
                <w:rFonts w:ascii="Calibri" w:hAnsi="Calibri" w:cs="Calibri"/>
                <w:sz w:val="20"/>
                <w:szCs w:val="20"/>
              </w:rPr>
            </w:pPr>
          </w:p>
          <w:p w14:paraId="52249619" w14:textId="77777777" w:rsidR="00E62BE1" w:rsidRDefault="00E62BE1" w:rsidP="005F3D37">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5F3D37">
            <w:pPr>
              <w:rPr>
                <w:rFonts w:ascii="Calibri" w:hAnsi="Calibri" w:cs="Calibri"/>
                <w:sz w:val="20"/>
                <w:szCs w:val="20"/>
              </w:rPr>
            </w:pPr>
          </w:p>
          <w:p w14:paraId="747942A1" w14:textId="3E240290" w:rsidR="00D82D35" w:rsidRPr="0050100D" w:rsidRDefault="00D82D35" w:rsidP="005F3D37">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5F3D37">
            <w:pPr>
              <w:rPr>
                <w:rFonts w:ascii="Calibri" w:hAnsi="Calibri" w:cs="Calibri"/>
                <w:sz w:val="20"/>
                <w:szCs w:val="20"/>
              </w:rPr>
            </w:pPr>
            <w:r w:rsidRPr="0050100D">
              <w:rPr>
                <w:rFonts w:ascii="Calibri" w:hAnsi="Calibri" w:cs="Calibri"/>
                <w:b/>
                <w:color w:val="000000"/>
                <w:sz w:val="20"/>
                <w:szCs w:val="20"/>
              </w:rPr>
              <w:lastRenderedPageBreak/>
              <w:t>Rights to object</w:t>
            </w:r>
          </w:p>
          <w:p w14:paraId="6D6DBA1D" w14:textId="77777777" w:rsidR="00704419" w:rsidRPr="0050100D" w:rsidRDefault="00704419" w:rsidP="005F3D37">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18A4812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6446DF">
              <w:rPr>
                <w:rFonts w:ascii="Calibri" w:hAnsi="Calibri" w:cs="Calibri"/>
                <w:sz w:val="20"/>
                <w:szCs w:val="20"/>
              </w:rPr>
              <w:t xml:space="preserve">: RBKC Social Services, The Town Hall, Hornton Street, London, W8 7NX, tel 0207 361 3013. </w:t>
            </w:r>
          </w:p>
          <w:p w14:paraId="37E18DE8" w14:textId="77777777" w:rsidR="00704419" w:rsidRPr="0050100D" w:rsidRDefault="00704419" w:rsidP="005F3D37">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5F3D37">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4428B151"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‘subject access request’ p</w:t>
            </w:r>
            <w:r w:rsidR="003C358C">
              <w:rPr>
                <w:rFonts w:ascii="Calibri" w:hAnsi="Calibri" w:cs="Calibri"/>
                <w:color w:val="000000"/>
                <w:sz w:val="20"/>
                <w:szCs w:val="20"/>
              </w:rPr>
              <w:t xml:space="preserve">olicy on the practice website – </w:t>
            </w:r>
            <w:hyperlink r:id="rId32" w:history="1">
              <w:r w:rsidR="003C358C" w:rsidRPr="004E17F3">
                <w:rPr>
                  <w:rStyle w:val="Hyperlink"/>
                  <w:rFonts w:ascii="Calibri" w:hAnsi="Calibri" w:cs="Calibri"/>
                  <w:sz w:val="20"/>
                  <w:szCs w:val="20"/>
                </w:rPr>
                <w:t>www.emperorsgate.org</w:t>
              </w:r>
            </w:hyperlink>
            <w:r w:rsidR="003C358C">
              <w:rPr>
                <w:rFonts w:ascii="Calibri" w:hAnsi="Calibri" w:cs="Calibri"/>
                <w:color w:val="000000"/>
                <w:sz w:val="20"/>
                <w:szCs w:val="20"/>
              </w:rPr>
              <w:t xml:space="preserve"> </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5F3D37">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5F3D37">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5F3D37">
            <w:pPr>
              <w:rPr>
                <w:rFonts w:ascii="Calibri" w:hAnsi="Calibri" w:cs="Calibri"/>
                <w:sz w:val="20"/>
                <w:szCs w:val="20"/>
              </w:rPr>
            </w:pPr>
          </w:p>
        </w:tc>
        <w:tc>
          <w:tcPr>
            <w:tcW w:w="7655" w:type="dxa"/>
          </w:tcPr>
          <w:p w14:paraId="77B9749A" w14:textId="77777777" w:rsidR="00704419" w:rsidRPr="0050100D" w:rsidRDefault="00704419" w:rsidP="005F3D37">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3"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5F3D37">
            <w:pPr>
              <w:rPr>
                <w:rFonts w:ascii="Calibri" w:hAnsi="Calibri" w:cs="Calibri"/>
                <w:sz w:val="20"/>
                <w:szCs w:val="20"/>
              </w:rPr>
            </w:pPr>
            <w:r w:rsidRPr="0050100D">
              <w:rPr>
                <w:rStyle w:val="Hyperlink"/>
                <w:rFonts w:ascii="Calibri" w:hAnsi="Calibri" w:cs="Calibri"/>
                <w:sz w:val="20"/>
                <w:szCs w:val="20"/>
              </w:rPr>
              <w:t>or speak to the practice.</w:t>
            </w:r>
          </w:p>
          <w:p w14:paraId="47BC6EB1" w14:textId="77777777" w:rsidR="00704419" w:rsidRPr="0050100D" w:rsidRDefault="00704419" w:rsidP="005F3D37">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5F3D37">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5F3D37">
            <w:pPr>
              <w:rPr>
                <w:rFonts w:ascii="Calibri" w:hAnsi="Calibri" w:cs="Calibri"/>
                <w:sz w:val="20"/>
                <w:szCs w:val="20"/>
              </w:rPr>
            </w:pPr>
          </w:p>
        </w:tc>
        <w:tc>
          <w:tcPr>
            <w:tcW w:w="7655" w:type="dxa"/>
          </w:tcPr>
          <w:p w14:paraId="23410167" w14:textId="155BC9C2" w:rsidR="00704419" w:rsidRPr="0050100D" w:rsidRDefault="00704419" w:rsidP="005F3D37">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4"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5F3D37">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5F3D37">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5F3D37">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0"/>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915000" w:rsidP="00C67834">
      <w:pPr>
        <w:pStyle w:val="BodyText"/>
        <w:spacing w:before="1"/>
        <w:ind w:left="112"/>
        <w:rPr>
          <w:rFonts w:ascii="Calibri" w:hAnsi="Calibri" w:cs="Calibri"/>
        </w:rPr>
      </w:pPr>
      <w:hyperlink r:id="rId35">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6">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lastRenderedPageBreak/>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915000" w:rsidP="00C67834">
      <w:pPr>
        <w:pStyle w:val="BodyText"/>
        <w:ind w:left="112"/>
        <w:rPr>
          <w:rFonts w:ascii="Calibri" w:hAnsi="Calibri" w:cs="Calibri"/>
        </w:rPr>
      </w:pPr>
      <w:hyperlink r:id="rId37">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277A0A61"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546103">
        <w:rPr>
          <w:rFonts w:ascii="Calibri" w:hAnsi="Calibri" w:cs="Calibri"/>
        </w:rPr>
        <w:t>May</w:t>
      </w:r>
      <w:bookmarkStart w:id="1" w:name="_GoBack"/>
      <w:bookmarkEnd w:id="1"/>
      <w:r w:rsidR="00B07B27">
        <w:rPr>
          <w:rFonts w:ascii="Calibri" w:hAnsi="Calibri" w:cs="Calibri"/>
        </w:rPr>
        <w:t xml:space="preserve"> 2020</w:t>
      </w:r>
      <w:r w:rsidRPr="0050100D">
        <w:rPr>
          <w:rFonts w:ascii="Calibri" w:hAnsi="Calibri" w:cs="Calibri"/>
        </w:rPr>
        <w:t>.</w:t>
      </w:r>
    </w:p>
    <w:sectPr w:rsidR="00896B5E" w:rsidRPr="0050100D">
      <w:headerReference w:type="default" r:id="rId38"/>
      <w:footerReference w:type="default" r:id="rId39"/>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18DCC" w14:textId="77777777" w:rsidR="00915000" w:rsidRDefault="00915000">
      <w:r>
        <w:separator/>
      </w:r>
    </w:p>
  </w:endnote>
  <w:endnote w:type="continuationSeparator" w:id="0">
    <w:p w14:paraId="4FBC9930" w14:textId="77777777" w:rsidR="00915000" w:rsidRDefault="0091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915000" w:rsidRDefault="00915000">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29F5D477" w:rsidR="00915000" w:rsidRPr="00267CDB" w:rsidRDefault="00915000">
                          <w:pPr>
                            <w:spacing w:line="184" w:lineRule="exact"/>
                            <w:ind w:left="20"/>
                            <w:rPr>
                              <w:sz w:val="20"/>
                              <w:szCs w:val="20"/>
                            </w:rPr>
                          </w:pPr>
                          <w:r>
                            <w:rPr>
                              <w:sz w:val="20"/>
                              <w:szCs w:val="20"/>
                            </w:rPr>
                            <w:t>Pri</w:t>
                          </w:r>
                          <w:r w:rsidR="00546103">
                            <w:rPr>
                              <w:sz w:val="20"/>
                              <w:szCs w:val="20"/>
                            </w:rPr>
                            <w:t>vacy-notice V1.10</w:t>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t>May</w:t>
                          </w:r>
                          <w:r>
                            <w:rPr>
                              <w:sz w:val="20"/>
                              <w:szCs w:val="20"/>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29F5D477" w:rsidR="00915000" w:rsidRPr="00267CDB" w:rsidRDefault="00915000">
                    <w:pPr>
                      <w:spacing w:line="184" w:lineRule="exact"/>
                      <w:ind w:left="20"/>
                      <w:rPr>
                        <w:sz w:val="20"/>
                        <w:szCs w:val="20"/>
                      </w:rPr>
                    </w:pPr>
                    <w:r>
                      <w:rPr>
                        <w:sz w:val="20"/>
                        <w:szCs w:val="20"/>
                      </w:rPr>
                      <w:t>Pri</w:t>
                    </w:r>
                    <w:r w:rsidR="00546103">
                      <w:rPr>
                        <w:sz w:val="20"/>
                        <w:szCs w:val="20"/>
                      </w:rPr>
                      <w:t>vacy-notice V1.10</w:t>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r>
                    <w:r w:rsidR="00546103">
                      <w:rPr>
                        <w:sz w:val="20"/>
                        <w:szCs w:val="20"/>
                      </w:rPr>
                      <w:tab/>
                      <w:t>May</w:t>
                    </w:r>
                    <w:r>
                      <w:rPr>
                        <w:sz w:val="20"/>
                        <w:szCs w:val="20"/>
                      </w:rPr>
                      <w:t xml:space="preserve"> 2020</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915000" w:rsidRPr="00267CDB" w:rsidRDefault="00915000">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546103">
                            <w:rPr>
                              <w:rFonts w:asciiTheme="majorHAnsi" w:hAnsiTheme="majorHAnsi"/>
                              <w:noProof/>
                              <w:w w:val="99"/>
                              <w:sz w:val="20"/>
                            </w:rPr>
                            <w:t>14</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915000" w:rsidRPr="00267CDB" w:rsidRDefault="00915000">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546103">
                      <w:rPr>
                        <w:rFonts w:asciiTheme="majorHAnsi" w:hAnsiTheme="majorHAnsi"/>
                        <w:noProof/>
                        <w:w w:val="99"/>
                        <w:sz w:val="20"/>
                      </w:rPr>
                      <w:t>14</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F6EDC" w14:textId="77777777" w:rsidR="00915000" w:rsidRDefault="00915000">
      <w:r>
        <w:separator/>
      </w:r>
    </w:p>
  </w:footnote>
  <w:footnote w:type="continuationSeparator" w:id="0">
    <w:p w14:paraId="0E0FF1F7" w14:textId="77777777" w:rsidR="00915000" w:rsidRDefault="0091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915000" w:rsidRDefault="00915000" w:rsidP="005930F5">
    <w:pPr>
      <w:jc w:val="center"/>
      <w:rPr>
        <w:rFonts w:cstheme="minorHAnsi"/>
        <w:sz w:val="32"/>
      </w:rPr>
    </w:pPr>
  </w:p>
  <w:p w14:paraId="7E00401D" w14:textId="625022CC" w:rsidR="00915000" w:rsidRDefault="00915000"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32"/>
      </w:rPr>
      <w:t>EMPEROR’S GATE SURGERY</w:t>
    </w:r>
  </w:p>
  <w:p w14:paraId="6AA89F07" w14:textId="77777777" w:rsidR="00915000" w:rsidRDefault="00915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B2CBA"/>
    <w:rsid w:val="000E171A"/>
    <w:rsid w:val="000E4365"/>
    <w:rsid w:val="000F3FEA"/>
    <w:rsid w:val="000F59A7"/>
    <w:rsid w:val="00117C78"/>
    <w:rsid w:val="00186060"/>
    <w:rsid w:val="00203B21"/>
    <w:rsid w:val="00267CDB"/>
    <w:rsid w:val="002D6683"/>
    <w:rsid w:val="002F32E6"/>
    <w:rsid w:val="002F62CD"/>
    <w:rsid w:val="002F6CC7"/>
    <w:rsid w:val="003138D2"/>
    <w:rsid w:val="00325409"/>
    <w:rsid w:val="00350BCE"/>
    <w:rsid w:val="00365641"/>
    <w:rsid w:val="00384077"/>
    <w:rsid w:val="003B68DA"/>
    <w:rsid w:val="003C358C"/>
    <w:rsid w:val="003D56A6"/>
    <w:rsid w:val="003F1DE1"/>
    <w:rsid w:val="00403D45"/>
    <w:rsid w:val="0041410A"/>
    <w:rsid w:val="00426DFA"/>
    <w:rsid w:val="00427232"/>
    <w:rsid w:val="0044653A"/>
    <w:rsid w:val="00456E29"/>
    <w:rsid w:val="004A0FC9"/>
    <w:rsid w:val="004B0C21"/>
    <w:rsid w:val="004B3744"/>
    <w:rsid w:val="0050100D"/>
    <w:rsid w:val="00504001"/>
    <w:rsid w:val="00506916"/>
    <w:rsid w:val="005175F4"/>
    <w:rsid w:val="00546103"/>
    <w:rsid w:val="00552B8A"/>
    <w:rsid w:val="00573B99"/>
    <w:rsid w:val="0059202C"/>
    <w:rsid w:val="005930F5"/>
    <w:rsid w:val="005965E7"/>
    <w:rsid w:val="005A0AC0"/>
    <w:rsid w:val="005D193C"/>
    <w:rsid w:val="005D5700"/>
    <w:rsid w:val="005F231C"/>
    <w:rsid w:val="005F3D37"/>
    <w:rsid w:val="005F523D"/>
    <w:rsid w:val="0061220D"/>
    <w:rsid w:val="00635080"/>
    <w:rsid w:val="006446DF"/>
    <w:rsid w:val="00666FD9"/>
    <w:rsid w:val="00671107"/>
    <w:rsid w:val="0067467D"/>
    <w:rsid w:val="00676C3B"/>
    <w:rsid w:val="006A7A52"/>
    <w:rsid w:val="006D648B"/>
    <w:rsid w:val="006F0D67"/>
    <w:rsid w:val="006F3D9B"/>
    <w:rsid w:val="00704419"/>
    <w:rsid w:val="00712955"/>
    <w:rsid w:val="00721A70"/>
    <w:rsid w:val="00736ABB"/>
    <w:rsid w:val="00761BBE"/>
    <w:rsid w:val="00762E56"/>
    <w:rsid w:val="00767708"/>
    <w:rsid w:val="00767F25"/>
    <w:rsid w:val="00785F1E"/>
    <w:rsid w:val="007920C8"/>
    <w:rsid w:val="00794105"/>
    <w:rsid w:val="0081309E"/>
    <w:rsid w:val="00831448"/>
    <w:rsid w:val="00832416"/>
    <w:rsid w:val="0083286B"/>
    <w:rsid w:val="008334DC"/>
    <w:rsid w:val="00875C30"/>
    <w:rsid w:val="00883CC6"/>
    <w:rsid w:val="00895710"/>
    <w:rsid w:val="00896B5E"/>
    <w:rsid w:val="008A599A"/>
    <w:rsid w:val="008B37DD"/>
    <w:rsid w:val="008C3E1D"/>
    <w:rsid w:val="008D4DAF"/>
    <w:rsid w:val="008D6103"/>
    <w:rsid w:val="008D6F41"/>
    <w:rsid w:val="008E6A4D"/>
    <w:rsid w:val="00901A85"/>
    <w:rsid w:val="009060F2"/>
    <w:rsid w:val="00912B8D"/>
    <w:rsid w:val="00914BC4"/>
    <w:rsid w:val="00915000"/>
    <w:rsid w:val="0093435A"/>
    <w:rsid w:val="00943C23"/>
    <w:rsid w:val="009B225C"/>
    <w:rsid w:val="00A91B6D"/>
    <w:rsid w:val="00AB1B49"/>
    <w:rsid w:val="00AF723D"/>
    <w:rsid w:val="00B00DE7"/>
    <w:rsid w:val="00B07B27"/>
    <w:rsid w:val="00B323FC"/>
    <w:rsid w:val="00B85CAA"/>
    <w:rsid w:val="00BA0B23"/>
    <w:rsid w:val="00BC44E0"/>
    <w:rsid w:val="00BC6B71"/>
    <w:rsid w:val="00BE7900"/>
    <w:rsid w:val="00BE7DED"/>
    <w:rsid w:val="00BF187B"/>
    <w:rsid w:val="00C121FB"/>
    <w:rsid w:val="00C67616"/>
    <w:rsid w:val="00C67834"/>
    <w:rsid w:val="00C90495"/>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B359E"/>
    <w:rsid w:val="00DB5461"/>
    <w:rsid w:val="00DF3CA8"/>
    <w:rsid w:val="00DF5F8E"/>
    <w:rsid w:val="00E20CA2"/>
    <w:rsid w:val="00E34455"/>
    <w:rsid w:val="00E62BE1"/>
    <w:rsid w:val="00E64E9A"/>
    <w:rsid w:val="00E8594D"/>
    <w:rsid w:val="00EA1398"/>
    <w:rsid w:val="00EB5918"/>
    <w:rsid w:val="00EF6135"/>
    <w:rsid w:val="00F255CF"/>
    <w:rsid w:val="00F27333"/>
    <w:rsid w:val="00F34462"/>
    <w:rsid w:val="00F36CD4"/>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5461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546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 w:id="20530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s://www.gov.uk/government/publications/code-of-data-matching-practice-for-national-fraud-initiative" TargetMode="External"/><Relationship Id="rId26" Type="http://schemas.openxmlformats.org/officeDocument/2006/relationships/hyperlink" Target="http://www.uclh.nhs.uk"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royalmarsden.nhs.uk/" TargetMode="External"/><Relationship Id="rId34" Type="http://schemas.openxmlformats.org/officeDocument/2006/relationships/hyperlink" Target="https://ico.org.uk/global/contact-us/"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oleObject" Target="embeddings/oleObject2.bin"/><Relationship Id="rId25" Type="http://schemas.openxmlformats.org/officeDocument/2006/relationships/hyperlink" Target="https://www.lnwh.nhs.uk/" TargetMode="External"/><Relationship Id="rId33" Type="http://schemas.openxmlformats.org/officeDocument/2006/relationships/hyperlink" Target="https://digital.nhs.uk/article/1202/Records-Management-Code-of-Practice-for-Health-and-Social-Care-2016"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england.nhs.uk/ourwork/tsd/ig/risk-stratification/" TargetMode="External"/><Relationship Id="rId29" Type="http://schemas.openxmlformats.org/officeDocument/2006/relationships/hyperlink" Target="http://ico.org.uk/what_we_cover/register_of_data_controller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www.chelwest.nhs.uk/" TargetMode="External"/><Relationship Id="rId32" Type="http://schemas.openxmlformats.org/officeDocument/2006/relationships/hyperlink" Target="http://www.emperorsgate.org" TargetMode="External"/><Relationship Id="rId37" Type="http://schemas.openxmlformats.org/officeDocument/2006/relationships/hyperlink" Target="http://content.digital.nhs.uk/article/4963/What-we-collec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imperial.nhs.uk/" TargetMode="External"/><Relationship Id="rId28" Type="http://schemas.openxmlformats.org/officeDocument/2006/relationships/hyperlink" Target="https://digital.nhs.uk/coronavirus/gpes-data-for-pandemic-planning-and-research/general-practice-transparency-notice?_cldee=bWFyeWxhLmthcmdlQG5ocy5uZXQ%3d&amp;recipientid=contact-002b6ec0f6a3dc1187450017085bc6c2-2698cca9b7164e0b92a6203dc8216dd5&amp;esid=a55cb788-9996-ea11-a812-002248007f84" TargetMode="External"/><Relationship Id="rId36" Type="http://schemas.openxmlformats.org/officeDocument/2006/relationships/hyperlink" Target="https://www.gov.uk/government/publications/the-nhs-constitution-for-england" TargetMode="External"/><Relationship Id="rId10" Type="http://schemas.openxmlformats.org/officeDocument/2006/relationships/hyperlink" Target="https://pcse.england.nhs.uk/"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image" Target="media/image1.emf"/><Relationship Id="rId22" Type="http://schemas.openxmlformats.org/officeDocument/2006/relationships/hyperlink" Target="http://www.rbht.nhs.uk/" TargetMode="External"/><Relationship Id="rId27" Type="http://schemas.openxmlformats.org/officeDocument/2006/relationships/hyperlink" Target="https://www.nhs.uk/your-nhs-data-matters/" TargetMode="External"/><Relationship Id="rId30" Type="http://schemas.openxmlformats.org/officeDocument/2006/relationships/hyperlink" Target="http://www.ico.orguk" TargetMode="External"/><Relationship Id="rId35" Type="http://schemas.openxmlformats.org/officeDocument/2006/relationships/hyperlink" Target="http://systems.digital.nhs.uk/infogov/links/nhscr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xmlns=""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5715</Words>
  <Characters>32578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Ewelina Oczos</cp:lastModifiedBy>
  <cp:revision>2</cp:revision>
  <cp:lastPrinted>2020-02-28T10:35:00Z</cp:lastPrinted>
  <dcterms:created xsi:type="dcterms:W3CDTF">2020-05-18T11:51:00Z</dcterms:created>
  <dcterms:modified xsi:type="dcterms:W3CDTF">2020-05-18T11:51:00Z</dcterms:modified>
</cp:coreProperties>
</file>