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2046" w14:textId="1A5C5E00" w:rsidR="00BF6795" w:rsidRDefault="004F5E62" w:rsidP="008A3015">
      <w:pPr>
        <w:pStyle w:val="NormalWeb"/>
        <w:ind w:left="-284"/>
      </w:pPr>
      <w:r w:rsidRPr="009C7771">
        <w:rPr>
          <w:rFonts w:ascii="Arial" w:hAnsi="Arial" w:cs="Arial"/>
          <w:b/>
          <w:sz w:val="28"/>
          <w:szCs w:val="28"/>
        </w:rPr>
        <w:t>Direct Care Privacy Notice</w:t>
      </w:r>
    </w:p>
    <w:p w14:paraId="2C7F17FD" w14:textId="57491292" w:rsidR="00FA3D96" w:rsidRPr="009C7771" w:rsidRDefault="00EF0CAB" w:rsidP="008A3015">
      <w:pPr>
        <w:tabs>
          <w:tab w:val="left" w:pos="0"/>
        </w:tabs>
        <w:rPr>
          <w:rFonts w:ascii="Arial" w:hAnsi="Arial" w:cs="Arial"/>
          <w:b/>
          <w:bCs/>
          <w:sz w:val="24"/>
          <w:szCs w:val="24"/>
        </w:rPr>
      </w:pPr>
      <w:r>
        <w:rPr>
          <w:rFonts w:ascii="Arial" w:hAnsi="Arial" w:cs="Arial"/>
          <w:b/>
          <w:bCs/>
          <w:sz w:val="24"/>
          <w:szCs w:val="24"/>
        </w:rPr>
        <w:t xml:space="preserve">Eastcourt Surgery </w:t>
      </w:r>
      <w:r w:rsidR="00FA3D96" w:rsidRPr="009C7771">
        <w:rPr>
          <w:rFonts w:ascii="Arial" w:hAnsi="Arial" w:cs="Arial"/>
          <w:b/>
          <w:bCs/>
          <w:sz w:val="24"/>
          <w:szCs w:val="24"/>
        </w:rPr>
        <w:t>uses your information to provide you with healthcare</w:t>
      </w:r>
      <w:r w:rsidR="00402794" w:rsidRPr="009C7771">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 xml:space="preserve">We hold your medical record so that we can provide you with safe care and treatment. </w:t>
      </w:r>
    </w:p>
    <w:p w14:paraId="45FC9EB6" w14:textId="30B21EDB" w:rsidR="00440ECD" w:rsidRPr="00DF27A4" w:rsidRDefault="00440ECD" w:rsidP="00440ECD">
      <w:pPr>
        <w:rPr>
          <w:rFonts w:ascii="Arial" w:hAnsi="Arial" w:cs="Arial"/>
          <w:sz w:val="24"/>
          <w:szCs w:val="24"/>
        </w:rPr>
      </w:pPr>
      <w:r w:rsidRPr="00DF27A4">
        <w:rPr>
          <w:rFonts w:ascii="Arial" w:hAnsi="Arial" w:cs="Arial"/>
          <w:sz w:val="24"/>
          <w:szCs w:val="24"/>
        </w:rPr>
        <w:t>We are required by law to provide you with the following information about how we handle your information.</w:t>
      </w:r>
      <w:r w:rsidR="00C6799B" w:rsidRPr="00DF27A4">
        <w:rPr>
          <w:rFonts w:ascii="Arial" w:hAnsi="Arial" w:cs="Arial"/>
          <w:sz w:val="24"/>
          <w:szCs w:val="24"/>
        </w:rPr>
        <w:t xml:space="preserve">  </w:t>
      </w:r>
      <w:bookmarkStart w:id="0" w:name="_Hlk122592308"/>
      <w:r w:rsidR="00C6799B" w:rsidRPr="00DF27A4">
        <w:rPr>
          <w:rFonts w:ascii="Arial" w:hAnsi="Arial" w:cs="Arial"/>
          <w:sz w:val="24"/>
          <w:szCs w:val="24"/>
        </w:rPr>
        <w:t>Our full list of Privacy Notices can be found</w:t>
      </w:r>
      <w:r w:rsidR="00BF6795">
        <w:rPr>
          <w:rFonts w:ascii="Arial" w:hAnsi="Arial" w:cs="Arial"/>
          <w:sz w:val="24"/>
          <w:szCs w:val="24"/>
        </w:rPr>
        <w:t xml:space="preserve"> at </w:t>
      </w:r>
      <w:hyperlink r:id="rId10" w:history="1">
        <w:r w:rsidR="00EF0CAB" w:rsidRPr="00EF0CAB">
          <w:rPr>
            <w:rStyle w:val="Hyperlink"/>
            <w:rFonts w:ascii="Arial" w:hAnsi="Arial" w:cs="Arial"/>
            <w:sz w:val="24"/>
            <w:szCs w:val="24"/>
          </w:rPr>
          <w:t>www.eastcourtsurgery.nhs.uk</w:t>
        </w:r>
      </w:hyperlink>
      <w:bookmarkEnd w:id="0"/>
    </w:p>
    <w:tbl>
      <w:tblPr>
        <w:tblStyle w:val="TableGrid"/>
        <w:tblW w:w="9498" w:type="dxa"/>
        <w:tblInd w:w="-289" w:type="dxa"/>
        <w:tblLook w:val="04A0" w:firstRow="1" w:lastRow="0" w:firstColumn="1" w:lastColumn="0" w:noHBand="0" w:noVBand="1"/>
      </w:tblPr>
      <w:tblGrid>
        <w:gridCol w:w="2405"/>
        <w:gridCol w:w="7093"/>
      </w:tblGrid>
      <w:tr w:rsidR="00440ECD" w:rsidRPr="006E5EB2" w14:paraId="06175765" w14:textId="77777777" w:rsidTr="008A3015">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7093" w:type="dxa"/>
          </w:tcPr>
          <w:p w14:paraId="62DFE81C" w14:textId="77777777" w:rsidR="00440ECD" w:rsidRDefault="00EF0CAB" w:rsidP="00EF0CAB">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Eastcourt Surgery</w:t>
            </w:r>
          </w:p>
          <w:p w14:paraId="0806C099" w14:textId="59FF048A" w:rsidR="00EF0CAB" w:rsidRPr="00DF27A4" w:rsidRDefault="00EF0CAB" w:rsidP="00EF0CAB">
            <w:pPr>
              <w:spacing w:before="120" w:after="120"/>
              <w:rPr>
                <w:rFonts w:ascii="Arial" w:hAnsi="Arial" w:cs="Arial"/>
                <w:sz w:val="24"/>
                <w:szCs w:val="24"/>
              </w:rPr>
            </w:pPr>
            <w:r>
              <w:rPr>
                <w:rFonts w:ascii="Arial" w:hAnsi="Arial" w:cs="Arial"/>
                <w:color w:val="000000" w:themeColor="text1"/>
                <w:sz w:val="24"/>
                <w:szCs w:val="24"/>
              </w:rPr>
              <w:t>52 Eastcourt Lane, Gillingham, Kent ME8 6EY</w:t>
            </w:r>
          </w:p>
        </w:tc>
      </w:tr>
      <w:tr w:rsidR="00440ECD" w:rsidRPr="006E5EB2" w14:paraId="52C9FF4F" w14:textId="77777777" w:rsidTr="008A3015">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7093"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14928D6E" w14:textId="67A7639E" w:rsidR="00BF6795"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508C0EC3" w:rsidR="00502920" w:rsidRPr="00DF27A4" w:rsidRDefault="00502920" w:rsidP="00BF6795">
            <w:pPr>
              <w:spacing w:before="120" w:after="120"/>
              <w:ind w:left="30"/>
              <w:rPr>
                <w:rFonts w:ascii="Arial" w:hAnsi="Arial" w:cs="Arial"/>
                <w:sz w:val="24"/>
                <w:szCs w:val="24"/>
              </w:rPr>
            </w:pPr>
            <w:r w:rsidRPr="00502920">
              <w:rPr>
                <w:rFonts w:ascii="Arial" w:hAnsi="Arial" w:cs="Arial"/>
                <w:sz w:val="24"/>
                <w:szCs w:val="24"/>
              </w:rPr>
              <w:t>.</w:t>
            </w:r>
          </w:p>
        </w:tc>
      </w:tr>
      <w:tr w:rsidR="002B15DA" w:rsidRPr="006E5EB2" w14:paraId="18F1DEC6" w14:textId="77777777" w:rsidTr="008A3015">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7093"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proofErr w:type="gramStart"/>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w:t>
            </w:r>
            <w:proofErr w:type="gramEnd"/>
            <w:r w:rsidR="008F17AA">
              <w:rPr>
                <w:rFonts w:ascii="Arial" w:hAnsi="Arial" w:cs="Arial"/>
                <w:color w:val="000000"/>
                <w:sz w:val="24"/>
                <w:szCs w:val="24"/>
                <w:lang w:eastAsia="en-GB"/>
              </w:rPr>
              <w:t xml:space="preserve"> </w:t>
            </w:r>
          </w:p>
          <w:p w14:paraId="2597BDC1" w14:textId="55F0336D" w:rsidR="0011141E" w:rsidRPr="00DF27A4" w:rsidRDefault="008F17AA" w:rsidP="008F17AA">
            <w:pPr>
              <w:pStyle w:val="ListParagraph"/>
              <w:ind w:left="605" w:hanging="399"/>
              <w:rPr>
                <w:rFonts w:ascii="Arial" w:hAnsi="Arial" w:cs="Arial"/>
                <w:color w:val="000000"/>
                <w:sz w:val="24"/>
                <w:szCs w:val="24"/>
                <w:lang w:eastAsia="en-GB"/>
              </w:rPr>
            </w:pPr>
            <w:r>
              <w:rPr>
                <w:rFonts w:ascii="Arial" w:hAnsi="Arial" w:cs="Arial"/>
                <w:color w:val="000000"/>
                <w:sz w:val="24"/>
                <w:szCs w:val="24"/>
                <w:lang w:eastAsia="en-GB"/>
              </w:rPr>
              <w:tab/>
            </w:r>
            <w:r w:rsidR="0011141E"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0011141E"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Third party identifying data</w:t>
            </w:r>
            <w:r w:rsidR="002974D4" w:rsidRPr="00DF27A4">
              <w:rPr>
                <w:rFonts w:ascii="Arial" w:hAnsi="Arial" w:cs="Arial"/>
                <w:color w:val="000000"/>
                <w:sz w:val="24"/>
                <w:szCs w:val="24"/>
                <w:lang w:eastAsia="en-GB"/>
              </w:rPr>
              <w:t>: basic details about other individuals that may be involved in providing your care and support services, e.g. emergency contacts, relatives, mobility services providers, home care support</w:t>
            </w:r>
          </w:p>
        </w:tc>
      </w:tr>
      <w:tr w:rsidR="00440ECD" w:rsidRPr="006E5EB2" w14:paraId="7CF9436D" w14:textId="77777777" w:rsidTr="008A3015">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7093"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w:t>
            </w:r>
            <w:r w:rsidRPr="00DF27A4">
              <w:rPr>
                <w:rFonts w:ascii="Arial" w:hAnsi="Arial" w:cs="Arial"/>
                <w:color w:val="000000"/>
                <w:sz w:val="24"/>
                <w:szCs w:val="24"/>
              </w:rPr>
              <w:lastRenderedPageBreak/>
              <w:t xml:space="preserve">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008A3015">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lastRenderedPageBreak/>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7093" w:type="dxa"/>
          </w:tcPr>
          <w:p w14:paraId="5019CF07" w14:textId="281F2A7B"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 xml:space="preserve">Please see our main privacy notice for a full list of </w:t>
            </w:r>
            <w:r w:rsidR="00BF6795" w:rsidRPr="008F17AA">
              <w:rPr>
                <w:rFonts w:ascii="Arial" w:hAnsi="Arial" w:cs="Arial"/>
                <w:color w:val="000000"/>
                <w:sz w:val="24"/>
                <w:szCs w:val="24"/>
                <w:lang w:eastAsia="en-GB"/>
              </w:rPr>
              <w:t>organisations</w:t>
            </w:r>
            <w:r w:rsidRPr="008F17AA">
              <w:rPr>
                <w:rFonts w:ascii="Arial" w:hAnsi="Arial" w:cs="Arial"/>
                <w:color w:val="000000"/>
                <w:sz w:val="24"/>
                <w:szCs w:val="24"/>
                <w:lang w:eastAsia="en-GB"/>
              </w:rPr>
              <w:t xml:space="preserve"> we share information with</w:t>
            </w:r>
            <w:r w:rsidR="00BF6795">
              <w:rPr>
                <w:rFonts w:ascii="Arial" w:hAnsi="Arial" w:cs="Arial"/>
                <w:color w:val="000000"/>
                <w:sz w:val="24"/>
                <w:szCs w:val="24"/>
                <w:lang w:eastAsia="en-GB"/>
              </w:rPr>
              <w:t>.</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008A3015">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7093"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1"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008A3015">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7093"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2"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008A3015">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Kent and Medway Care Record</w:t>
            </w:r>
            <w:r w:rsidR="00D5099F" w:rsidRPr="00DF27A4">
              <w:rPr>
                <w:rFonts w:ascii="Arial" w:hAnsi="Arial" w:cs="Arial"/>
                <w:b/>
                <w:color w:val="000000"/>
                <w:sz w:val="24"/>
                <w:szCs w:val="24"/>
                <w:lang w:eastAsia="en-GB"/>
              </w:rPr>
              <w:t xml:space="preserve"> (KMCR)</w:t>
            </w:r>
          </w:p>
        </w:tc>
        <w:tc>
          <w:tcPr>
            <w:tcW w:w="7093" w:type="dxa"/>
          </w:tcPr>
          <w:p w14:paraId="6EAC9C63" w14:textId="6B682022" w:rsidR="0011141E" w:rsidRPr="00DF27A4" w:rsidRDefault="00EF0CAB" w:rsidP="0011141E">
            <w:pPr>
              <w:rPr>
                <w:rFonts w:ascii="Arial" w:hAnsi="Arial" w:cs="Arial"/>
                <w:sz w:val="24"/>
                <w:szCs w:val="24"/>
              </w:rPr>
            </w:pPr>
            <w:r>
              <w:rPr>
                <w:rFonts w:ascii="Arial" w:hAnsi="Arial" w:cs="Arial"/>
                <w:sz w:val="24"/>
                <w:szCs w:val="24"/>
              </w:rPr>
              <w:t>Eastcourt Lane Surgery</w:t>
            </w:r>
            <w:r w:rsidR="0011141E" w:rsidRPr="00DF27A4">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1"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3"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1"/>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008A3015">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lastRenderedPageBreak/>
              <w:t>Population Health Management</w:t>
            </w:r>
          </w:p>
        </w:tc>
        <w:tc>
          <w:tcPr>
            <w:tcW w:w="7093"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008A3015">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7093"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4"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5"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6"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008A3015">
        <w:tc>
          <w:tcPr>
            <w:tcW w:w="2405" w:type="dxa"/>
          </w:tcPr>
          <w:p w14:paraId="7C53541A" w14:textId="77777777" w:rsidR="0011141E" w:rsidRDefault="0011141E" w:rsidP="00517A87">
            <w:pPr>
              <w:rPr>
                <w:rFonts w:cstheme="minorHAnsi"/>
                <w:b/>
                <w:color w:val="000000"/>
                <w:lang w:eastAsia="en-GB"/>
              </w:rPr>
            </w:pPr>
          </w:p>
        </w:tc>
        <w:tc>
          <w:tcPr>
            <w:tcW w:w="7093" w:type="dxa"/>
          </w:tcPr>
          <w:p w14:paraId="23CE76D6" w14:textId="67A0203A" w:rsidR="0011141E" w:rsidRPr="00DF27A4" w:rsidRDefault="0011141E"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For details on your rights and who to complain please see the main privacy notice </w:t>
            </w:r>
          </w:p>
        </w:tc>
      </w:tr>
    </w:tbl>
    <w:p w14:paraId="69436429" w14:textId="77777777" w:rsidR="00B750C7" w:rsidRDefault="00B750C7" w:rsidP="008F17AA"/>
    <w:sectPr w:rsidR="00B750C7" w:rsidSect="00033EB0">
      <w:headerReference w:type="defaul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D2CF" w14:textId="77777777" w:rsidR="00033EB0" w:rsidRDefault="00033EB0" w:rsidP="0027259D">
      <w:pPr>
        <w:spacing w:after="0" w:line="240" w:lineRule="auto"/>
      </w:pPr>
      <w:r>
        <w:separator/>
      </w:r>
    </w:p>
  </w:endnote>
  <w:endnote w:type="continuationSeparator" w:id="0">
    <w:p w14:paraId="1834CEAD" w14:textId="77777777" w:rsidR="00033EB0" w:rsidRDefault="00033EB0"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BA0E" w14:textId="77777777" w:rsidR="00033EB0" w:rsidRDefault="00033EB0" w:rsidP="0027259D">
      <w:pPr>
        <w:spacing w:after="0" w:line="240" w:lineRule="auto"/>
      </w:pPr>
      <w:r>
        <w:separator/>
      </w:r>
    </w:p>
  </w:footnote>
  <w:footnote w:type="continuationSeparator" w:id="0">
    <w:p w14:paraId="7F67A2CC" w14:textId="77777777" w:rsidR="00033EB0" w:rsidRDefault="00033EB0"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C55" w14:textId="08F4F0D7" w:rsidR="0027259D" w:rsidRDefault="00F41161" w:rsidP="0027259D">
    <w:pPr>
      <w:pStyle w:val="Header"/>
      <w:jc w:val="right"/>
    </w:pPr>
    <w:r>
      <w:t xml:space="preserve"> </w:t>
    </w:r>
    <w:r w:rsidR="0027259D">
      <w:t>GP Direct Care Privacy Notice Template</w:t>
    </w:r>
  </w:p>
  <w:p w14:paraId="799D654C" w14:textId="56C307E9" w:rsidR="0027259D" w:rsidRDefault="00A8005C" w:rsidP="0027259D">
    <w:pPr>
      <w:pStyle w:val="Header"/>
      <w:jc w:val="right"/>
    </w:pPr>
    <w:r>
      <w:t xml:space="preserve"> Version 0.</w:t>
    </w:r>
    <w:r w:rsidR="005B0FC6">
      <w:t xml:space="preserve">2 </w:t>
    </w:r>
    <w:r w:rsidR="0027259D">
      <w:t>December 202</w:t>
    </w:r>
    <w:r w:rsidR="00EF0CAB">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8223">
    <w:abstractNumId w:val="12"/>
  </w:num>
  <w:num w:numId="2" w16cid:durableId="684405940">
    <w:abstractNumId w:val="13"/>
  </w:num>
  <w:num w:numId="3" w16cid:durableId="1110785425">
    <w:abstractNumId w:val="17"/>
  </w:num>
  <w:num w:numId="4" w16cid:durableId="1281840491">
    <w:abstractNumId w:val="6"/>
  </w:num>
  <w:num w:numId="5" w16cid:durableId="1032800966">
    <w:abstractNumId w:val="15"/>
  </w:num>
  <w:num w:numId="6" w16cid:durableId="476729906">
    <w:abstractNumId w:val="11"/>
  </w:num>
  <w:num w:numId="7" w16cid:durableId="771704038">
    <w:abstractNumId w:val="4"/>
  </w:num>
  <w:num w:numId="8" w16cid:durableId="374894902">
    <w:abstractNumId w:val="0"/>
  </w:num>
  <w:num w:numId="9" w16cid:durableId="1705323282">
    <w:abstractNumId w:val="16"/>
  </w:num>
  <w:num w:numId="10" w16cid:durableId="491336647">
    <w:abstractNumId w:val="2"/>
  </w:num>
  <w:num w:numId="11" w16cid:durableId="2024015615">
    <w:abstractNumId w:val="3"/>
  </w:num>
  <w:num w:numId="12" w16cid:durableId="2002275514">
    <w:abstractNumId w:val="1"/>
  </w:num>
  <w:num w:numId="13" w16cid:durableId="1033849921">
    <w:abstractNumId w:val="9"/>
  </w:num>
  <w:num w:numId="14" w16cid:durableId="560292005">
    <w:abstractNumId w:val="7"/>
  </w:num>
  <w:num w:numId="15" w16cid:durableId="1447194933">
    <w:abstractNumId w:val="14"/>
  </w:num>
  <w:num w:numId="16" w16cid:durableId="803738094">
    <w:abstractNumId w:val="10"/>
  </w:num>
  <w:num w:numId="17" w16cid:durableId="2038046960">
    <w:abstractNumId w:val="8"/>
  </w:num>
  <w:num w:numId="18" w16cid:durableId="1029112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33EB0"/>
    <w:rsid w:val="00095CD7"/>
    <w:rsid w:val="000B1980"/>
    <w:rsid w:val="000B5AB5"/>
    <w:rsid w:val="001014F4"/>
    <w:rsid w:val="0011141E"/>
    <w:rsid w:val="001217A0"/>
    <w:rsid w:val="00152118"/>
    <w:rsid w:val="00161ACD"/>
    <w:rsid w:val="00194139"/>
    <w:rsid w:val="001A7899"/>
    <w:rsid w:val="001D6F1A"/>
    <w:rsid w:val="0027259D"/>
    <w:rsid w:val="0027702C"/>
    <w:rsid w:val="002974D4"/>
    <w:rsid w:val="00297956"/>
    <w:rsid w:val="002B15DA"/>
    <w:rsid w:val="002E69E5"/>
    <w:rsid w:val="002F1760"/>
    <w:rsid w:val="002F7BEA"/>
    <w:rsid w:val="003174BC"/>
    <w:rsid w:val="003200E1"/>
    <w:rsid w:val="0034055C"/>
    <w:rsid w:val="0037071E"/>
    <w:rsid w:val="003727A8"/>
    <w:rsid w:val="0038225B"/>
    <w:rsid w:val="003B10D9"/>
    <w:rsid w:val="003B25C1"/>
    <w:rsid w:val="003B7B8E"/>
    <w:rsid w:val="003C7CD9"/>
    <w:rsid w:val="003D66EB"/>
    <w:rsid w:val="00402794"/>
    <w:rsid w:val="00440ECD"/>
    <w:rsid w:val="0044335B"/>
    <w:rsid w:val="00455CCE"/>
    <w:rsid w:val="00467756"/>
    <w:rsid w:val="004B2845"/>
    <w:rsid w:val="004F5E62"/>
    <w:rsid w:val="004F72DD"/>
    <w:rsid w:val="00502920"/>
    <w:rsid w:val="00517A87"/>
    <w:rsid w:val="005A5469"/>
    <w:rsid w:val="005B0FC6"/>
    <w:rsid w:val="005D2569"/>
    <w:rsid w:val="0064680B"/>
    <w:rsid w:val="00650F3C"/>
    <w:rsid w:val="0067594D"/>
    <w:rsid w:val="00690AEF"/>
    <w:rsid w:val="006920F5"/>
    <w:rsid w:val="006B07A9"/>
    <w:rsid w:val="00700D08"/>
    <w:rsid w:val="00734667"/>
    <w:rsid w:val="00734E78"/>
    <w:rsid w:val="00790CCC"/>
    <w:rsid w:val="007E70B3"/>
    <w:rsid w:val="007F149D"/>
    <w:rsid w:val="00837DE9"/>
    <w:rsid w:val="00887D53"/>
    <w:rsid w:val="008929A3"/>
    <w:rsid w:val="008A3015"/>
    <w:rsid w:val="008C2E7A"/>
    <w:rsid w:val="008F17AA"/>
    <w:rsid w:val="009210B3"/>
    <w:rsid w:val="009471BA"/>
    <w:rsid w:val="00954ACB"/>
    <w:rsid w:val="00960BC4"/>
    <w:rsid w:val="009730DF"/>
    <w:rsid w:val="009A4C46"/>
    <w:rsid w:val="009B7E18"/>
    <w:rsid w:val="009C7771"/>
    <w:rsid w:val="00A059D2"/>
    <w:rsid w:val="00A27356"/>
    <w:rsid w:val="00A66F94"/>
    <w:rsid w:val="00A8005C"/>
    <w:rsid w:val="00AA0A65"/>
    <w:rsid w:val="00AA0E2E"/>
    <w:rsid w:val="00B25ABA"/>
    <w:rsid w:val="00B750C7"/>
    <w:rsid w:val="00BE6102"/>
    <w:rsid w:val="00BF6795"/>
    <w:rsid w:val="00C6044E"/>
    <w:rsid w:val="00C672A1"/>
    <w:rsid w:val="00C6799B"/>
    <w:rsid w:val="00CA6630"/>
    <w:rsid w:val="00CC1E6B"/>
    <w:rsid w:val="00CC1FE8"/>
    <w:rsid w:val="00D12C37"/>
    <w:rsid w:val="00D46219"/>
    <w:rsid w:val="00D5099F"/>
    <w:rsid w:val="00D622F9"/>
    <w:rsid w:val="00DF27A4"/>
    <w:rsid w:val="00E35381"/>
    <w:rsid w:val="00EF0CAB"/>
    <w:rsid w:val="00F22C31"/>
    <w:rsid w:val="00F41161"/>
    <w:rsid w:val="00F65909"/>
    <w:rsid w:val="00FA3D9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topic/population-screening-programm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gital.nhs.uk/services/national-data-opt-out/operational-policy-guidance-document/policy-considerations-for-specific-organisations-or-purpo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summary-care-records-scr" TargetMode="External"/><Relationship Id="rId5" Type="http://schemas.openxmlformats.org/officeDocument/2006/relationships/styles" Target="styles.xml"/><Relationship Id="rId15" Type="http://schemas.openxmlformats.org/officeDocument/2006/relationships/hyperlink" Target="https://www.hra.nhs.uk/approvals-amendments/what-approvals-do-i-need/confidentiality-advisory-group/" TargetMode="External"/><Relationship Id="rId10" Type="http://schemas.openxmlformats.org/officeDocument/2006/relationships/hyperlink" Target="https://www.eastcourtsurgery.nhs.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services/national-dat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Christine Hammond</cp:lastModifiedBy>
  <cp:revision>4</cp:revision>
  <cp:lastPrinted>2024-01-16T21:39:00Z</cp:lastPrinted>
  <dcterms:created xsi:type="dcterms:W3CDTF">2024-01-29T19:22:00Z</dcterms:created>
  <dcterms:modified xsi:type="dcterms:W3CDTF">2024-01-29T19:27:00Z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