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13" w:rsidRPr="00DF0EBF" w:rsidRDefault="00651A13" w:rsidP="00651A13">
      <w:pPr>
        <w:pStyle w:val="NormalWeb"/>
        <w:rPr>
          <w:rFonts w:ascii="Arial" w:hAnsi="Arial" w:cs="Arial"/>
          <w:b/>
          <w:sz w:val="28"/>
          <w:szCs w:val="28"/>
        </w:rPr>
      </w:pPr>
      <w:r w:rsidRPr="00DF0EBF">
        <w:rPr>
          <w:rFonts w:ascii="Arial" w:hAnsi="Arial" w:cs="Arial"/>
          <w:b/>
          <w:sz w:val="28"/>
          <w:szCs w:val="28"/>
        </w:rPr>
        <w:t>Commissioning, Planning, Risk Stratification and Research Privacy Notice</w:t>
      </w:r>
    </w:p>
    <w:p w:rsidR="00651A13" w:rsidRPr="00DF0EBF" w:rsidRDefault="00651A13" w:rsidP="00651A13">
      <w:pPr>
        <w:rPr>
          <w:rFonts w:ascii="Arial" w:hAnsi="Arial" w:cs="Arial"/>
          <w:b/>
          <w:bCs/>
          <w:sz w:val="24"/>
          <w:szCs w:val="24"/>
        </w:rPr>
      </w:pPr>
      <w:r>
        <w:rPr>
          <w:rFonts w:ascii="Arial" w:hAnsi="Arial" w:cs="Arial"/>
          <w:b/>
          <w:bCs/>
          <w:sz w:val="24"/>
          <w:szCs w:val="24"/>
        </w:rPr>
        <w:t xml:space="preserve">CMG Red Suite </w:t>
      </w:r>
      <w:r w:rsidRPr="00DF0EBF">
        <w:rPr>
          <w:rFonts w:ascii="Arial" w:hAnsi="Arial" w:cs="Arial"/>
          <w:b/>
          <w:bCs/>
          <w:sz w:val="24"/>
          <w:szCs w:val="24"/>
        </w:rPr>
        <w:t xml:space="preserve">uses data insightfully for </w:t>
      </w:r>
      <w:hyperlink r:id="rId5" w:history="1">
        <w:r w:rsidRPr="00DF0EBF">
          <w:rPr>
            <w:rStyle w:val="Hyperlink"/>
            <w:rFonts w:ascii="Arial" w:hAnsi="Arial" w:cs="Arial"/>
            <w:b/>
            <w:bCs/>
            <w:sz w:val="24"/>
            <w:szCs w:val="24"/>
          </w:rPr>
          <w:t>Research</w:t>
        </w:r>
      </w:hyperlink>
      <w:r w:rsidRPr="00DF0EBF">
        <w:rPr>
          <w:rFonts w:ascii="Arial" w:hAnsi="Arial" w:cs="Arial"/>
          <w:b/>
          <w:bCs/>
          <w:sz w:val="24"/>
          <w:szCs w:val="24"/>
        </w:rPr>
        <w:t>, auditing and healthcare planning (population health management).</w:t>
      </w:r>
    </w:p>
    <w:p w:rsidR="00651A13" w:rsidRPr="00DF0EBF" w:rsidRDefault="00651A13" w:rsidP="00651A13">
      <w:pPr>
        <w:rPr>
          <w:rFonts w:ascii="Arial" w:hAnsi="Arial" w:cs="Arial"/>
          <w:sz w:val="24"/>
          <w:szCs w:val="24"/>
        </w:rPr>
      </w:pPr>
      <w:r w:rsidRPr="00DF0EBF">
        <w:rPr>
          <w:rFonts w:ascii="Arial" w:hAnsi="Arial" w:cs="Arial"/>
          <w:sz w:val="24"/>
          <w:szCs w:val="24"/>
        </w:rPr>
        <w:t xml:space="preserve">We are required by law to provide you with the following information about how we handle your information.  </w:t>
      </w:r>
      <w:bookmarkStart w:id="0" w:name="_Hlk122597032"/>
      <w:r w:rsidRPr="00DF0EBF">
        <w:rPr>
          <w:rFonts w:ascii="Arial" w:hAnsi="Arial" w:cs="Arial"/>
          <w:sz w:val="24"/>
          <w:szCs w:val="24"/>
        </w:rPr>
        <w:t xml:space="preserve">Our full list of Privacy Notices can be found </w:t>
      </w:r>
      <w:bookmarkEnd w:id="0"/>
      <w:r>
        <w:rPr>
          <w:rFonts w:ascii="Arial" w:hAnsi="Arial" w:cs="Arial"/>
          <w:sz w:val="24"/>
          <w:szCs w:val="24"/>
        </w:rPr>
        <w:t xml:space="preserve">here </w:t>
      </w:r>
      <w:hyperlink r:id="rId6" w:history="1">
        <w:r>
          <w:rPr>
            <w:rStyle w:val="Hyperlink"/>
          </w:rPr>
          <w:t>https://practice365.co.uk/g82697/</w:t>
        </w:r>
      </w:hyperlink>
    </w:p>
    <w:tbl>
      <w:tblPr>
        <w:tblStyle w:val="TableGrid"/>
        <w:tblW w:w="0" w:type="auto"/>
        <w:tblLook w:val="04A0" w:firstRow="1" w:lastRow="0" w:firstColumn="1" w:lastColumn="0" w:noHBand="0" w:noVBand="1"/>
      </w:tblPr>
      <w:tblGrid>
        <w:gridCol w:w="2544"/>
        <w:gridCol w:w="6472"/>
      </w:tblGrid>
      <w:tr w:rsidR="00651A13" w:rsidRPr="006E5EB2" w:rsidTr="00287CE1">
        <w:tc>
          <w:tcPr>
            <w:tcW w:w="2544" w:type="dxa"/>
          </w:tcPr>
          <w:p w:rsidR="00651A13" w:rsidRPr="00DF0EBF" w:rsidRDefault="00651A13" w:rsidP="00287CE1">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rsidR="00651A13" w:rsidRPr="00DF0EBF" w:rsidRDefault="00651A13" w:rsidP="00287CE1">
            <w:pPr>
              <w:spacing w:before="120" w:after="120"/>
              <w:rPr>
                <w:rFonts w:ascii="Arial" w:hAnsi="Arial" w:cs="Arial"/>
                <w:b/>
                <w:color w:val="000000"/>
                <w:sz w:val="24"/>
                <w:szCs w:val="24"/>
                <w:lang w:eastAsia="en-GB"/>
              </w:rPr>
            </w:pPr>
          </w:p>
        </w:tc>
        <w:tc>
          <w:tcPr>
            <w:tcW w:w="6472" w:type="dxa"/>
          </w:tcPr>
          <w:p w:rsidR="00651A13" w:rsidRDefault="00651A13" w:rsidP="00287CE1">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CMG </w:t>
            </w:r>
          </w:p>
          <w:p w:rsidR="00651A13" w:rsidRDefault="00651A13" w:rsidP="00287CE1">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94 Churchill Avenue </w:t>
            </w:r>
          </w:p>
          <w:p w:rsidR="00651A13" w:rsidRDefault="00651A13" w:rsidP="00287CE1">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Chatham</w:t>
            </w:r>
          </w:p>
          <w:p w:rsidR="00651A13" w:rsidRDefault="00651A13" w:rsidP="00287CE1">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w:t>
            </w:r>
          </w:p>
          <w:p w:rsidR="00651A13" w:rsidRPr="00DF0EBF" w:rsidRDefault="00651A13" w:rsidP="00287CE1">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ME5 ODL</w:t>
            </w:r>
          </w:p>
          <w:p w:rsidR="00651A13" w:rsidRPr="00DF0EBF" w:rsidRDefault="00651A13" w:rsidP="00287CE1">
            <w:pPr>
              <w:spacing w:before="120" w:after="120"/>
              <w:rPr>
                <w:rFonts w:ascii="Arial" w:hAnsi="Arial" w:cs="Arial"/>
                <w:sz w:val="24"/>
                <w:szCs w:val="24"/>
              </w:rPr>
            </w:pPr>
          </w:p>
        </w:tc>
      </w:tr>
      <w:tr w:rsidR="00651A13" w:rsidRPr="006E5EB2" w:rsidTr="00287CE1">
        <w:tc>
          <w:tcPr>
            <w:tcW w:w="2544" w:type="dxa"/>
          </w:tcPr>
          <w:p w:rsidR="00651A13" w:rsidRPr="00DF0EBF" w:rsidRDefault="00651A13" w:rsidP="00287CE1">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rsidR="00651A13" w:rsidRPr="00DF0EBF" w:rsidRDefault="00651A13" w:rsidP="00287CE1">
            <w:pPr>
              <w:spacing w:before="120" w:after="120"/>
              <w:rPr>
                <w:rFonts w:ascii="Arial" w:hAnsi="Arial" w:cs="Arial"/>
                <w:sz w:val="24"/>
                <w:szCs w:val="24"/>
              </w:rPr>
            </w:pPr>
          </w:p>
        </w:tc>
        <w:tc>
          <w:tcPr>
            <w:tcW w:w="6472" w:type="dxa"/>
          </w:tcPr>
          <w:p w:rsidR="00651A13" w:rsidRPr="00DF0EBF" w:rsidRDefault="00651A13" w:rsidP="00287CE1">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rsidR="00651A13" w:rsidRPr="00DF0EBF" w:rsidRDefault="00651A13" w:rsidP="00651A13">
            <w:pPr>
              <w:pStyle w:val="ListParagraph"/>
              <w:numPr>
                <w:ilvl w:val="0"/>
                <w:numId w:val="2"/>
              </w:numPr>
              <w:spacing w:before="120" w:after="120"/>
              <w:rPr>
                <w:rFonts w:ascii="Arial" w:hAnsi="Arial" w:cs="Arial"/>
                <w:sz w:val="24"/>
                <w:szCs w:val="24"/>
              </w:rPr>
            </w:pPr>
            <w:r w:rsidRPr="00DF0EBF">
              <w:rPr>
                <w:rFonts w:ascii="Arial" w:hAnsi="Arial" w:cs="Arial"/>
                <w:sz w:val="24"/>
                <w:szCs w:val="24"/>
              </w:rPr>
              <w:t>Understand more about disease risk and causes</w:t>
            </w:r>
          </w:p>
          <w:p w:rsidR="00651A13" w:rsidRPr="00DF0EBF" w:rsidRDefault="00651A13" w:rsidP="00651A13">
            <w:pPr>
              <w:pStyle w:val="ListParagraph"/>
              <w:numPr>
                <w:ilvl w:val="0"/>
                <w:numId w:val="2"/>
              </w:numPr>
              <w:spacing w:before="120" w:after="120"/>
              <w:rPr>
                <w:rFonts w:ascii="Arial" w:hAnsi="Arial" w:cs="Arial"/>
                <w:sz w:val="24"/>
                <w:szCs w:val="24"/>
              </w:rPr>
            </w:pPr>
            <w:r w:rsidRPr="00DF0EBF">
              <w:rPr>
                <w:rFonts w:ascii="Arial" w:hAnsi="Arial" w:cs="Arial"/>
                <w:sz w:val="24"/>
                <w:szCs w:val="24"/>
              </w:rPr>
              <w:t>Improve diagnosis</w:t>
            </w:r>
          </w:p>
          <w:p w:rsidR="00651A13" w:rsidRPr="00DF0EBF" w:rsidRDefault="00651A13" w:rsidP="00651A13">
            <w:pPr>
              <w:pStyle w:val="ListParagraph"/>
              <w:numPr>
                <w:ilvl w:val="0"/>
                <w:numId w:val="2"/>
              </w:numPr>
              <w:spacing w:before="120" w:after="120"/>
              <w:rPr>
                <w:rFonts w:ascii="Arial" w:hAnsi="Arial" w:cs="Arial"/>
                <w:sz w:val="24"/>
                <w:szCs w:val="24"/>
              </w:rPr>
            </w:pPr>
            <w:r w:rsidRPr="00DF0EBF">
              <w:rPr>
                <w:rFonts w:ascii="Arial" w:hAnsi="Arial" w:cs="Arial"/>
                <w:sz w:val="24"/>
                <w:szCs w:val="24"/>
              </w:rPr>
              <w:t>Develop new treatments and prevent diseases</w:t>
            </w:r>
          </w:p>
          <w:p w:rsidR="00651A13" w:rsidRPr="00DF0EBF" w:rsidRDefault="00651A13" w:rsidP="00651A13">
            <w:pPr>
              <w:pStyle w:val="ListParagraph"/>
              <w:numPr>
                <w:ilvl w:val="0"/>
                <w:numId w:val="2"/>
              </w:numPr>
              <w:spacing w:before="120" w:after="120"/>
              <w:rPr>
                <w:rFonts w:ascii="Arial" w:hAnsi="Arial" w:cs="Arial"/>
                <w:sz w:val="24"/>
                <w:szCs w:val="24"/>
              </w:rPr>
            </w:pPr>
            <w:r w:rsidRPr="00DF0EBF">
              <w:rPr>
                <w:rFonts w:ascii="Arial" w:hAnsi="Arial" w:cs="Arial"/>
                <w:sz w:val="24"/>
                <w:szCs w:val="24"/>
              </w:rPr>
              <w:t>Plan NHS and GP Services</w:t>
            </w:r>
          </w:p>
          <w:p w:rsidR="00651A13" w:rsidRPr="00DF0EBF" w:rsidRDefault="00651A13" w:rsidP="00651A13">
            <w:pPr>
              <w:pStyle w:val="ListParagraph"/>
              <w:numPr>
                <w:ilvl w:val="0"/>
                <w:numId w:val="2"/>
              </w:numPr>
              <w:spacing w:before="120" w:after="120"/>
              <w:rPr>
                <w:rFonts w:ascii="Arial" w:hAnsi="Arial" w:cs="Arial"/>
                <w:sz w:val="24"/>
                <w:szCs w:val="24"/>
              </w:rPr>
            </w:pPr>
            <w:r w:rsidRPr="00DF0EBF">
              <w:rPr>
                <w:rFonts w:ascii="Arial" w:hAnsi="Arial" w:cs="Arial"/>
                <w:sz w:val="24"/>
                <w:szCs w:val="24"/>
              </w:rPr>
              <w:t>Improve patient safety</w:t>
            </w:r>
          </w:p>
          <w:p w:rsidR="00651A13" w:rsidRDefault="00651A13" w:rsidP="00651A13">
            <w:pPr>
              <w:pStyle w:val="ListParagraph"/>
              <w:numPr>
                <w:ilvl w:val="0"/>
                <w:numId w:val="2"/>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rsidR="00651A13" w:rsidRPr="00BB22BA" w:rsidRDefault="00651A13" w:rsidP="00651A13">
            <w:pPr>
              <w:spacing w:before="120" w:after="120"/>
              <w:rPr>
                <w:rFonts w:ascii="Arial" w:hAnsi="Arial" w:cs="Arial"/>
                <w:sz w:val="24"/>
                <w:szCs w:val="24"/>
              </w:rPr>
            </w:pPr>
            <w:r>
              <w:rPr>
                <w:rFonts w:ascii="Arial" w:hAnsi="Arial" w:cs="Arial"/>
                <w:sz w:val="24"/>
                <w:szCs w:val="24"/>
              </w:rPr>
              <w:t xml:space="preserve">A list of Practice processing activities can be found here </w:t>
            </w:r>
            <w:hyperlink r:id="rId7" w:history="1">
              <w:r>
                <w:rPr>
                  <w:rStyle w:val="Hyperlink"/>
                </w:rPr>
                <w:t>https://practice365.co.uk/g82697/</w:t>
              </w:r>
            </w:hyperlink>
          </w:p>
        </w:tc>
      </w:tr>
      <w:tr w:rsidR="00651A13" w:rsidRPr="006E5EB2" w:rsidTr="00287CE1">
        <w:tc>
          <w:tcPr>
            <w:tcW w:w="2544" w:type="dxa"/>
          </w:tcPr>
          <w:p w:rsidR="00651A13" w:rsidRPr="00DF0EBF" w:rsidRDefault="00651A13" w:rsidP="00287CE1">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rsidR="00651A13" w:rsidRPr="00DF0EBF" w:rsidRDefault="00651A13" w:rsidP="00651A13">
            <w:pPr>
              <w:pStyle w:val="ListParagraph"/>
              <w:numPr>
                <w:ilvl w:val="0"/>
                <w:numId w:val="1"/>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rsidR="00651A13" w:rsidRPr="00DF0EBF" w:rsidRDefault="00651A13" w:rsidP="00651A13">
            <w:pPr>
              <w:pStyle w:val="ListParagraph"/>
              <w:numPr>
                <w:ilvl w:val="0"/>
                <w:numId w:val="1"/>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rsidR="00651A13" w:rsidRPr="00DF0EBF" w:rsidRDefault="00651A13" w:rsidP="00651A13">
            <w:pPr>
              <w:pStyle w:val="ListParagraph"/>
              <w:numPr>
                <w:ilvl w:val="0"/>
                <w:numId w:val="1"/>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does not identify individuals </w:t>
            </w:r>
          </w:p>
          <w:p w:rsidR="00651A13" w:rsidRPr="00DF0EBF" w:rsidRDefault="00651A13" w:rsidP="00287CE1">
            <w:pPr>
              <w:ind w:left="172"/>
              <w:rPr>
                <w:rFonts w:ascii="Arial" w:hAnsi="Arial" w:cs="Arial"/>
                <w:color w:val="000000"/>
                <w:sz w:val="24"/>
                <w:szCs w:val="24"/>
                <w:lang w:eastAsia="en-GB"/>
              </w:rPr>
            </w:pPr>
          </w:p>
          <w:p w:rsidR="00651A13" w:rsidRPr="00DF0EBF" w:rsidRDefault="00651A13" w:rsidP="00287CE1">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 where we have a lawful basis it may be necessary to use:</w:t>
            </w:r>
          </w:p>
          <w:p w:rsidR="00651A13" w:rsidRPr="00DF0EBF" w:rsidRDefault="00651A13" w:rsidP="00287CE1">
            <w:pPr>
              <w:ind w:left="172"/>
              <w:rPr>
                <w:rFonts w:ascii="Arial" w:hAnsi="Arial" w:cs="Arial"/>
                <w:color w:val="000000"/>
                <w:sz w:val="24"/>
                <w:szCs w:val="24"/>
                <w:lang w:eastAsia="en-GB"/>
              </w:rPr>
            </w:pPr>
          </w:p>
          <w:p w:rsidR="00651A13" w:rsidRPr="00DF0EBF" w:rsidRDefault="00651A13" w:rsidP="00651A13">
            <w:pPr>
              <w:pStyle w:val="ListParagraph"/>
              <w:numPr>
                <w:ilvl w:val="0"/>
                <w:numId w:val="4"/>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 name, address, date of birth, postcode, and NHS number</w:t>
            </w:r>
          </w:p>
          <w:p w:rsidR="00651A13" w:rsidRPr="00DF0EBF" w:rsidRDefault="00651A13" w:rsidP="00651A13">
            <w:pPr>
              <w:pStyle w:val="ListParagraph"/>
              <w:numPr>
                <w:ilvl w:val="0"/>
                <w:numId w:val="1"/>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651A13" w:rsidRPr="006E5EB2" w:rsidTr="00287CE1">
        <w:trPr>
          <w:trHeight w:val="1266"/>
        </w:trPr>
        <w:tc>
          <w:tcPr>
            <w:tcW w:w="2544" w:type="dxa"/>
          </w:tcPr>
          <w:p w:rsidR="00651A13" w:rsidRPr="00DF0EBF" w:rsidRDefault="00651A13" w:rsidP="00287CE1">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rsidR="00651A13" w:rsidRPr="00DF0EBF" w:rsidRDefault="00651A13" w:rsidP="00287CE1">
            <w:pPr>
              <w:spacing w:before="120" w:after="120"/>
              <w:rPr>
                <w:rFonts w:ascii="Arial" w:hAnsi="Arial" w:cs="Arial"/>
                <w:sz w:val="24"/>
                <w:szCs w:val="24"/>
              </w:rPr>
            </w:pPr>
          </w:p>
        </w:tc>
        <w:tc>
          <w:tcPr>
            <w:tcW w:w="6472" w:type="dxa"/>
          </w:tcPr>
          <w:p w:rsidR="00651A13" w:rsidRPr="00DF0EBF" w:rsidRDefault="00651A13" w:rsidP="00287CE1">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supported under the following sections of the UK General Data Protection Regulations:</w:t>
            </w:r>
          </w:p>
          <w:p w:rsidR="00651A13" w:rsidRPr="00DF0EBF" w:rsidRDefault="00651A13" w:rsidP="00287CE1">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 … ‘necessary for compliance with a legal obligation to which the controller is subject</w:t>
            </w:r>
          </w:p>
          <w:p w:rsidR="00651A13" w:rsidRPr="00DF0EBF" w:rsidRDefault="00651A13" w:rsidP="00287CE1">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rsidR="00651A13" w:rsidRPr="00DF0EBF" w:rsidRDefault="00651A13" w:rsidP="00287CE1">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rsidR="00651A13" w:rsidRPr="00DF0EBF" w:rsidRDefault="00651A13" w:rsidP="00287CE1">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651A13" w:rsidRPr="006E5EB2" w:rsidTr="00287CE1">
        <w:tc>
          <w:tcPr>
            <w:tcW w:w="2544" w:type="dxa"/>
          </w:tcPr>
          <w:p w:rsidR="00651A13" w:rsidRPr="00DF0EBF" w:rsidRDefault="00651A13" w:rsidP="00287CE1">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 (SHcAB)</w:t>
            </w:r>
          </w:p>
        </w:tc>
        <w:tc>
          <w:tcPr>
            <w:tcW w:w="6472" w:type="dxa"/>
          </w:tcPr>
          <w:p w:rsidR="00651A13" w:rsidRPr="00DF0EBF" w:rsidRDefault="00651A13" w:rsidP="00287CE1">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r>
      <w:tr w:rsidR="00651A13" w:rsidRPr="006E5EB2" w:rsidTr="00287CE1">
        <w:tc>
          <w:tcPr>
            <w:tcW w:w="2544" w:type="dxa"/>
          </w:tcPr>
          <w:p w:rsidR="00651A13" w:rsidRPr="00DF0EBF" w:rsidRDefault="00651A13" w:rsidP="00287CE1">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rsidR="00651A13" w:rsidRPr="00DF0EBF" w:rsidRDefault="00651A13" w:rsidP="00287CE1">
            <w:pPr>
              <w:rPr>
                <w:rFonts w:ascii="Arial" w:hAnsi="Arial" w:cs="Arial"/>
                <w:sz w:val="24"/>
                <w:szCs w:val="24"/>
              </w:rPr>
            </w:pPr>
            <w:r>
              <w:rPr>
                <w:rFonts w:ascii="Arial" w:hAnsi="Arial" w:cs="Arial"/>
                <w:sz w:val="24"/>
                <w:szCs w:val="24"/>
              </w:rPr>
              <w:t>CMG</w:t>
            </w:r>
            <w:bookmarkStart w:id="1" w:name="_GoBack"/>
            <w:bookmarkEnd w:id="1"/>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rsidR="00651A13" w:rsidRPr="00DF0EBF" w:rsidRDefault="00651A13" w:rsidP="00287CE1">
            <w:pPr>
              <w:rPr>
                <w:rFonts w:ascii="Arial" w:hAnsi="Arial" w:cs="Arial"/>
                <w:sz w:val="24"/>
                <w:szCs w:val="24"/>
              </w:rPr>
            </w:pPr>
          </w:p>
          <w:p w:rsidR="00651A13" w:rsidRPr="00DF0EBF" w:rsidRDefault="00651A13" w:rsidP="00287CE1">
            <w:pPr>
              <w:shd w:val="clear" w:color="auto" w:fill="FFFFFF"/>
              <w:rPr>
                <w:rFonts w:ascii="Arial" w:eastAsia="Times New Roman" w:hAnsi="Arial" w:cs="Arial"/>
                <w:sz w:val="24"/>
                <w:szCs w:val="24"/>
                <w:lang w:eastAsia="en-GB"/>
              </w:rPr>
            </w:pPr>
            <w:bookmarkStart w:id="2"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8"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
          <w:p w:rsidR="00651A13" w:rsidRPr="00DF0EBF" w:rsidRDefault="00651A13" w:rsidP="00287CE1">
            <w:pPr>
              <w:rPr>
                <w:rFonts w:ascii="Arial" w:hAnsi="Arial" w:cs="Arial"/>
                <w:sz w:val="24"/>
                <w:szCs w:val="24"/>
              </w:rPr>
            </w:pPr>
          </w:p>
        </w:tc>
      </w:tr>
      <w:tr w:rsidR="00651A13" w:rsidRPr="006E5EB2" w:rsidTr="00287CE1">
        <w:tc>
          <w:tcPr>
            <w:tcW w:w="2544" w:type="dxa"/>
          </w:tcPr>
          <w:p w:rsidR="00651A13" w:rsidRPr="00DF0EBF" w:rsidRDefault="00651A13" w:rsidP="00287CE1">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 (GPES)</w:t>
            </w:r>
          </w:p>
        </w:tc>
        <w:tc>
          <w:tcPr>
            <w:tcW w:w="6472" w:type="dxa"/>
          </w:tcPr>
          <w:p w:rsidR="00651A13" w:rsidRPr="00DF0EBF" w:rsidRDefault="00651A13" w:rsidP="00287CE1">
            <w:pPr>
              <w:rPr>
                <w:rFonts w:ascii="Arial" w:hAnsi="Arial" w:cs="Arial"/>
                <w:color w:val="000000"/>
                <w:sz w:val="24"/>
                <w:szCs w:val="24"/>
                <w:lang w:eastAsia="en-GB"/>
              </w:rPr>
            </w:pPr>
            <w:hyperlink r:id="rId9" w:anchor="how-gp-collections-work" w:history="1">
              <w:r w:rsidRPr="00DF0EBF">
                <w:rPr>
                  <w:rStyle w:val="Hyperlink"/>
                  <w:rFonts w:ascii="Arial" w:hAnsi="Arial" w:cs="Arial"/>
                  <w:sz w:val="24"/>
                  <w:szCs w:val="24"/>
                  <w:lang w:eastAsia="en-GB"/>
                </w:rPr>
                <w:t>NHS Digital</w:t>
              </w:r>
            </w:hyperlink>
            <w:r w:rsidRPr="00DF0EBF">
              <w:rPr>
                <w:rFonts w:ascii="Arial" w:hAnsi="Arial" w:cs="Arial"/>
                <w:color w:val="000000"/>
                <w:sz w:val="24"/>
                <w:szCs w:val="24"/>
                <w:lang w:eastAsia="en-GB"/>
              </w:rPr>
              <w:t>, collects data from Practices to support vital health and care planning and research.  This information is used insightfully to better understand what causes ill health and, importantly, what we can do to prevent or treat it and provide better care.</w:t>
            </w:r>
          </w:p>
        </w:tc>
      </w:tr>
      <w:tr w:rsidR="00651A13" w:rsidRPr="006E5EB2" w:rsidTr="00287CE1">
        <w:tc>
          <w:tcPr>
            <w:tcW w:w="2544" w:type="dxa"/>
          </w:tcPr>
          <w:p w:rsidR="00651A13" w:rsidRPr="00DF0EBF" w:rsidRDefault="00651A13" w:rsidP="00287CE1">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rsidR="00651A13" w:rsidRPr="00DF0EBF" w:rsidRDefault="00651A13" w:rsidP="00287CE1">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which required organisations to share confidential patient </w:t>
            </w:r>
            <w:r w:rsidRPr="00DF0EBF">
              <w:rPr>
                <w:rFonts w:ascii="Arial" w:hAnsi="Arial" w:cs="Arial"/>
                <w:sz w:val="24"/>
                <w:szCs w:val="24"/>
              </w:rPr>
              <w:lastRenderedPageBreak/>
              <w:t>information with organisations entitled to process this under COPI for COVID-19 purposes (COPI Notices).</w:t>
            </w:r>
          </w:p>
          <w:p w:rsidR="00651A13" w:rsidRPr="00DF0EBF" w:rsidRDefault="00651A13" w:rsidP="00287CE1">
            <w:pPr>
              <w:rPr>
                <w:rFonts w:ascii="Arial" w:hAnsi="Arial" w:cs="Arial"/>
                <w:sz w:val="24"/>
                <w:szCs w:val="24"/>
              </w:rPr>
            </w:pPr>
          </w:p>
          <w:p w:rsidR="00651A13" w:rsidRPr="00DF0EBF" w:rsidRDefault="00651A13" w:rsidP="00287CE1">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0" w:history="1">
              <w:r w:rsidRPr="00DF0EBF">
                <w:rPr>
                  <w:rStyle w:val="Hyperlink"/>
                  <w:rFonts w:ascii="Arial" w:hAnsi="Arial" w:cs="Arial"/>
                  <w:sz w:val="24"/>
                  <w:szCs w:val="24"/>
                </w:rPr>
                <w:t>here</w:t>
              </w:r>
            </w:hyperlink>
            <w:r w:rsidRPr="00DF0EBF">
              <w:rPr>
                <w:rFonts w:ascii="Arial" w:hAnsi="Arial" w:cs="Arial"/>
                <w:sz w:val="24"/>
                <w:szCs w:val="24"/>
              </w:rPr>
              <w:t>.</w:t>
            </w:r>
          </w:p>
        </w:tc>
      </w:tr>
      <w:tr w:rsidR="00651A13" w:rsidRPr="006E5EB2" w:rsidTr="00287CE1">
        <w:tc>
          <w:tcPr>
            <w:tcW w:w="2544" w:type="dxa"/>
          </w:tcPr>
          <w:p w:rsidR="00651A13" w:rsidRPr="00D206AA" w:rsidRDefault="00651A13" w:rsidP="00287CE1">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Population Health Management</w:t>
            </w:r>
          </w:p>
        </w:tc>
        <w:tc>
          <w:tcPr>
            <w:tcW w:w="6472" w:type="dxa"/>
          </w:tcPr>
          <w:p w:rsidR="00651A13" w:rsidRPr="00D206AA" w:rsidRDefault="00651A13" w:rsidP="00287CE1">
            <w:pPr>
              <w:rPr>
                <w:rFonts w:ascii="Arial" w:hAnsi="Arial" w:cs="Arial"/>
                <w:color w:val="000000"/>
                <w:sz w:val="24"/>
                <w:szCs w:val="24"/>
                <w:lang w:eastAsia="en-GB"/>
              </w:rPr>
            </w:pPr>
            <w:r w:rsidRPr="00D206AA">
              <w:rPr>
                <w:rFonts w:ascii="Arial" w:hAnsi="Arial" w:cs="Arial"/>
                <w:sz w:val="24"/>
                <w:szCs w:val="24"/>
              </w:rPr>
              <w:t xml:space="preserve">Your information is passed, with all identifiers removed to NHS Kent and Medway for public health management. </w:t>
            </w:r>
            <w:r w:rsidRPr="00D206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651A13" w:rsidRPr="006E5EB2" w:rsidTr="00287CE1">
        <w:tc>
          <w:tcPr>
            <w:tcW w:w="2544" w:type="dxa"/>
          </w:tcPr>
          <w:p w:rsidR="00651A13" w:rsidRPr="00D206AA" w:rsidRDefault="00651A13" w:rsidP="00287CE1">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rsidR="00651A13" w:rsidRPr="00D206AA" w:rsidRDefault="00651A13" w:rsidP="00287CE1">
            <w:pPr>
              <w:ind w:left="28"/>
              <w:rPr>
                <w:rFonts w:ascii="Arial" w:hAnsi="Arial" w:cs="Arial"/>
                <w:color w:val="000000"/>
                <w:sz w:val="24"/>
                <w:szCs w:val="24"/>
                <w:lang w:eastAsia="en-GB"/>
              </w:rPr>
            </w:pP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1"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rsidR="00651A13" w:rsidRPr="00D206AA" w:rsidRDefault="00651A13" w:rsidP="00287CE1">
            <w:pPr>
              <w:ind w:left="28"/>
              <w:rPr>
                <w:rFonts w:ascii="Arial" w:hAnsi="Arial" w:cs="Arial"/>
                <w:color w:val="000000"/>
                <w:sz w:val="24"/>
                <w:szCs w:val="24"/>
                <w:lang w:eastAsia="en-GB"/>
              </w:rPr>
            </w:pP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Opt-out does not apply.</w:t>
            </w: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2" w:history="1">
              <w:r w:rsidRPr="00D206AA">
                <w:rPr>
                  <w:rStyle w:val="Hyperlink"/>
                  <w:rFonts w:ascii="Arial" w:hAnsi="Arial" w:cs="Arial"/>
                  <w:sz w:val="24"/>
                  <w:szCs w:val="24"/>
                  <w:lang w:eastAsia="en-GB"/>
                </w:rPr>
                <w:t>Confidentiality Advisory Group</w:t>
              </w:r>
            </w:hyperlink>
            <w:r w:rsidRPr="00D206AA">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rsidR="00651A13" w:rsidRPr="00D206AA" w:rsidRDefault="00651A13" w:rsidP="00287CE1">
            <w:pPr>
              <w:ind w:left="28"/>
              <w:rPr>
                <w:rFonts w:ascii="Arial" w:hAnsi="Arial" w:cs="Arial"/>
                <w:color w:val="000000"/>
                <w:sz w:val="24"/>
                <w:szCs w:val="24"/>
                <w:lang w:eastAsia="en-GB"/>
              </w:rPr>
            </w:pP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rsidR="00651A13" w:rsidRPr="00D206AA" w:rsidRDefault="00651A13" w:rsidP="00287CE1">
            <w:pPr>
              <w:ind w:left="28"/>
              <w:rPr>
                <w:rFonts w:ascii="Arial" w:hAnsi="Arial" w:cs="Arial"/>
                <w:color w:val="000000"/>
                <w:sz w:val="24"/>
                <w:szCs w:val="24"/>
                <w:lang w:eastAsia="en-GB"/>
              </w:rPr>
            </w:pP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rsidR="00651A13" w:rsidRPr="00D206AA" w:rsidRDefault="00651A13" w:rsidP="00287CE1">
            <w:pPr>
              <w:ind w:left="28"/>
              <w:rPr>
                <w:rFonts w:ascii="Arial" w:hAnsi="Arial" w:cs="Arial"/>
                <w:color w:val="000000"/>
                <w:sz w:val="24"/>
                <w:szCs w:val="24"/>
                <w:lang w:eastAsia="en-GB"/>
              </w:rPr>
            </w:pPr>
          </w:p>
          <w:p w:rsidR="00651A13" w:rsidRPr="00D206AA" w:rsidRDefault="00651A13" w:rsidP="00651A13">
            <w:pPr>
              <w:pStyle w:val="ListParagraph"/>
              <w:numPr>
                <w:ilvl w:val="0"/>
                <w:numId w:val="3"/>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rsidR="00651A13" w:rsidRPr="00D206AA" w:rsidRDefault="00651A13" w:rsidP="00651A13">
            <w:pPr>
              <w:pStyle w:val="ListParagraph"/>
              <w:numPr>
                <w:ilvl w:val="0"/>
                <w:numId w:val="3"/>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rsidR="00651A13" w:rsidRPr="00D206AA" w:rsidRDefault="00651A13" w:rsidP="00651A13">
            <w:pPr>
              <w:pStyle w:val="ListParagraph"/>
              <w:numPr>
                <w:ilvl w:val="0"/>
                <w:numId w:val="3"/>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rsidR="00651A13" w:rsidRPr="00D206AA" w:rsidRDefault="00651A13" w:rsidP="00287CE1">
            <w:pPr>
              <w:ind w:left="28"/>
              <w:rPr>
                <w:rFonts w:ascii="Arial" w:hAnsi="Arial" w:cs="Arial"/>
                <w:color w:val="000000"/>
                <w:sz w:val="24"/>
                <w:szCs w:val="24"/>
                <w:lang w:eastAsia="en-GB"/>
              </w:rPr>
            </w:pP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3"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651A13" w:rsidRPr="006E5EB2" w:rsidTr="00287CE1">
        <w:tc>
          <w:tcPr>
            <w:tcW w:w="2544" w:type="dxa"/>
          </w:tcPr>
          <w:p w:rsidR="00651A13" w:rsidRPr="00D206AA" w:rsidRDefault="00651A13" w:rsidP="00287CE1">
            <w:pPr>
              <w:rPr>
                <w:rFonts w:ascii="Arial" w:hAnsi="Arial" w:cs="Arial"/>
                <w:sz w:val="24"/>
                <w:szCs w:val="24"/>
              </w:rPr>
            </w:pPr>
            <w:r w:rsidRPr="00D206AA">
              <w:rPr>
                <w:rFonts w:ascii="Arial" w:hAnsi="Arial" w:cs="Arial"/>
                <w:b/>
                <w:color w:val="000000"/>
                <w:sz w:val="24"/>
                <w:szCs w:val="24"/>
                <w:lang w:eastAsia="en-GB"/>
              </w:rPr>
              <w:t>Rights to object</w:t>
            </w:r>
          </w:p>
          <w:p w:rsidR="00651A13" w:rsidRPr="00D206AA" w:rsidRDefault="00651A13" w:rsidP="00287CE1">
            <w:pPr>
              <w:rPr>
                <w:rFonts w:ascii="Arial" w:hAnsi="Arial" w:cs="Arial"/>
                <w:sz w:val="24"/>
                <w:szCs w:val="24"/>
              </w:rPr>
            </w:pPr>
          </w:p>
        </w:tc>
        <w:tc>
          <w:tcPr>
            <w:tcW w:w="6472" w:type="dxa"/>
          </w:tcPr>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rsidR="00651A13" w:rsidRPr="00D206AA" w:rsidRDefault="00651A13" w:rsidP="00287CE1">
            <w:pPr>
              <w:ind w:left="28"/>
              <w:rPr>
                <w:rFonts w:ascii="Arial" w:hAnsi="Arial" w:cs="Arial"/>
                <w:color w:val="000000"/>
                <w:sz w:val="24"/>
                <w:szCs w:val="24"/>
                <w:lang w:eastAsia="en-GB"/>
              </w:rPr>
            </w:pPr>
          </w:p>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lastRenderedPageBreak/>
              <w:t xml:space="preserve">The National Data opt-out can be applied </w:t>
            </w:r>
            <w:hyperlink r:id="rId14"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rsidR="00651A13" w:rsidRPr="00D206AA" w:rsidRDefault="00651A13" w:rsidP="00287CE1">
            <w:pPr>
              <w:ind w:left="28"/>
              <w:rPr>
                <w:rFonts w:ascii="Arial" w:hAnsi="Arial" w:cs="Arial"/>
                <w:sz w:val="24"/>
                <w:szCs w:val="24"/>
              </w:rPr>
            </w:pPr>
          </w:p>
        </w:tc>
      </w:tr>
      <w:tr w:rsidR="00651A13" w:rsidRPr="006E5EB2" w:rsidTr="00287CE1">
        <w:tc>
          <w:tcPr>
            <w:tcW w:w="2544" w:type="dxa"/>
          </w:tcPr>
          <w:p w:rsidR="00651A13" w:rsidRPr="00D206AA" w:rsidRDefault="00651A13" w:rsidP="00287CE1">
            <w:pPr>
              <w:rPr>
                <w:rFonts w:ascii="Arial" w:hAnsi="Arial" w:cs="Arial"/>
                <w:b/>
                <w:color w:val="000000"/>
                <w:sz w:val="24"/>
                <w:szCs w:val="24"/>
                <w:lang w:eastAsia="en-GB"/>
              </w:rPr>
            </w:pPr>
          </w:p>
        </w:tc>
        <w:tc>
          <w:tcPr>
            <w:tcW w:w="6472" w:type="dxa"/>
          </w:tcPr>
          <w:p w:rsidR="00651A13" w:rsidRPr="00D206AA" w:rsidRDefault="00651A13" w:rsidP="00287CE1">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rsidR="00651A13" w:rsidRDefault="00651A13" w:rsidP="00651A13"/>
    <w:p w:rsidR="0082405F" w:rsidRDefault="0082405F"/>
    <w:sectPr w:rsidR="0082405F" w:rsidSect="0044335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71F" w:rsidRDefault="00651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71F" w:rsidRDefault="00651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71F" w:rsidRDefault="00651A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71F" w:rsidRDefault="00651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D" w:rsidRDefault="00651A13" w:rsidP="0027259D">
    <w:pPr>
      <w:pStyle w:val="Header"/>
      <w:jc w:val="right"/>
    </w:pPr>
    <w:r>
      <w:t xml:space="preserve">Draft </w:t>
    </w:r>
    <w:r>
      <w:t xml:space="preserve">GP </w:t>
    </w:r>
    <w:r>
      <w:t xml:space="preserve">Commissioning, Planning, Risk Stratification and Research </w:t>
    </w:r>
    <w:r>
      <w:t>Privacy Notice Template</w:t>
    </w:r>
  </w:p>
  <w:p w:rsidR="0027259D" w:rsidRDefault="00651A13"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71F" w:rsidRDefault="00651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1"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13"/>
    <w:rsid w:val="00651A13"/>
    <w:rsid w:val="0082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15A9"/>
  <w15:chartTrackingRefBased/>
  <w15:docId w15:val="{94B4D3DD-3A57-44EE-922A-B02DAE0D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A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51A13"/>
    <w:rPr>
      <w:color w:val="0563C1" w:themeColor="hyperlink"/>
      <w:u w:val="single"/>
    </w:rPr>
  </w:style>
  <w:style w:type="table" w:styleId="TableGrid">
    <w:name w:val="Table Grid"/>
    <w:basedOn w:val="TableNormal"/>
    <w:uiPriority w:val="39"/>
    <w:rsid w:val="0065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1A13"/>
    <w:pPr>
      <w:ind w:left="720"/>
      <w:contextualSpacing/>
    </w:pPr>
  </w:style>
  <w:style w:type="paragraph" w:styleId="Header">
    <w:name w:val="header"/>
    <w:basedOn w:val="Normal"/>
    <w:link w:val="HeaderChar"/>
    <w:uiPriority w:val="99"/>
    <w:unhideWhenUsed/>
    <w:rsid w:val="00651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A13"/>
  </w:style>
  <w:style w:type="paragraph" w:styleId="Footer">
    <w:name w:val="footer"/>
    <w:basedOn w:val="Normal"/>
    <w:link w:val="FooterChar"/>
    <w:uiPriority w:val="99"/>
    <w:unhideWhenUsed/>
    <w:rsid w:val="00651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13"/>
  </w:style>
  <w:style w:type="character" w:styleId="CommentReference">
    <w:name w:val="annotation reference"/>
    <w:basedOn w:val="DefaultParagraphFont"/>
    <w:uiPriority w:val="99"/>
    <w:semiHidden/>
    <w:unhideWhenUsed/>
    <w:rsid w:val="00651A13"/>
    <w:rPr>
      <w:sz w:val="16"/>
      <w:szCs w:val="16"/>
    </w:rPr>
  </w:style>
  <w:style w:type="paragraph" w:styleId="CommentText">
    <w:name w:val="annotation text"/>
    <w:basedOn w:val="Normal"/>
    <w:link w:val="CommentTextChar"/>
    <w:uiPriority w:val="99"/>
    <w:unhideWhenUsed/>
    <w:rsid w:val="00651A13"/>
    <w:pPr>
      <w:spacing w:line="240" w:lineRule="auto"/>
    </w:pPr>
    <w:rPr>
      <w:sz w:val="20"/>
      <w:szCs w:val="20"/>
    </w:rPr>
  </w:style>
  <w:style w:type="character" w:customStyle="1" w:styleId="CommentTextChar">
    <w:name w:val="Comment Text Char"/>
    <w:basedOn w:val="DefaultParagraphFont"/>
    <w:link w:val="CommentText"/>
    <w:uiPriority w:val="99"/>
    <w:rsid w:val="00651A13"/>
    <w:rPr>
      <w:sz w:val="20"/>
      <w:szCs w:val="20"/>
    </w:rPr>
  </w:style>
  <w:style w:type="character" w:customStyle="1" w:styleId="ListParagraphChar">
    <w:name w:val="List Paragraph Char"/>
    <w:link w:val="ListParagraph"/>
    <w:uiPriority w:val="34"/>
    <w:locked/>
    <w:rsid w:val="00651A13"/>
  </w:style>
  <w:style w:type="paragraph" w:styleId="BalloonText">
    <w:name w:val="Balloon Text"/>
    <w:basedOn w:val="Normal"/>
    <w:link w:val="BalloonTextChar"/>
    <w:uiPriority w:val="99"/>
    <w:semiHidden/>
    <w:unhideWhenUsed/>
    <w:rsid w:val="0065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3" Type="http://schemas.openxmlformats.org/officeDocument/2006/relationships/hyperlink" Target="https://digital.nhs.uk/services/national-data-opt-out/operational-policy-guidance-document/policy-considerations-for-specific-organisations-or-purpos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br01.safelinks.protection.outlook.com/?url=https%3A%2F%2Fpractice365.co.uk%2Fg82697%2F&amp;data=05%7C02%7Ckay.gillham%40nhs.net%7C7428f60fd83d4e6738a608dc3393a57b%7C37c354b285b047f5b22207b48d774ee3%7C0%7C0%7C638441956432678453%7CUnknown%7CTWFpbGZsb3d8eyJWIjoiMC4wLjAwMDAiLCJQIjoiV2luMzIiLCJBTiI6Ik1haWwiLCJXVCI6Mn0%3D%7C0%7C%7C%7C&amp;sdata=1dweKGiBX76pbHWe9bgNaEFdYRVAY2mpKL6VIrafueA%3D&amp;reserved=0" TargetMode="External"/><Relationship Id="rId12" Type="http://schemas.openxmlformats.org/officeDocument/2006/relationships/hyperlink" Target="https://www.hra.nhs.uk/approvals-amendments/what-approvals-do-i-need/confidentiality-advisory-grou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gbr01.safelinks.protection.outlook.com/?url=https%3A%2F%2Fpractice365.co.uk%2Fg82697%2F&amp;data=05%7C02%7Ckay.gillham%40nhs.net%7C7428f60fd83d4e6738a608dc3393a57b%7C37c354b285b047f5b22207b48d774ee3%7C0%7C0%7C638441956432678453%7CUnknown%7CTWFpbGZsb3d8eyJWIjoiMC4wLjAwMDAiLCJQIjoiV2luMzIiLCJBTiI6Ik1haWwiLCJXVCI6Mn0%3D%7C0%7C%7C%7C&amp;sdata=1dweKGiBX76pbHWe9bgNaEFdYRVAY2mpKL6VIrafueA%3D&amp;reserved=0" TargetMode="External"/><Relationship Id="rId11" Type="http://schemas.openxmlformats.org/officeDocument/2006/relationships/hyperlink" Target="https://digital.nhs.uk/services/national-data-opt-out" TargetMode="External"/><Relationship Id="rId5" Type="http://schemas.openxmlformats.org/officeDocument/2006/relationships/hyperlink" Target="https://www.hra.nhs.uk/planning-and-improving-research/policies-standards-legislation/data-protection-and-information-governance/" TargetMode="External"/><Relationship Id="rId15" Type="http://schemas.openxmlformats.org/officeDocument/2006/relationships/header" Target="header1.xml"/><Relationship Id="rId10" Type="http://schemas.openxmlformats.org/officeDocument/2006/relationships/hyperlink" Target="https://digital.nhs.uk/services/data-access-request-service-dars/copi-guidanc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igital.nhs.uk/services/general-practice-extraction-service" TargetMode="External"/><Relationship Id="rId14" Type="http://schemas.openxmlformats.org/officeDocument/2006/relationships/hyperlink" Target="https://digital.nhs.uk/services/national-data-opt-o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Bonner</dc:creator>
  <cp:keywords/>
  <dc:description/>
  <cp:lastModifiedBy>Toni Bonner</cp:lastModifiedBy>
  <cp:revision>1</cp:revision>
  <dcterms:created xsi:type="dcterms:W3CDTF">2024-02-22T11:34:00Z</dcterms:created>
  <dcterms:modified xsi:type="dcterms:W3CDTF">2024-02-22T11:42:00Z</dcterms:modified>
</cp:coreProperties>
</file>