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7FDB" w14:textId="4DC796E0" w:rsidR="003A1ECC" w:rsidRDefault="003A1ECC" w:rsidP="003A1ECC">
      <w:pPr>
        <w:jc w:val="center"/>
        <w:outlineLvl w:val="0"/>
        <w:rPr>
          <w:b/>
          <w:sz w:val="36"/>
        </w:rPr>
      </w:pPr>
      <w:r w:rsidRPr="008E2758">
        <w:rPr>
          <w:b/>
          <w:sz w:val="36"/>
        </w:rPr>
        <w:t>Privacy Notice</w:t>
      </w:r>
      <w:r w:rsidR="00E3134D">
        <w:rPr>
          <w:b/>
          <w:sz w:val="36"/>
        </w:rPr>
        <w:t xml:space="preserve"> on </w:t>
      </w:r>
      <w:r w:rsidR="00962BCC">
        <w:rPr>
          <w:b/>
          <w:sz w:val="36"/>
        </w:rPr>
        <w:t>Care Quality Commission (CQC)</w:t>
      </w:r>
    </w:p>
    <w:p w14:paraId="2D2E70CF" w14:textId="7CF4004A" w:rsidR="003165CE" w:rsidRDefault="003165CE" w:rsidP="00D0113A">
      <w:pPr>
        <w:spacing w:after="0" w:line="240" w:lineRule="auto"/>
        <w:rPr>
          <w:rFonts w:eastAsia="Times New Roman" w:cstheme="minorHAnsi"/>
          <w:color w:val="000000"/>
          <w:lang w:eastAsia="en-GB"/>
        </w:rPr>
      </w:pPr>
    </w:p>
    <w:p w14:paraId="5705AF77" w14:textId="215971FE" w:rsidR="00957DF7" w:rsidRPr="00957DF7" w:rsidRDefault="00957DF7" w:rsidP="00962BCC">
      <w:pPr>
        <w:spacing w:after="0" w:line="240" w:lineRule="auto"/>
        <w:rPr>
          <w:rFonts w:eastAsia="Times New Roman" w:cstheme="minorHAnsi"/>
          <w:b/>
          <w:color w:val="000000"/>
          <w:sz w:val="24"/>
          <w:lang w:eastAsia="en-GB"/>
        </w:rPr>
      </w:pPr>
      <w:r w:rsidRPr="00957DF7">
        <w:rPr>
          <w:rFonts w:eastAsia="Times New Roman" w:cstheme="minorHAnsi"/>
          <w:b/>
          <w:color w:val="000000"/>
          <w:sz w:val="24"/>
          <w:lang w:eastAsia="en-GB"/>
        </w:rPr>
        <w:t>Plain English explanation</w:t>
      </w:r>
    </w:p>
    <w:p w14:paraId="19C3B291" w14:textId="0C273415" w:rsidR="00A253A0" w:rsidRDefault="00962BCC" w:rsidP="00962BCC">
      <w:pPr>
        <w:spacing w:after="0" w:line="240" w:lineRule="auto"/>
        <w:rPr>
          <w:rFonts w:eastAsia="Times New Roman" w:cstheme="minorHAnsi"/>
          <w:color w:val="000000"/>
          <w:lang w:eastAsia="en-GB"/>
        </w:rPr>
      </w:pPr>
      <w:r w:rsidRPr="00962BCC">
        <w:rPr>
          <w:rFonts w:eastAsia="Times New Roman" w:cstheme="minorHAnsi"/>
          <w:color w:val="000000"/>
          <w:lang w:eastAsia="en-GB"/>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w:t>
      </w:r>
    </w:p>
    <w:p w14:paraId="16527DD5" w14:textId="77777777" w:rsidR="00A253A0" w:rsidRDefault="00A253A0" w:rsidP="00962BCC">
      <w:pPr>
        <w:spacing w:after="0" w:line="240" w:lineRule="auto"/>
        <w:rPr>
          <w:rFonts w:eastAsia="Times New Roman" w:cstheme="minorHAnsi"/>
          <w:color w:val="000000"/>
          <w:lang w:eastAsia="en-GB"/>
        </w:rPr>
      </w:pPr>
    </w:p>
    <w:p w14:paraId="46726083" w14:textId="03A61A7A" w:rsidR="00962BCC" w:rsidRDefault="00962BCC" w:rsidP="00962BCC">
      <w:pPr>
        <w:spacing w:after="0" w:line="240" w:lineRule="auto"/>
        <w:rPr>
          <w:rFonts w:eastAsia="Times New Roman" w:cstheme="minorHAnsi"/>
          <w:color w:val="000000"/>
          <w:lang w:eastAsia="en-GB"/>
        </w:rPr>
      </w:pPr>
      <w:r w:rsidRPr="00962BCC">
        <w:rPr>
          <w:rFonts w:eastAsia="Times New Roman" w:cstheme="minorHAnsi"/>
          <w:color w:val="000000"/>
          <w:lang w:eastAsia="en-GB"/>
        </w:rPr>
        <w:t xml:space="preserve">The law allows </w:t>
      </w:r>
      <w:r w:rsidR="00363E08">
        <w:rPr>
          <w:rFonts w:eastAsia="Times New Roman" w:cstheme="minorHAnsi"/>
          <w:color w:val="000000"/>
          <w:lang w:eastAsia="en-GB"/>
        </w:rPr>
        <w:t xml:space="preserve">the </w:t>
      </w:r>
      <w:r w:rsidRPr="00962BCC">
        <w:rPr>
          <w:rFonts w:eastAsia="Times New Roman" w:cstheme="minorHAnsi"/>
          <w:color w:val="000000"/>
          <w:lang w:eastAsia="en-GB"/>
        </w:rPr>
        <w:t xml:space="preserve">CQC to access identifiable patient data as well as requiring this practice to share certain types of data with them in certain circumstances, for instance following a significant safety incident. </w:t>
      </w:r>
    </w:p>
    <w:p w14:paraId="2F1238F3" w14:textId="77777777" w:rsidR="00962BCC" w:rsidRPr="00962BCC" w:rsidRDefault="00962BCC" w:rsidP="00962BCC">
      <w:pPr>
        <w:spacing w:after="0" w:line="240" w:lineRule="auto"/>
        <w:rPr>
          <w:rFonts w:eastAsia="Times New Roman" w:cstheme="minorHAnsi"/>
          <w:color w:val="000000"/>
          <w:lang w:eastAsia="en-GB"/>
        </w:rPr>
      </w:pPr>
    </w:p>
    <w:p w14:paraId="2CED5CEE" w14:textId="77777777" w:rsidR="00962BCC" w:rsidRPr="00962BCC" w:rsidRDefault="00962BCC" w:rsidP="00962BCC">
      <w:pPr>
        <w:spacing w:after="0" w:line="240" w:lineRule="auto"/>
        <w:rPr>
          <w:rFonts w:eastAsia="Times New Roman" w:cstheme="minorHAnsi"/>
          <w:color w:val="000000"/>
          <w:lang w:eastAsia="en-GB"/>
        </w:rPr>
      </w:pPr>
      <w:r w:rsidRPr="00962BCC">
        <w:rPr>
          <w:rFonts w:eastAsia="Times New Roman" w:cstheme="minorHAnsi"/>
          <w:color w:val="000000"/>
          <w:lang w:eastAsia="en-GB"/>
        </w:rPr>
        <w:t xml:space="preserve">For more information about the CQC see: </w:t>
      </w:r>
      <w:hyperlink r:id="rId8" w:history="1">
        <w:r w:rsidRPr="00962BCC">
          <w:rPr>
            <w:rStyle w:val="Hyperlink"/>
            <w:rFonts w:asciiTheme="minorHAnsi" w:eastAsia="Times New Roman" w:hAnsiTheme="minorHAnsi" w:cstheme="minorHAnsi"/>
            <w:lang w:eastAsia="en-GB"/>
          </w:rPr>
          <w:t>http://www.cqc.org.uk/</w:t>
        </w:r>
      </w:hyperlink>
    </w:p>
    <w:p w14:paraId="37BC0CD2" w14:textId="77777777" w:rsidR="00962BCC" w:rsidRDefault="00962BCC" w:rsidP="00D0113A">
      <w:pPr>
        <w:spacing w:after="0" w:line="240" w:lineRule="auto"/>
        <w:rPr>
          <w:rFonts w:eastAsia="Times New Roman" w:cstheme="minorHAnsi"/>
          <w:color w:val="000000"/>
          <w:lang w:eastAsia="en-GB"/>
        </w:rPr>
      </w:pPr>
    </w:p>
    <w:p w14:paraId="21F6FAB7" w14:textId="2D8C18A3" w:rsidR="003A1ECC" w:rsidRDefault="003165CE" w:rsidP="00D0113A">
      <w:pPr>
        <w:spacing w:after="0" w:line="240" w:lineRule="auto"/>
      </w:pPr>
      <w:r w:rsidRPr="003165CE">
        <w:t>We are required by law to provide you with the following information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45ECE0B8" w:rsidR="0078430A" w:rsidRPr="00E12311" w:rsidRDefault="0078430A">
            <w:pPr>
              <w:rPr>
                <w:b/>
              </w:rPr>
            </w:pPr>
            <w:r w:rsidRPr="00E12311">
              <w:rPr>
                <w:b/>
                <w:sz w:val="24"/>
              </w:rPr>
              <w:t>Burney Street Practice</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7E54806C" w14:textId="151911CF" w:rsidR="009232D0" w:rsidRDefault="00A253A0">
            <w:r w:rsidRPr="00EE430E">
              <w:t>Danielle Gibbons</w:t>
            </w:r>
            <w:r>
              <w:t xml:space="preserve">, </w:t>
            </w:r>
            <w:r w:rsidR="00E12311">
              <w:t>GP Data Protection Officer</w:t>
            </w:r>
            <w:bookmarkStart w:id="0" w:name="_GoBack"/>
            <w:bookmarkEnd w:id="0"/>
          </w:p>
          <w:p w14:paraId="20F89057" w14:textId="78021616" w:rsidR="00A253A0" w:rsidRDefault="00E12311">
            <w:hyperlink r:id="rId9" w:history="1">
              <w:r w:rsidR="00A253A0" w:rsidRPr="00125343">
                <w:rPr>
                  <w:rStyle w:val="Hyperlink"/>
                  <w:rFonts w:asciiTheme="minorHAnsi" w:hAnsiTheme="minorHAnsi" w:cstheme="minorBidi"/>
                </w:rPr>
                <w:t>gpdpo@selondonics.nhs.uk</w:t>
              </w:r>
            </w:hyperlink>
            <w:r w:rsidR="00A253A0">
              <w:t xml:space="preserve"> </w:t>
            </w:r>
          </w:p>
        </w:tc>
      </w:tr>
      <w:tr w:rsidR="009232D0" w14:paraId="6821EFCF" w14:textId="77777777" w:rsidTr="009232D0">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6611" w:type="dxa"/>
            <w:shd w:val="clear" w:color="auto" w:fill="D9E2F3" w:themeFill="accent1" w:themeFillTint="33"/>
            <w:vAlign w:val="center"/>
          </w:tcPr>
          <w:p w14:paraId="6A15F300" w14:textId="77777777" w:rsidR="003952B4" w:rsidRDefault="00A253A0" w:rsidP="00A253A0">
            <w:pPr>
              <w:rPr>
                <w:color w:val="000000" w:themeColor="text1"/>
              </w:rPr>
            </w:pPr>
            <w:r w:rsidRPr="00A253A0">
              <w:rPr>
                <w:color w:val="000000" w:themeColor="text1"/>
              </w:rPr>
              <w:t>To meet the legal obligation to provide the Department of Health with information and reports on the status, activity and performance of NHS GP practices. This may include identifiable patient data.</w:t>
            </w:r>
          </w:p>
          <w:p w14:paraId="59C7FC2B" w14:textId="7987CED0" w:rsidR="00A253A0" w:rsidRPr="00295D24" w:rsidRDefault="00A253A0" w:rsidP="00A253A0">
            <w:pPr>
              <w:rPr>
                <w:color w:val="000000" w:themeColor="text1"/>
              </w:rPr>
            </w:pPr>
          </w:p>
        </w:tc>
      </w:tr>
      <w:tr w:rsidR="009232D0" w14:paraId="1D4E72F5" w14:textId="77777777" w:rsidTr="009232D0">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6611" w:type="dxa"/>
            <w:shd w:val="clear" w:color="auto" w:fill="D9E2F3" w:themeFill="accent1" w:themeFillTint="33"/>
            <w:vAlign w:val="center"/>
          </w:tcPr>
          <w:p w14:paraId="765C9FA3" w14:textId="77777777" w:rsidR="00962BCC" w:rsidRPr="00962BCC" w:rsidRDefault="00962BCC" w:rsidP="00962BCC">
            <w:r w:rsidRPr="00962BCC">
              <w:t xml:space="preserve">The legal basis will be </w:t>
            </w:r>
          </w:p>
          <w:p w14:paraId="5A6521CE" w14:textId="43DC4087" w:rsidR="00962BCC" w:rsidRDefault="00962BCC" w:rsidP="00962BCC">
            <w:r w:rsidRPr="00962BCC">
              <w:rPr>
                <w:i/>
              </w:rPr>
              <w:t>Article 6(1)(c) “processing is necessary for compliance with a legal obligation to which the controller is subject.”</w:t>
            </w:r>
            <w:r w:rsidRPr="00962BCC">
              <w:t xml:space="preserve"> </w:t>
            </w:r>
          </w:p>
          <w:p w14:paraId="73A44572" w14:textId="77777777" w:rsidR="00962BCC" w:rsidRPr="00962BCC" w:rsidRDefault="00962BCC" w:rsidP="00962BCC"/>
          <w:p w14:paraId="74CEC3C2" w14:textId="00090E6B" w:rsidR="00962BCC" w:rsidRDefault="00962BCC" w:rsidP="00962BCC">
            <w:r w:rsidRPr="00962BCC">
              <w:t xml:space="preserve">And </w:t>
            </w:r>
          </w:p>
          <w:p w14:paraId="767AD6D7" w14:textId="77777777" w:rsidR="00962BCC" w:rsidRPr="00962BCC" w:rsidRDefault="00962BCC" w:rsidP="00962BCC"/>
          <w:p w14:paraId="297BE70C" w14:textId="77777777" w:rsidR="003952B4" w:rsidRDefault="00962BCC" w:rsidP="00962BCC">
            <w:pPr>
              <w:rPr>
                <w:i/>
              </w:rPr>
            </w:pPr>
            <w:r w:rsidRPr="00962BCC">
              <w:rPr>
                <w:i/>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22E744FD" w14:textId="67184780" w:rsidR="00A253A0" w:rsidRDefault="00A253A0" w:rsidP="00962BCC"/>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4D7ED99F" w14:textId="652A6E61" w:rsidR="003165CE" w:rsidRPr="005355AB" w:rsidRDefault="00962BCC" w:rsidP="00962BCC">
            <w:r w:rsidRPr="00962BCC">
              <w:t>The data will be shared with the Care Quality Commission, its officers and staff and members of the inspection teams that visit us from time to time.</w:t>
            </w:r>
          </w:p>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t>Your right to object</w:t>
            </w:r>
          </w:p>
        </w:tc>
        <w:tc>
          <w:tcPr>
            <w:tcW w:w="6611" w:type="dxa"/>
            <w:shd w:val="clear" w:color="auto" w:fill="D9E2F3" w:themeFill="accent1" w:themeFillTint="33"/>
            <w:vAlign w:val="center"/>
          </w:tcPr>
          <w:p w14:paraId="73F7EFE0" w14:textId="77777777" w:rsidR="00962BCC" w:rsidRPr="00962BCC" w:rsidRDefault="00962BCC" w:rsidP="00962BCC">
            <w:r w:rsidRPr="00962BCC">
              <w:t>You have the right to object to some or all of the information being shared with NHS Digital. Contact the Data Controller or the practice.</w:t>
            </w:r>
          </w:p>
          <w:p w14:paraId="29E117BE" w14:textId="2AB16EE4" w:rsidR="00B94332" w:rsidRDefault="00B94332" w:rsidP="005355AB"/>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6611" w:type="dxa"/>
            <w:shd w:val="clear" w:color="auto" w:fill="D9E2F3" w:themeFill="accent1" w:themeFillTint="33"/>
            <w:vAlign w:val="center"/>
          </w:tcPr>
          <w:p w14:paraId="5BF4A11D" w14:textId="15D40D04" w:rsidR="009232D0" w:rsidRDefault="005355AB">
            <w:r w:rsidRPr="005355AB">
              <w:t>You have the right to access the data that is being shared and have any inaccuracies corrected. There is no right to have accurate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7806B0B6" w:rsidR="009232D0" w:rsidRPr="009232D0" w:rsidRDefault="00B94332">
            <w:pPr>
              <w:rPr>
                <w:b/>
              </w:rPr>
            </w:pPr>
            <w:r>
              <w:rPr>
                <w:b/>
              </w:rPr>
              <w:lastRenderedPageBreak/>
              <w:t>Retention period</w:t>
            </w:r>
          </w:p>
        </w:tc>
        <w:tc>
          <w:tcPr>
            <w:tcW w:w="6611" w:type="dxa"/>
            <w:shd w:val="clear" w:color="auto" w:fill="D9E2F3" w:themeFill="accent1" w:themeFillTint="33"/>
            <w:vAlign w:val="center"/>
          </w:tcPr>
          <w:p w14:paraId="10C8B81E" w14:textId="77777777" w:rsidR="009232D0" w:rsidRDefault="00437448">
            <w:r>
              <w:t>We retain your personal data in line with both national guidance and law, which can be found here:</w:t>
            </w:r>
          </w:p>
          <w:p w14:paraId="21B887C0" w14:textId="77777777" w:rsidR="00437448" w:rsidRDefault="00437448"/>
          <w:p w14:paraId="33550DCC" w14:textId="68966FF2" w:rsidR="00437448" w:rsidRPr="00962BCC" w:rsidRDefault="00E12311">
            <w:pPr>
              <w:rPr>
                <w:rFonts w:cstheme="minorHAnsi"/>
                <w:lang w:eastAsia="en-GB"/>
              </w:rPr>
            </w:pPr>
            <w:hyperlink r:id="rId10" w:history="1">
              <w:r w:rsidR="00437448" w:rsidRPr="00181069">
                <w:rPr>
                  <w:rStyle w:val="Hyperlink"/>
                  <w:rFonts w:asciiTheme="minorHAnsi" w:hAnsiTheme="minorHAnsi" w:cstheme="minorHAnsi"/>
                  <w:lang w:eastAsia="en-GB"/>
                </w:rPr>
                <w:t>https://digital.nhs.uk/article/1202/Records-Management-Code-of-Practice-for-Health-and-Social-Care-2016</w:t>
              </w:r>
            </w:hyperlink>
          </w:p>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E12311" w:rsidP="00437448">
            <w:hyperlink r:id="rId11"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536FABED" w14:textId="77777777" w:rsidR="009232D0" w:rsidRDefault="009232D0" w:rsidP="009232D0">
      <w:pPr>
        <w:rPr>
          <w:rFonts w:ascii="Calibri" w:eastAsia="Times New Roman" w:hAnsi="Calibri"/>
        </w:rPr>
      </w:pPr>
    </w:p>
    <w:p w14:paraId="7B538B8C" w14:textId="77777777" w:rsidR="009232D0" w:rsidRPr="009232D0" w:rsidRDefault="009232D0"/>
    <w:sectPr w:rsidR="009232D0" w:rsidRPr="009232D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3723" w14:textId="77777777" w:rsidR="00595CE1" w:rsidRDefault="00595CE1" w:rsidP="00F64786">
      <w:pPr>
        <w:spacing w:after="0" w:line="240" w:lineRule="auto"/>
      </w:pPr>
      <w:r>
        <w:separator/>
      </w:r>
    </w:p>
  </w:endnote>
  <w:endnote w:type="continuationSeparator" w:id="0">
    <w:p w14:paraId="453BEA6B" w14:textId="77777777" w:rsidR="00595CE1" w:rsidRDefault="00595CE1"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01EB" w14:textId="77777777" w:rsidR="00595CE1" w:rsidRDefault="00595CE1" w:rsidP="00F64786">
      <w:pPr>
        <w:spacing w:after="0" w:line="240" w:lineRule="auto"/>
      </w:pPr>
      <w:r>
        <w:separator/>
      </w:r>
    </w:p>
  </w:footnote>
  <w:footnote w:type="continuationSeparator" w:id="0">
    <w:p w14:paraId="663E323A" w14:textId="77777777" w:rsidR="00595CE1" w:rsidRDefault="00595CE1"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6F046F"/>
    <w:multiLevelType w:val="hybridMultilevel"/>
    <w:tmpl w:val="881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4"/>
  </w:num>
  <w:num w:numId="6">
    <w:abstractNumId w:val="1"/>
  </w:num>
  <w:num w:numId="7">
    <w:abstractNumId w:val="13"/>
  </w:num>
  <w:num w:numId="8">
    <w:abstractNumId w:val="3"/>
  </w:num>
  <w:num w:numId="9">
    <w:abstractNumId w:val="12"/>
  </w:num>
  <w:num w:numId="10">
    <w:abstractNumId w:val="2"/>
  </w:num>
  <w:num w:numId="11">
    <w:abstractNumId w:val="5"/>
  </w:num>
  <w:num w:numId="12">
    <w:abstractNumId w:val="7"/>
  </w:num>
  <w:num w:numId="13">
    <w:abstractNumId w:val="1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F0005"/>
    <w:rsid w:val="00100F12"/>
    <w:rsid w:val="001D2247"/>
    <w:rsid w:val="001D3DE0"/>
    <w:rsid w:val="002445F7"/>
    <w:rsid w:val="00274009"/>
    <w:rsid w:val="00295D24"/>
    <w:rsid w:val="003165CE"/>
    <w:rsid w:val="00354B51"/>
    <w:rsid w:val="00363E08"/>
    <w:rsid w:val="003952B4"/>
    <w:rsid w:val="003A1ECC"/>
    <w:rsid w:val="003B35CA"/>
    <w:rsid w:val="003E5065"/>
    <w:rsid w:val="00423762"/>
    <w:rsid w:val="00437448"/>
    <w:rsid w:val="004905EF"/>
    <w:rsid w:val="004F74C3"/>
    <w:rsid w:val="005140EB"/>
    <w:rsid w:val="00533ECC"/>
    <w:rsid w:val="005355AB"/>
    <w:rsid w:val="00550C93"/>
    <w:rsid w:val="0056375C"/>
    <w:rsid w:val="005662E4"/>
    <w:rsid w:val="00595CE1"/>
    <w:rsid w:val="00621170"/>
    <w:rsid w:val="00690A40"/>
    <w:rsid w:val="006B7C71"/>
    <w:rsid w:val="006E49B8"/>
    <w:rsid w:val="0078430A"/>
    <w:rsid w:val="008E2758"/>
    <w:rsid w:val="009232D0"/>
    <w:rsid w:val="00957DF7"/>
    <w:rsid w:val="00962BCC"/>
    <w:rsid w:val="00995258"/>
    <w:rsid w:val="009A4670"/>
    <w:rsid w:val="00A10E96"/>
    <w:rsid w:val="00A253A0"/>
    <w:rsid w:val="00A31903"/>
    <w:rsid w:val="00AB51B2"/>
    <w:rsid w:val="00AD3667"/>
    <w:rsid w:val="00AE2762"/>
    <w:rsid w:val="00B130D6"/>
    <w:rsid w:val="00B94332"/>
    <w:rsid w:val="00C23515"/>
    <w:rsid w:val="00C432C6"/>
    <w:rsid w:val="00CB0695"/>
    <w:rsid w:val="00D0113A"/>
    <w:rsid w:val="00E013E5"/>
    <w:rsid w:val="00E12311"/>
    <w:rsid w:val="00E3134D"/>
    <w:rsid w:val="00E76BFB"/>
    <w:rsid w:val="00F02A38"/>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20%20" TargetMode="External"/><Relationship Id="rId5" Type="http://schemas.openxmlformats.org/officeDocument/2006/relationships/webSettings" Target="webSetting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mailto:gpdpo@selondonics.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1300-25B4-4282-85C6-49BF523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5</cp:revision>
  <dcterms:created xsi:type="dcterms:W3CDTF">2023-10-17T11:48:00Z</dcterms:created>
  <dcterms:modified xsi:type="dcterms:W3CDTF">2023-10-27T12:41:00Z</dcterms:modified>
</cp:coreProperties>
</file>