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5191"/>
        <w:gridCol w:w="7759"/>
      </w:tblGrid>
      <w:tr w:rsidR="00EB0275" w:rsidRPr="00EB0275" w:rsidTr="00EB0275">
        <w:trPr>
          <w:trHeight w:val="1062"/>
        </w:trPr>
        <w:tc>
          <w:tcPr>
            <w:tcW w:w="9940" w:type="dxa"/>
            <w:hideMark/>
          </w:tcPr>
          <w:p w:rsidR="00EB0275" w:rsidRPr="00EB0275" w:rsidRDefault="00EB0275" w:rsidP="00EB0275">
            <w:pPr>
              <w:rPr>
                <w:rFonts w:asciiTheme="minorHAnsi" w:hAnsiTheme="minorHAnsi" w:cstheme="minorHAnsi"/>
                <w:b/>
                <w:bCs/>
                <w:lang w:val="en-GB"/>
              </w:rPr>
            </w:pPr>
            <w:r w:rsidRPr="00EB0275">
              <w:rPr>
                <w:rFonts w:asciiTheme="minorHAnsi" w:hAnsiTheme="minorHAnsi" w:cstheme="minorHAnsi"/>
                <w:b/>
                <w:bCs/>
              </w:rPr>
              <w:t xml:space="preserve">Question </w:t>
            </w:r>
          </w:p>
        </w:tc>
        <w:tc>
          <w:tcPr>
            <w:tcW w:w="15680" w:type="dxa"/>
            <w:hideMark/>
          </w:tcPr>
          <w:p w:rsidR="00EB0275" w:rsidRPr="00EB0275" w:rsidRDefault="00EB0275" w:rsidP="00EB0275">
            <w:pPr>
              <w:rPr>
                <w:rFonts w:asciiTheme="minorHAnsi" w:hAnsiTheme="minorHAnsi" w:cstheme="minorHAnsi"/>
                <w:b/>
                <w:bCs/>
              </w:rPr>
            </w:pPr>
            <w:r w:rsidRPr="00EB0275">
              <w:rPr>
                <w:rFonts w:asciiTheme="minorHAnsi" w:hAnsiTheme="minorHAnsi" w:cstheme="minorHAnsi"/>
                <w:b/>
                <w:bCs/>
              </w:rPr>
              <w:t>Answer</w:t>
            </w:r>
          </w:p>
        </w:tc>
      </w:tr>
      <w:tr w:rsidR="00EB0275" w:rsidRPr="00EB0275" w:rsidTr="00EB0275">
        <w:trPr>
          <w:trHeight w:val="315"/>
        </w:trPr>
        <w:tc>
          <w:tcPr>
            <w:tcW w:w="9940" w:type="dxa"/>
            <w:hideMark/>
          </w:tcPr>
          <w:p w:rsidR="00EB0275" w:rsidRPr="00EB0275" w:rsidRDefault="00EB0275">
            <w:pPr>
              <w:rPr>
                <w:rFonts w:asciiTheme="minorHAnsi" w:hAnsiTheme="minorHAnsi" w:cstheme="minorHAnsi"/>
              </w:rPr>
            </w:pPr>
            <w:r w:rsidRPr="00EB0275">
              <w:rPr>
                <w:rFonts w:asciiTheme="minorHAnsi" w:hAnsiTheme="minorHAnsi" w:cstheme="minorHAnsi"/>
              </w:rPr>
              <w:t>Are the practices taking new patients?</w:t>
            </w:r>
          </w:p>
        </w:tc>
        <w:tc>
          <w:tcPr>
            <w:tcW w:w="15680" w:type="dxa"/>
            <w:hideMark/>
          </w:tcPr>
          <w:p w:rsidR="00EB0275" w:rsidRPr="00EB0275" w:rsidRDefault="00EB0275">
            <w:pPr>
              <w:rPr>
                <w:rFonts w:asciiTheme="minorHAnsi" w:hAnsiTheme="minorHAnsi" w:cstheme="minorHAnsi"/>
              </w:rPr>
            </w:pPr>
            <w:r w:rsidRPr="00EB0275">
              <w:rPr>
                <w:rFonts w:asciiTheme="minorHAnsi" w:hAnsiTheme="minorHAnsi" w:cstheme="minorHAnsi"/>
              </w:rPr>
              <w:t>Yes, both sites will continue to register patients if within the catchment area.</w:t>
            </w:r>
          </w:p>
        </w:tc>
      </w:tr>
      <w:tr w:rsidR="00EB0275" w:rsidRPr="00EB0275" w:rsidTr="00EB0275">
        <w:trPr>
          <w:trHeight w:val="315"/>
        </w:trPr>
        <w:tc>
          <w:tcPr>
            <w:tcW w:w="9940" w:type="dxa"/>
            <w:hideMark/>
          </w:tcPr>
          <w:p w:rsidR="00EB0275" w:rsidRPr="00EB0275" w:rsidRDefault="00EB0275">
            <w:pPr>
              <w:rPr>
                <w:rFonts w:asciiTheme="minorHAnsi" w:hAnsiTheme="minorHAnsi" w:cstheme="minorHAnsi"/>
              </w:rPr>
            </w:pPr>
            <w:r w:rsidRPr="00EB0275">
              <w:rPr>
                <w:rFonts w:asciiTheme="minorHAnsi" w:hAnsiTheme="minorHAnsi" w:cstheme="minorHAnsi"/>
              </w:rPr>
              <w:t>Will this merger include blood tests being completed at the practice?</w:t>
            </w:r>
          </w:p>
        </w:tc>
        <w:tc>
          <w:tcPr>
            <w:tcW w:w="15680" w:type="dxa"/>
            <w:hideMark/>
          </w:tcPr>
          <w:p w:rsidR="00EB0275" w:rsidRPr="00EB0275" w:rsidRDefault="00EB0275">
            <w:pPr>
              <w:rPr>
                <w:rFonts w:asciiTheme="minorHAnsi" w:hAnsiTheme="minorHAnsi" w:cstheme="minorHAnsi"/>
              </w:rPr>
            </w:pPr>
            <w:r w:rsidRPr="00EB0275">
              <w:rPr>
                <w:rFonts w:asciiTheme="minorHAnsi" w:hAnsiTheme="minorHAnsi" w:cstheme="minorHAnsi"/>
              </w:rPr>
              <w:t>In the future we hope to provide this service once we have room capacity. Other local services will continue to support our patients for this service as well</w:t>
            </w:r>
          </w:p>
        </w:tc>
      </w:tr>
      <w:tr w:rsidR="00EB0275" w:rsidRPr="00EB0275" w:rsidTr="00EB0275">
        <w:trPr>
          <w:trHeight w:val="945"/>
        </w:trPr>
        <w:tc>
          <w:tcPr>
            <w:tcW w:w="9940" w:type="dxa"/>
            <w:hideMark/>
          </w:tcPr>
          <w:p w:rsidR="00EB0275" w:rsidRPr="00EB0275" w:rsidRDefault="00EB0275">
            <w:pPr>
              <w:rPr>
                <w:rFonts w:asciiTheme="minorHAnsi" w:hAnsiTheme="minorHAnsi" w:cstheme="minorHAnsi"/>
              </w:rPr>
            </w:pPr>
            <w:r w:rsidRPr="00EB0275">
              <w:rPr>
                <w:rFonts w:asciiTheme="minorHAnsi" w:hAnsiTheme="minorHAnsi" w:cstheme="minorHAnsi"/>
              </w:rPr>
              <w:t>The practices used to offer a counselling service, will this return?</w:t>
            </w:r>
          </w:p>
        </w:tc>
        <w:tc>
          <w:tcPr>
            <w:tcW w:w="15680" w:type="dxa"/>
            <w:hideMark/>
          </w:tcPr>
          <w:p w:rsidR="00EB0275" w:rsidRPr="00EB0275" w:rsidRDefault="00EB0275">
            <w:pPr>
              <w:rPr>
                <w:rFonts w:asciiTheme="minorHAnsi" w:hAnsiTheme="minorHAnsi" w:cstheme="minorHAnsi"/>
              </w:rPr>
            </w:pPr>
            <w:r w:rsidRPr="00EB0275">
              <w:rPr>
                <w:rFonts w:asciiTheme="minorHAnsi" w:hAnsiTheme="minorHAnsi" w:cstheme="minorHAnsi"/>
              </w:rPr>
              <w:t xml:space="preserve">GP surgeries in Bromley no longer provide counselling services, this is provided by Talk Together Bromley. Patients can access this through </w:t>
            </w:r>
            <w:proofErr w:type="spellStart"/>
            <w:r w:rsidRPr="00EB0275">
              <w:rPr>
                <w:rFonts w:asciiTheme="minorHAnsi" w:hAnsiTheme="minorHAnsi" w:cstheme="minorHAnsi"/>
              </w:rPr>
              <w:t>self referral</w:t>
            </w:r>
            <w:proofErr w:type="spellEnd"/>
            <w:r w:rsidRPr="00EB0275">
              <w:rPr>
                <w:rFonts w:asciiTheme="minorHAnsi" w:hAnsiTheme="minorHAnsi" w:cstheme="minorHAnsi"/>
              </w:rPr>
              <w:t xml:space="preserve"> or a GP referral. Bromley Y service is available for under 18 year olds. The practices have employed a Mental Health Practitioner through the Primary Care Network to support patients with mental health conditions. The practices will update patients when this service is active.</w:t>
            </w:r>
          </w:p>
        </w:tc>
      </w:tr>
      <w:tr w:rsidR="00EB0275" w:rsidRPr="00EB0275" w:rsidTr="00EB0275">
        <w:trPr>
          <w:trHeight w:val="1575"/>
        </w:trPr>
        <w:tc>
          <w:tcPr>
            <w:tcW w:w="9940" w:type="dxa"/>
            <w:hideMark/>
          </w:tcPr>
          <w:p w:rsidR="00EB0275" w:rsidRPr="00EB0275" w:rsidRDefault="00EB0275">
            <w:pPr>
              <w:rPr>
                <w:rFonts w:asciiTheme="minorHAnsi" w:hAnsiTheme="minorHAnsi" w:cstheme="minorHAnsi"/>
              </w:rPr>
            </w:pPr>
            <w:r w:rsidRPr="00EB0275">
              <w:rPr>
                <w:rFonts w:asciiTheme="minorHAnsi" w:hAnsiTheme="minorHAnsi" w:cstheme="minorHAnsi"/>
              </w:rPr>
              <w:t>Will the merger help reduce the long waiting times on the phones?</w:t>
            </w:r>
          </w:p>
        </w:tc>
        <w:tc>
          <w:tcPr>
            <w:tcW w:w="15680" w:type="dxa"/>
            <w:hideMark/>
          </w:tcPr>
          <w:p w:rsidR="00EB0275" w:rsidRPr="00EB0275" w:rsidRDefault="00EB0275">
            <w:pPr>
              <w:rPr>
                <w:rFonts w:asciiTheme="minorHAnsi" w:hAnsiTheme="minorHAnsi" w:cstheme="minorHAnsi"/>
              </w:rPr>
            </w:pPr>
            <w:r w:rsidRPr="00EB0275">
              <w:rPr>
                <w:rFonts w:asciiTheme="minorHAnsi" w:hAnsiTheme="minorHAnsi" w:cstheme="minorHAnsi"/>
              </w:rPr>
              <w:t xml:space="preserve">We acknowledge this is an issue aside from the merger, however yes we would like to reassure patients this is a continual area we are working to improve. Nationally there has been a huge increase in demand to access GP services. During the pandemic we have developed and adapted our systems to offer a hybrid of online and telephone service access points as well as offering a mix of telephone and face to face appointments.  We will be able to unite our phone systems across the two sites in due course, however we are already committed to contracts with our current providers which is costly to exit early. As soon as we're able to combine the contracts we will and update our patients. </w:t>
            </w:r>
          </w:p>
        </w:tc>
      </w:tr>
      <w:tr w:rsidR="00EB0275" w:rsidRPr="00EB0275" w:rsidTr="00EB0275">
        <w:trPr>
          <w:trHeight w:val="945"/>
        </w:trPr>
        <w:tc>
          <w:tcPr>
            <w:tcW w:w="9940" w:type="dxa"/>
            <w:hideMark/>
          </w:tcPr>
          <w:p w:rsidR="00EB0275" w:rsidRPr="00EB0275" w:rsidRDefault="00EB0275">
            <w:pPr>
              <w:rPr>
                <w:rFonts w:asciiTheme="minorHAnsi" w:hAnsiTheme="minorHAnsi" w:cstheme="minorHAnsi"/>
              </w:rPr>
            </w:pPr>
            <w:r w:rsidRPr="00EB0275">
              <w:rPr>
                <w:rFonts w:asciiTheme="minorHAnsi" w:hAnsiTheme="minorHAnsi" w:cstheme="minorHAnsi"/>
              </w:rPr>
              <w:t>Once the practices are merged, will you move to a new premises?</w:t>
            </w:r>
          </w:p>
        </w:tc>
        <w:tc>
          <w:tcPr>
            <w:tcW w:w="15680" w:type="dxa"/>
            <w:hideMark/>
          </w:tcPr>
          <w:p w:rsidR="00EB0275" w:rsidRPr="00EB0275" w:rsidRDefault="00EB0275">
            <w:pPr>
              <w:rPr>
                <w:rFonts w:asciiTheme="minorHAnsi" w:hAnsiTheme="minorHAnsi" w:cstheme="minorHAnsi"/>
              </w:rPr>
            </w:pPr>
            <w:r w:rsidRPr="00EB0275">
              <w:rPr>
                <w:rFonts w:asciiTheme="minorHAnsi" w:hAnsiTheme="minorHAnsi" w:cstheme="minorHAnsi"/>
              </w:rPr>
              <w:t xml:space="preserve">When we started discussing the merger, approximately 3 years ago, we shared a vision to strengthen our resilience for our patients and the plan was based on the two practices continuing to work across two premises. Ideally the longer term vision will include one larger building and we will continue to explore this option. </w:t>
            </w:r>
          </w:p>
        </w:tc>
      </w:tr>
      <w:tr w:rsidR="00EB0275" w:rsidRPr="00EB0275" w:rsidTr="00EB0275">
        <w:trPr>
          <w:trHeight w:val="630"/>
        </w:trPr>
        <w:tc>
          <w:tcPr>
            <w:tcW w:w="9940" w:type="dxa"/>
            <w:hideMark/>
          </w:tcPr>
          <w:p w:rsidR="00EB0275" w:rsidRPr="00EB0275" w:rsidRDefault="00EB0275">
            <w:pPr>
              <w:rPr>
                <w:rFonts w:asciiTheme="minorHAnsi" w:hAnsiTheme="minorHAnsi" w:cstheme="minorHAnsi"/>
              </w:rPr>
            </w:pPr>
            <w:r w:rsidRPr="00EB0275">
              <w:rPr>
                <w:rFonts w:asciiTheme="minorHAnsi" w:hAnsiTheme="minorHAnsi" w:cstheme="minorHAnsi"/>
              </w:rPr>
              <w:lastRenderedPageBreak/>
              <w:t>Assuming the practices will work towards one website for the merged practice, could it be more user friendly and easier to navigate?</w:t>
            </w:r>
          </w:p>
        </w:tc>
        <w:tc>
          <w:tcPr>
            <w:tcW w:w="15680" w:type="dxa"/>
            <w:hideMark/>
          </w:tcPr>
          <w:p w:rsidR="00EB0275" w:rsidRPr="00EB0275" w:rsidRDefault="00EB0275">
            <w:pPr>
              <w:rPr>
                <w:rFonts w:asciiTheme="minorHAnsi" w:hAnsiTheme="minorHAnsi" w:cstheme="minorHAnsi"/>
              </w:rPr>
            </w:pPr>
            <w:r w:rsidRPr="00EB0275">
              <w:rPr>
                <w:rFonts w:asciiTheme="minorHAnsi" w:hAnsiTheme="minorHAnsi" w:cstheme="minorHAnsi"/>
              </w:rPr>
              <w:t xml:space="preserve">The websites will be united and we take on board feedback. The PPG will be included in the creation process which will include obtaining feedback from our patients </w:t>
            </w:r>
          </w:p>
        </w:tc>
      </w:tr>
      <w:tr w:rsidR="00EB0275" w:rsidRPr="00EB0275" w:rsidTr="00EB0275">
        <w:trPr>
          <w:trHeight w:val="1260"/>
        </w:trPr>
        <w:tc>
          <w:tcPr>
            <w:tcW w:w="9940" w:type="dxa"/>
            <w:hideMark/>
          </w:tcPr>
          <w:p w:rsidR="00EB0275" w:rsidRPr="00EB0275" w:rsidRDefault="00EB0275">
            <w:pPr>
              <w:rPr>
                <w:rFonts w:asciiTheme="minorHAnsi" w:hAnsiTheme="minorHAnsi" w:cstheme="minorHAnsi"/>
              </w:rPr>
            </w:pPr>
            <w:r w:rsidRPr="00EB0275">
              <w:rPr>
                <w:rFonts w:asciiTheme="minorHAnsi" w:hAnsiTheme="minorHAnsi" w:cstheme="minorHAnsi"/>
              </w:rPr>
              <w:t>Will there be more face to face appointments made available?</w:t>
            </w:r>
          </w:p>
        </w:tc>
        <w:tc>
          <w:tcPr>
            <w:tcW w:w="15680" w:type="dxa"/>
            <w:hideMark/>
          </w:tcPr>
          <w:p w:rsidR="00EB0275" w:rsidRPr="00EB0275" w:rsidRDefault="00EB0275">
            <w:pPr>
              <w:rPr>
                <w:rFonts w:asciiTheme="minorHAnsi" w:hAnsiTheme="minorHAnsi" w:cstheme="minorHAnsi"/>
              </w:rPr>
            </w:pPr>
            <w:r w:rsidRPr="00EB0275">
              <w:rPr>
                <w:rFonts w:asciiTheme="minorHAnsi" w:hAnsiTheme="minorHAnsi" w:cstheme="minorHAnsi"/>
              </w:rPr>
              <w:t xml:space="preserve">The practices have been operating for some time with a model to offer patients a telephone or face to face appointment based on their medical needs. Appointments may depend on the urgency and whether the clinician would like to speak with the patient over the telephone or examine face to face. We currently offer flexibility with appointment types rather than the model during the pandemic which was telephone triage prior to a face to face appointment which caused appointment duplication. </w:t>
            </w:r>
          </w:p>
        </w:tc>
      </w:tr>
      <w:tr w:rsidR="00EB0275" w:rsidRPr="00EB0275" w:rsidTr="00EB0275">
        <w:trPr>
          <w:trHeight w:val="315"/>
        </w:trPr>
        <w:tc>
          <w:tcPr>
            <w:tcW w:w="9940" w:type="dxa"/>
            <w:hideMark/>
          </w:tcPr>
          <w:p w:rsidR="00EB0275" w:rsidRPr="00EB0275" w:rsidRDefault="00EB0275">
            <w:pPr>
              <w:rPr>
                <w:rFonts w:asciiTheme="minorHAnsi" w:hAnsiTheme="minorHAnsi" w:cstheme="minorHAnsi"/>
              </w:rPr>
            </w:pPr>
            <w:r w:rsidRPr="00EB0275">
              <w:rPr>
                <w:rFonts w:asciiTheme="minorHAnsi" w:hAnsiTheme="minorHAnsi" w:cstheme="minorHAnsi"/>
              </w:rPr>
              <w:t>I prefer to see the same GP, will I be able to continue with the same doctor?</w:t>
            </w:r>
          </w:p>
        </w:tc>
        <w:tc>
          <w:tcPr>
            <w:tcW w:w="15680" w:type="dxa"/>
            <w:hideMark/>
          </w:tcPr>
          <w:p w:rsidR="00EB0275" w:rsidRPr="00EB0275" w:rsidRDefault="00EB0275">
            <w:pPr>
              <w:rPr>
                <w:rFonts w:asciiTheme="minorHAnsi" w:hAnsiTheme="minorHAnsi" w:cstheme="minorHAnsi"/>
              </w:rPr>
            </w:pPr>
            <w:r w:rsidRPr="00EB0275">
              <w:rPr>
                <w:rFonts w:asciiTheme="minorHAnsi" w:hAnsiTheme="minorHAnsi" w:cstheme="minorHAnsi"/>
              </w:rPr>
              <w:t xml:space="preserve">Yes, patients will continue to have the choice to see their preferred GP and also access to more GPs at either practice </w:t>
            </w:r>
          </w:p>
        </w:tc>
      </w:tr>
      <w:tr w:rsidR="00EB0275" w:rsidRPr="00EB0275" w:rsidTr="00EB0275">
        <w:trPr>
          <w:trHeight w:val="630"/>
        </w:trPr>
        <w:tc>
          <w:tcPr>
            <w:tcW w:w="9940" w:type="dxa"/>
            <w:hideMark/>
          </w:tcPr>
          <w:p w:rsidR="00EB0275" w:rsidRPr="00EB0275" w:rsidRDefault="00EB0275">
            <w:pPr>
              <w:rPr>
                <w:rFonts w:asciiTheme="minorHAnsi" w:hAnsiTheme="minorHAnsi" w:cstheme="minorHAnsi"/>
              </w:rPr>
            </w:pPr>
            <w:r w:rsidRPr="00EB0275">
              <w:rPr>
                <w:rFonts w:asciiTheme="minorHAnsi" w:hAnsiTheme="minorHAnsi" w:cstheme="minorHAnsi"/>
              </w:rPr>
              <w:t>Online consultations have been useful, will this continue</w:t>
            </w:r>
          </w:p>
        </w:tc>
        <w:tc>
          <w:tcPr>
            <w:tcW w:w="15680" w:type="dxa"/>
            <w:hideMark/>
          </w:tcPr>
          <w:p w:rsidR="00EB0275" w:rsidRPr="00EB0275" w:rsidRDefault="00EB0275">
            <w:pPr>
              <w:rPr>
                <w:rFonts w:asciiTheme="minorHAnsi" w:hAnsiTheme="minorHAnsi" w:cstheme="minorHAnsi"/>
              </w:rPr>
            </w:pPr>
            <w:r w:rsidRPr="00EB0275">
              <w:rPr>
                <w:rFonts w:asciiTheme="minorHAnsi" w:hAnsiTheme="minorHAnsi" w:cstheme="minorHAnsi"/>
              </w:rPr>
              <w:t>The eConsult process is very useful for some areas of consultation with patients, we will continue to provide this access and feedback any suggestions for improvement.</w:t>
            </w:r>
          </w:p>
        </w:tc>
      </w:tr>
      <w:tr w:rsidR="00EB0275" w:rsidRPr="00EB0275" w:rsidTr="00EB0275">
        <w:trPr>
          <w:trHeight w:val="630"/>
        </w:trPr>
        <w:tc>
          <w:tcPr>
            <w:tcW w:w="9940" w:type="dxa"/>
            <w:hideMark/>
          </w:tcPr>
          <w:p w:rsidR="00EB0275" w:rsidRPr="00EB0275" w:rsidRDefault="00EB0275">
            <w:pPr>
              <w:rPr>
                <w:rFonts w:asciiTheme="minorHAnsi" w:hAnsiTheme="minorHAnsi" w:cstheme="minorHAnsi"/>
              </w:rPr>
            </w:pPr>
            <w:r w:rsidRPr="00EB0275">
              <w:rPr>
                <w:rFonts w:asciiTheme="minorHAnsi" w:hAnsiTheme="minorHAnsi" w:cstheme="minorHAnsi"/>
              </w:rPr>
              <w:t>Will the practice have one telephone number?</w:t>
            </w:r>
          </w:p>
        </w:tc>
        <w:tc>
          <w:tcPr>
            <w:tcW w:w="15680" w:type="dxa"/>
            <w:hideMark/>
          </w:tcPr>
          <w:p w:rsidR="00EB0275" w:rsidRPr="00EB0275" w:rsidRDefault="00EB0275">
            <w:pPr>
              <w:rPr>
                <w:rFonts w:asciiTheme="minorHAnsi" w:hAnsiTheme="minorHAnsi" w:cstheme="minorHAnsi"/>
              </w:rPr>
            </w:pPr>
            <w:r w:rsidRPr="00EB0275">
              <w:rPr>
                <w:rFonts w:asciiTheme="minorHAnsi" w:hAnsiTheme="minorHAnsi" w:cstheme="minorHAnsi"/>
              </w:rPr>
              <w:t>Once the practices have fully merged (including the computer systems) we will then be able to offer a single telephone number - for now patients should continue to use the telephone numbers for each site</w:t>
            </w:r>
          </w:p>
        </w:tc>
      </w:tr>
      <w:tr w:rsidR="00EB0275" w:rsidRPr="00EB0275" w:rsidTr="00EB0275">
        <w:trPr>
          <w:trHeight w:val="945"/>
        </w:trPr>
        <w:tc>
          <w:tcPr>
            <w:tcW w:w="9940" w:type="dxa"/>
            <w:hideMark/>
          </w:tcPr>
          <w:p w:rsidR="00EB0275" w:rsidRPr="00EB0275" w:rsidRDefault="00EB0275">
            <w:pPr>
              <w:rPr>
                <w:rFonts w:asciiTheme="minorHAnsi" w:hAnsiTheme="minorHAnsi" w:cstheme="minorHAnsi"/>
              </w:rPr>
            </w:pPr>
            <w:r w:rsidRPr="00EB0275">
              <w:rPr>
                <w:rFonts w:asciiTheme="minorHAnsi" w:hAnsiTheme="minorHAnsi" w:cstheme="minorHAnsi"/>
              </w:rPr>
              <w:t>Could more phone lines be answered?</w:t>
            </w:r>
          </w:p>
        </w:tc>
        <w:tc>
          <w:tcPr>
            <w:tcW w:w="15680" w:type="dxa"/>
            <w:hideMark/>
          </w:tcPr>
          <w:p w:rsidR="00EB0275" w:rsidRPr="00EB0275" w:rsidRDefault="00EB0275">
            <w:pPr>
              <w:rPr>
                <w:rFonts w:asciiTheme="minorHAnsi" w:hAnsiTheme="minorHAnsi" w:cstheme="minorHAnsi"/>
              </w:rPr>
            </w:pPr>
            <w:r w:rsidRPr="00EB0275">
              <w:rPr>
                <w:rFonts w:asciiTheme="minorHAnsi" w:hAnsiTheme="minorHAnsi" w:cstheme="minorHAnsi"/>
              </w:rPr>
              <w:t>Currently our non-clinical teams complete a wide range of duties within the practices and multitask a variety of tasks. Due to this we need to balance where we place our workforce. We have the maximum amount of telephone lines being answered based on our staff and work space capacity. Our plan is to have a team of dedicated telephone responders to answer incoming calls who won't be required to complete other areas of work.</w:t>
            </w:r>
          </w:p>
        </w:tc>
      </w:tr>
      <w:tr w:rsidR="00EB0275" w:rsidRPr="00EB0275" w:rsidTr="00EB0275">
        <w:trPr>
          <w:trHeight w:val="630"/>
        </w:trPr>
        <w:tc>
          <w:tcPr>
            <w:tcW w:w="9940" w:type="dxa"/>
            <w:hideMark/>
          </w:tcPr>
          <w:p w:rsidR="00EB0275" w:rsidRPr="00EB0275" w:rsidRDefault="00EB0275">
            <w:pPr>
              <w:rPr>
                <w:rFonts w:asciiTheme="minorHAnsi" w:hAnsiTheme="minorHAnsi" w:cstheme="minorHAnsi"/>
              </w:rPr>
            </w:pPr>
            <w:r w:rsidRPr="00EB0275">
              <w:rPr>
                <w:rFonts w:asciiTheme="minorHAnsi" w:hAnsiTheme="minorHAnsi" w:cstheme="minorHAnsi"/>
              </w:rPr>
              <w:t xml:space="preserve">Locally some services don't link into the electronic patient records, for example blood results from Woolwich hospital, </w:t>
            </w:r>
            <w:proofErr w:type="gramStart"/>
            <w:r w:rsidRPr="00EB0275">
              <w:rPr>
                <w:rFonts w:asciiTheme="minorHAnsi" w:hAnsiTheme="minorHAnsi" w:cstheme="minorHAnsi"/>
              </w:rPr>
              <w:t>can</w:t>
            </w:r>
            <w:proofErr w:type="gramEnd"/>
            <w:r w:rsidRPr="00EB0275">
              <w:rPr>
                <w:rFonts w:asciiTheme="minorHAnsi" w:hAnsiTheme="minorHAnsi" w:cstheme="minorHAnsi"/>
              </w:rPr>
              <w:t xml:space="preserve"> this change with the merger?</w:t>
            </w:r>
          </w:p>
        </w:tc>
        <w:tc>
          <w:tcPr>
            <w:tcW w:w="15680" w:type="dxa"/>
            <w:hideMark/>
          </w:tcPr>
          <w:p w:rsidR="00EB0275" w:rsidRPr="00EB0275" w:rsidRDefault="00EB0275">
            <w:pPr>
              <w:rPr>
                <w:rFonts w:asciiTheme="minorHAnsi" w:hAnsiTheme="minorHAnsi" w:cstheme="minorHAnsi"/>
              </w:rPr>
            </w:pPr>
            <w:r w:rsidRPr="00EB0275">
              <w:rPr>
                <w:rFonts w:asciiTheme="minorHAnsi" w:hAnsiTheme="minorHAnsi" w:cstheme="minorHAnsi"/>
              </w:rPr>
              <w:t>Unfortunately this is not within our control. There is a project across South East London to unify the IT systems to aid communication between hospitals and general practice. We already have systems in place with Kings and Guys to access information. We will update patients when this is available.</w:t>
            </w:r>
          </w:p>
        </w:tc>
      </w:tr>
      <w:tr w:rsidR="00EB0275" w:rsidRPr="00EB0275" w:rsidTr="00EB0275">
        <w:trPr>
          <w:trHeight w:val="315"/>
        </w:trPr>
        <w:tc>
          <w:tcPr>
            <w:tcW w:w="9940" w:type="dxa"/>
            <w:hideMark/>
          </w:tcPr>
          <w:p w:rsidR="00EB0275" w:rsidRPr="00EB0275" w:rsidRDefault="00EB0275">
            <w:pPr>
              <w:rPr>
                <w:rFonts w:asciiTheme="minorHAnsi" w:hAnsiTheme="minorHAnsi" w:cstheme="minorHAnsi"/>
              </w:rPr>
            </w:pPr>
          </w:p>
        </w:tc>
        <w:tc>
          <w:tcPr>
            <w:tcW w:w="15680" w:type="dxa"/>
            <w:hideMark/>
          </w:tcPr>
          <w:p w:rsidR="00EB0275" w:rsidRPr="00EB0275" w:rsidRDefault="00EB0275">
            <w:pPr>
              <w:rPr>
                <w:rFonts w:asciiTheme="minorHAnsi" w:hAnsiTheme="minorHAnsi" w:cstheme="minorHAnsi"/>
              </w:rPr>
            </w:pPr>
          </w:p>
        </w:tc>
      </w:tr>
      <w:tr w:rsidR="00EB0275" w:rsidRPr="00EB0275" w:rsidTr="00EB0275">
        <w:trPr>
          <w:trHeight w:val="315"/>
        </w:trPr>
        <w:tc>
          <w:tcPr>
            <w:tcW w:w="9940" w:type="dxa"/>
            <w:hideMark/>
          </w:tcPr>
          <w:p w:rsidR="00EB0275" w:rsidRPr="00EB0275" w:rsidRDefault="00EB0275">
            <w:pPr>
              <w:rPr>
                <w:rFonts w:asciiTheme="minorHAnsi" w:hAnsiTheme="minorHAnsi" w:cstheme="minorHAnsi"/>
              </w:rPr>
            </w:pPr>
          </w:p>
        </w:tc>
        <w:tc>
          <w:tcPr>
            <w:tcW w:w="15680" w:type="dxa"/>
            <w:hideMark/>
          </w:tcPr>
          <w:p w:rsidR="00EB0275" w:rsidRPr="00EB0275" w:rsidRDefault="00EB0275">
            <w:pPr>
              <w:rPr>
                <w:rFonts w:asciiTheme="minorHAnsi" w:hAnsiTheme="minorHAnsi" w:cstheme="minorHAnsi"/>
              </w:rPr>
            </w:pPr>
          </w:p>
        </w:tc>
      </w:tr>
      <w:tr w:rsidR="00EB0275" w:rsidRPr="00EB0275" w:rsidTr="00EB0275">
        <w:trPr>
          <w:trHeight w:val="315"/>
        </w:trPr>
        <w:tc>
          <w:tcPr>
            <w:tcW w:w="9940" w:type="dxa"/>
            <w:hideMark/>
          </w:tcPr>
          <w:p w:rsidR="00EB0275" w:rsidRPr="00EB0275" w:rsidRDefault="00EB0275">
            <w:pPr>
              <w:rPr>
                <w:rFonts w:asciiTheme="minorHAnsi" w:hAnsiTheme="minorHAnsi" w:cstheme="minorHAnsi"/>
              </w:rPr>
            </w:pPr>
          </w:p>
        </w:tc>
        <w:tc>
          <w:tcPr>
            <w:tcW w:w="15680" w:type="dxa"/>
            <w:hideMark/>
          </w:tcPr>
          <w:p w:rsidR="00EB0275" w:rsidRPr="00EB0275" w:rsidRDefault="00EB0275">
            <w:pPr>
              <w:rPr>
                <w:rFonts w:asciiTheme="minorHAnsi" w:hAnsiTheme="minorHAnsi" w:cstheme="minorHAnsi"/>
              </w:rPr>
            </w:pPr>
          </w:p>
        </w:tc>
      </w:tr>
      <w:tr w:rsidR="00EB0275" w:rsidRPr="00EB0275" w:rsidTr="00EB0275">
        <w:trPr>
          <w:trHeight w:val="315"/>
        </w:trPr>
        <w:tc>
          <w:tcPr>
            <w:tcW w:w="9940" w:type="dxa"/>
            <w:hideMark/>
          </w:tcPr>
          <w:p w:rsidR="00EB0275" w:rsidRPr="00EB0275" w:rsidRDefault="00EB0275">
            <w:pPr>
              <w:rPr>
                <w:rFonts w:asciiTheme="minorHAnsi" w:hAnsiTheme="minorHAnsi" w:cstheme="minorHAnsi"/>
              </w:rPr>
            </w:pPr>
          </w:p>
        </w:tc>
        <w:tc>
          <w:tcPr>
            <w:tcW w:w="15680" w:type="dxa"/>
            <w:hideMark/>
          </w:tcPr>
          <w:p w:rsidR="00EB0275" w:rsidRPr="00EB0275" w:rsidRDefault="00EB0275">
            <w:pPr>
              <w:rPr>
                <w:rFonts w:asciiTheme="minorHAnsi" w:hAnsiTheme="minorHAnsi" w:cstheme="minorHAnsi"/>
              </w:rPr>
            </w:pPr>
          </w:p>
        </w:tc>
      </w:tr>
      <w:tr w:rsidR="00EB0275" w:rsidRPr="00EB0275" w:rsidTr="00EB0275">
        <w:trPr>
          <w:trHeight w:val="315"/>
        </w:trPr>
        <w:tc>
          <w:tcPr>
            <w:tcW w:w="9940" w:type="dxa"/>
            <w:hideMark/>
          </w:tcPr>
          <w:p w:rsidR="00EB0275" w:rsidRPr="00EB0275" w:rsidRDefault="00EB0275">
            <w:pPr>
              <w:rPr>
                <w:rFonts w:asciiTheme="minorHAnsi" w:hAnsiTheme="minorHAnsi" w:cstheme="minorHAnsi"/>
              </w:rPr>
            </w:pPr>
          </w:p>
        </w:tc>
        <w:tc>
          <w:tcPr>
            <w:tcW w:w="15680" w:type="dxa"/>
            <w:hideMark/>
          </w:tcPr>
          <w:p w:rsidR="00EB0275" w:rsidRPr="00EB0275" w:rsidRDefault="00EB0275">
            <w:pPr>
              <w:rPr>
                <w:rFonts w:asciiTheme="minorHAnsi" w:hAnsiTheme="minorHAnsi" w:cstheme="minorHAnsi"/>
              </w:rPr>
            </w:pPr>
          </w:p>
        </w:tc>
      </w:tr>
      <w:tr w:rsidR="00EB0275" w:rsidRPr="00EB0275" w:rsidTr="00EB0275">
        <w:trPr>
          <w:trHeight w:val="315"/>
        </w:trPr>
        <w:tc>
          <w:tcPr>
            <w:tcW w:w="9940" w:type="dxa"/>
            <w:hideMark/>
          </w:tcPr>
          <w:p w:rsidR="00EB0275" w:rsidRPr="00EB0275" w:rsidRDefault="00EB0275">
            <w:pPr>
              <w:rPr>
                <w:rFonts w:asciiTheme="minorHAnsi" w:hAnsiTheme="minorHAnsi" w:cstheme="minorHAnsi"/>
              </w:rPr>
            </w:pPr>
          </w:p>
        </w:tc>
        <w:tc>
          <w:tcPr>
            <w:tcW w:w="15680" w:type="dxa"/>
            <w:hideMark/>
          </w:tcPr>
          <w:p w:rsidR="00EB0275" w:rsidRPr="00EB0275" w:rsidRDefault="00EB0275">
            <w:pPr>
              <w:rPr>
                <w:rFonts w:asciiTheme="minorHAnsi" w:hAnsiTheme="minorHAnsi" w:cstheme="minorHAnsi"/>
              </w:rPr>
            </w:pPr>
          </w:p>
        </w:tc>
      </w:tr>
    </w:tbl>
    <w:p w:rsidR="00C9156B" w:rsidRPr="00EB0275" w:rsidRDefault="00C9156B">
      <w:pPr>
        <w:rPr>
          <w:rFonts w:asciiTheme="minorHAnsi" w:hAnsiTheme="minorHAnsi" w:cstheme="minorHAnsi"/>
        </w:rPr>
      </w:pPr>
      <w:bookmarkStart w:id="0" w:name="_GoBack"/>
      <w:bookmarkEnd w:id="0"/>
    </w:p>
    <w:sectPr w:rsidR="00C9156B" w:rsidRPr="00EB0275" w:rsidSect="00EB0275">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275"/>
    <w:rsid w:val="00C9156B"/>
    <w:rsid w:val="00EB0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C9B0EA-58BC-43C6-86EF-69E798AE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6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SEL CCG</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DEERING, Lois (CHISLEHURST MEDICAL PRACTICE)</dc:creator>
  <cp:keywords/>
  <dc:description/>
  <cp:lastModifiedBy>DEERING, Lois (CHISLEHURST MEDICAL PRACTICE)</cp:lastModifiedBy>
  <cp:revision>1</cp:revision>
  <dcterms:created xsi:type="dcterms:W3CDTF">2022-08-22T10:40:00Z</dcterms:created>
  <dcterms:modified xsi:type="dcterms:W3CDTF">2022-08-22T10:41:00Z</dcterms:modified>
</cp:coreProperties>
</file>