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546AE6" w14:paraId="40131AFE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65EB8D58" w14:textId="7EA095E4" w:rsidR="002955F8" w:rsidRPr="00546AE6" w:rsidRDefault="00FC14D7" w:rsidP="00BB65C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8"/>
                <w:szCs w:val="24"/>
                <w:lang w:eastAsia="en-GB"/>
              </w:rPr>
              <w:t>T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his </w:t>
            </w:r>
            <w:r w:rsidR="00CA3E2A" w:rsidRPr="00546AE6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is legally obliged to investigate any litigation or claims brought against them, and this will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require us to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access, process and hold some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personal identifiable data. This may include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your </w:t>
            </w:r>
            <w:r w:rsidR="002955F8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name, address, date or birth and 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>medical condition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and other data we may hold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. The data this </w:t>
            </w:r>
            <w:r w:rsidR="00CA3E2A" w:rsidRPr="00546AE6">
              <w:rPr>
                <w:rFonts w:ascii="Arial" w:hAnsi="Arial" w:cs="Arial"/>
                <w:sz w:val="28"/>
                <w:szCs w:val="24"/>
                <w:lang w:eastAsia="en-GB"/>
              </w:rPr>
              <w:t>Practice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will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need to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 </w:t>
            </w:r>
            <w:r w:rsidR="000A4DB4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process </w:t>
            </w:r>
            <w:r w:rsidR="005A778E" w:rsidRPr="00546AE6">
              <w:rPr>
                <w:rFonts w:ascii="Arial" w:hAnsi="Arial" w:cs="Arial"/>
                <w:sz w:val="28"/>
                <w:szCs w:val="24"/>
                <w:lang w:eastAsia="en-GB"/>
              </w:rPr>
              <w:t xml:space="preserve">will depend on the type of litigation or claim received. </w:t>
            </w:r>
          </w:p>
          <w:p w14:paraId="189A43B6" w14:textId="77777777" w:rsidR="00DC43D0" w:rsidRPr="00546AE6" w:rsidRDefault="00DC43D0" w:rsidP="00BB65C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1244F51" w14:textId="77777777" w:rsidR="008501BE" w:rsidRPr="00546AE6" w:rsidRDefault="00360823" w:rsidP="00BB65C1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Th</w:t>
            </w:r>
            <w:r w:rsidR="001C6490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is NHS Litigation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Authority operates a scheme </w:t>
            </w:r>
            <w:r w:rsidR="000A4DB4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which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CA3E2A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pays an annual contribution</w:t>
            </w:r>
            <w:r w:rsidR="000A4DB4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for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, and in return the NHS Litigation Authority </w:t>
            </w:r>
            <w:r w:rsidR="005A778E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supports the settlement of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any clinical </w:t>
            </w:r>
            <w:r w:rsidR="00FC6362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negligence 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claims the </w:t>
            </w:r>
            <w:r w:rsidR="00CA3E2A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Practice</w:t>
            </w:r>
            <w:r w:rsidR="001D0A5B" w:rsidRPr="00546AE6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receives. </w:t>
            </w:r>
          </w:p>
          <w:p w14:paraId="41930427" w14:textId="77777777" w:rsidR="00F2538D" w:rsidRPr="00546AE6" w:rsidRDefault="00F2538D" w:rsidP="00BB65C1">
            <w:pPr>
              <w:spacing w:after="0" w:line="360" w:lineRule="auto"/>
              <w:rPr>
                <w:rFonts w:ascii="Arial" w:hAnsi="Arial" w:cs="Arial"/>
                <w:sz w:val="28"/>
                <w:szCs w:val="24"/>
                <w:lang w:eastAsia="en-GB"/>
              </w:rPr>
            </w:pPr>
          </w:p>
        </w:tc>
      </w:tr>
      <w:tr w:rsidR="002C7B02" w:rsidRPr="00546AE6" w14:paraId="26B307BD" w14:textId="77777777" w:rsidTr="00971718">
        <w:trPr>
          <w:trHeight w:val="300"/>
        </w:trPr>
        <w:tc>
          <w:tcPr>
            <w:tcW w:w="3227" w:type="dxa"/>
            <w:noWrap/>
          </w:tcPr>
          <w:p w14:paraId="37FF5F69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AFC1084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3127BD6" w14:textId="77777777" w:rsidR="00B7041D" w:rsidRPr="00546AE6" w:rsidRDefault="00B7041D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4A8E1B9E" w14:textId="77777777" w:rsidR="00A7623E" w:rsidRDefault="00A7623E" w:rsidP="00A7623E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The Park Practice</w:t>
            </w:r>
          </w:p>
          <w:p w14:paraId="48C64FB8" w14:textId="77777777" w:rsidR="00A7623E" w:rsidRDefault="00A7623E" w:rsidP="00A7623E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7AED1F14" w14:textId="77777777" w:rsidR="00A7623E" w:rsidRDefault="00A7623E" w:rsidP="00A7623E">
            <w:pPr>
              <w:spacing w:after="0" w:line="24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75CE4F47" w14:textId="77777777" w:rsidR="00A7623E" w:rsidRDefault="00A7623E" w:rsidP="00A7623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03A3319D" w14:textId="77777777" w:rsidR="006A6874" w:rsidRPr="00546AE6" w:rsidRDefault="006A687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B1B71" w:rsidRPr="00546AE6" w14:paraId="25B67481" w14:textId="77777777" w:rsidTr="00971718">
        <w:trPr>
          <w:trHeight w:val="300"/>
        </w:trPr>
        <w:tc>
          <w:tcPr>
            <w:tcW w:w="3227" w:type="dxa"/>
            <w:noWrap/>
          </w:tcPr>
          <w:p w14:paraId="3D3C9DE0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9816766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468A9C4" w14:textId="77777777" w:rsidR="00CB1B71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0BD8618E" w14:textId="77777777" w:rsidR="00546AE6" w:rsidRPr="00546AE6" w:rsidRDefault="00546AE6" w:rsidP="00546AE6">
            <w:pPr>
              <w:spacing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0723475A" w14:textId="77777777" w:rsidR="00546AE6" w:rsidRPr="00546AE6" w:rsidRDefault="00546AE6" w:rsidP="00546AE6">
            <w:pPr>
              <w:spacing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61DAE600" w14:textId="2C131D62" w:rsidR="004052EF" w:rsidRPr="00546AE6" w:rsidRDefault="009A0066" w:rsidP="00546AE6">
            <w:pPr>
              <w:rPr>
                <w:rFonts w:ascii="Arial" w:hAnsi="Arial" w:cs="Arial"/>
              </w:rPr>
            </w:pPr>
            <w:hyperlink r:id="rId12" w:history="1">
              <w:r w:rsidR="00546AE6" w:rsidRPr="00546AE6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</w:p>
        </w:tc>
      </w:tr>
      <w:tr w:rsidR="002C7B02" w:rsidRPr="00546AE6" w14:paraId="3C94C396" w14:textId="77777777" w:rsidTr="00071708">
        <w:trPr>
          <w:trHeight w:val="413"/>
        </w:trPr>
        <w:tc>
          <w:tcPr>
            <w:tcW w:w="3227" w:type="dxa"/>
            <w:noWrap/>
          </w:tcPr>
          <w:p w14:paraId="63A03EEB" w14:textId="77777777" w:rsidR="002C7B02" w:rsidRPr="00546AE6" w:rsidRDefault="00CB1B71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159AB735" w14:textId="77777777" w:rsidR="00FB0323" w:rsidRPr="00546AE6" w:rsidRDefault="00F377F8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Legal Obligation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of the Practice</w:t>
            </w:r>
          </w:p>
          <w:p w14:paraId="6B732D11" w14:textId="77777777" w:rsidR="00596284" w:rsidRPr="00546AE6" w:rsidRDefault="0059628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546AE6" w14:paraId="41D2490B" w14:textId="77777777" w:rsidTr="00971718">
        <w:trPr>
          <w:trHeight w:val="300"/>
        </w:trPr>
        <w:tc>
          <w:tcPr>
            <w:tcW w:w="3227" w:type="dxa"/>
            <w:noWrap/>
          </w:tcPr>
          <w:p w14:paraId="3220263D" w14:textId="77777777" w:rsidR="00CB1B71" w:rsidRPr="00546AE6" w:rsidRDefault="00CA07AE" w:rsidP="00BB65C1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="00B11D87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The Lawfulness Conditions and Special Categories</w:t>
            </w:r>
          </w:p>
        </w:tc>
        <w:tc>
          <w:tcPr>
            <w:tcW w:w="7371" w:type="dxa"/>
            <w:noWrap/>
          </w:tcPr>
          <w:p w14:paraId="1667B659" w14:textId="62D298A7" w:rsidR="00071708" w:rsidRPr="00546AE6" w:rsidRDefault="0059628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lawful justifications for the processing and possible sharing of this data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Data Protection Legislation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E7D5D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-</w:t>
            </w:r>
          </w:p>
          <w:p w14:paraId="23CB330D" w14:textId="77777777" w:rsidR="003626BE" w:rsidRPr="00546AE6" w:rsidRDefault="003626B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5722E79" w14:textId="77777777" w:rsidR="00F377F8" w:rsidRPr="00546AE6" w:rsidRDefault="00F377F8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</w:t>
            </w:r>
            <w:proofErr w:type="gramStart"/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)(</w:t>
            </w:r>
            <w:proofErr w:type="gramEnd"/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="000B3FA3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“the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processing is necessary for compliance with any legal obligation to which the controller is </w:t>
            </w:r>
            <w:r w:rsidR="00A2228E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subject”.</w:t>
            </w:r>
          </w:p>
          <w:p w14:paraId="486DAD00" w14:textId="77777777" w:rsidR="003626BE" w:rsidRPr="00546AE6" w:rsidRDefault="003626B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292B90F" w14:textId="77777777" w:rsidR="00F377F8" w:rsidRPr="00546AE6" w:rsidRDefault="00865BFC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9(</w:t>
            </w:r>
            <w:r w:rsidR="000A4DB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 “</w:t>
            </w:r>
            <w:r w:rsidR="000A4DB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processing is necessary for the establishment, exercise or defence of legal claims or whenever courts are acting in their judicial </w:t>
            </w:r>
            <w:r w:rsidR="00AE1EF5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capacity”</w:t>
            </w:r>
          </w:p>
        </w:tc>
      </w:tr>
      <w:tr w:rsidR="002C7B02" w:rsidRPr="00546AE6" w14:paraId="25A8C757" w14:textId="77777777" w:rsidTr="00971718">
        <w:trPr>
          <w:trHeight w:val="300"/>
        </w:trPr>
        <w:tc>
          <w:tcPr>
            <w:tcW w:w="3227" w:type="dxa"/>
            <w:noWrap/>
          </w:tcPr>
          <w:p w14:paraId="3B49079C" w14:textId="77777777" w:rsidR="002C7B02" w:rsidRPr="00546AE6" w:rsidRDefault="00CA07AE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7BB5B2A0" w14:textId="6CEE916E" w:rsidR="002C7B02" w:rsidRPr="00546AE6" w:rsidRDefault="00CA07AE" w:rsidP="00BB65C1">
            <w:p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may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be shared with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organisations such as</w:t>
            </w:r>
          </w:p>
          <w:p w14:paraId="08CB1B70" w14:textId="77777777" w:rsidR="00AE1EF5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Our solicitors or legal team</w:t>
            </w:r>
          </w:p>
          <w:p w14:paraId="72E83BCD" w14:textId="77777777" w:rsidR="007045ED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The Court processing the </w:t>
            </w:r>
            <w:r w:rsidR="00A2228E"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claim.</w:t>
            </w:r>
          </w:p>
          <w:p w14:paraId="524B1671" w14:textId="77777777" w:rsidR="007045ED" w:rsidRPr="00546AE6" w:rsidRDefault="007045ED" w:rsidP="00BB65C1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Any regulatory body who has a statutory basis for evidencing, overseeing, </w:t>
            </w:r>
            <w:r w:rsidR="00A2228E"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investigating,</w:t>
            </w: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 or substantiating litigation, a claim or national or professional standards such </w:t>
            </w:r>
            <w:r w:rsidRPr="00546AE6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lastRenderedPageBreak/>
              <w:t>as the GMC, the Care Quality Commission and other bodies or the outcomes of such action.</w:t>
            </w:r>
          </w:p>
        </w:tc>
      </w:tr>
      <w:tr w:rsidR="002C7B02" w:rsidRPr="00546AE6" w14:paraId="18A48C90" w14:textId="77777777" w:rsidTr="00971718">
        <w:trPr>
          <w:trHeight w:val="300"/>
        </w:trPr>
        <w:tc>
          <w:tcPr>
            <w:tcW w:w="3227" w:type="dxa"/>
            <w:noWrap/>
          </w:tcPr>
          <w:p w14:paraId="56F429B9" w14:textId="77777777" w:rsidR="002C7B0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6)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FF1853B" w14:textId="77777777" w:rsidR="00E25DC5" w:rsidRPr="00546AE6" w:rsidRDefault="001D2A74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 have the right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under Article 21 of the GDPR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object to 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your personal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information being processed. Please contact the 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if you wish to object to the processing of your data. You should be aware that this is a right to raise an objection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which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is not the same as having an absolute right to have your wishe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 granted in every circumstance.</w:t>
            </w:r>
          </w:p>
          <w:p w14:paraId="1F911F46" w14:textId="77777777" w:rsidR="00036847" w:rsidRPr="00546AE6" w:rsidRDefault="00CA3E2A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Practice’</w:t>
            </w:r>
            <w:r w:rsidR="00AD42B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 process personal data under Article 6(1)(c) 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on a lawful and legitimate basis where the organisation is obliged under law to comply with </w:t>
            </w:r>
          </w:p>
          <w:p w14:paraId="1D697734" w14:textId="5BC069FF" w:rsidR="00036847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he </w:t>
            </w:r>
            <w:r w:rsid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UK 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eneral Data Protection Regulations (G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DPR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  <w:p w14:paraId="031E72E8" w14:textId="6CAE642C" w:rsidR="00546AE6" w:rsidRPr="00546AE6" w:rsidRDefault="00546AE6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Data Protection Act 2018</w:t>
            </w:r>
          </w:p>
          <w:p w14:paraId="720ED743" w14:textId="77777777" w:rsidR="00036847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 Freedom of Information Act</w:t>
            </w:r>
          </w:p>
          <w:p w14:paraId="3E650938" w14:textId="77777777" w:rsidR="00036847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NHS Constitution</w:t>
            </w:r>
          </w:p>
          <w:p w14:paraId="451F8821" w14:textId="77777777" w:rsidR="00AD42BA" w:rsidRPr="00546AE6" w:rsidRDefault="00036847" w:rsidP="00BB65C1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Local Authority Social Services and National Health Service Complaints (England) Regulations 2009</w:t>
            </w:r>
            <w:r w:rsidR="005817C8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5B62B35" w14:textId="77777777" w:rsidR="00036847" w:rsidRPr="00546AE6" w:rsidRDefault="00036847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By complying with these laws, the </w:t>
            </w:r>
            <w:r w:rsidR="00CA3E2A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Practice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has compelling legitimate grounds for the processing which override the interests, rights and freedoms in the right to object.</w:t>
            </w:r>
          </w:p>
        </w:tc>
      </w:tr>
      <w:tr w:rsidR="00CB1B71" w:rsidRPr="00546AE6" w14:paraId="432E2B6B" w14:textId="77777777" w:rsidTr="00971718">
        <w:trPr>
          <w:trHeight w:val="300"/>
        </w:trPr>
        <w:tc>
          <w:tcPr>
            <w:tcW w:w="3227" w:type="dxa"/>
            <w:noWrap/>
          </w:tcPr>
          <w:p w14:paraId="7BB130E6" w14:textId="77777777" w:rsidR="00CB1B71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57ADD76C" w14:textId="77777777" w:rsidR="00CB1B71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personal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 that is being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processed or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and </w:t>
            </w:r>
            <w:r w:rsidR="00036847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any inaccuracies corrected.</w:t>
            </w:r>
            <w:r w:rsidR="00F2538D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CA7472" w:rsidRPr="00546AE6" w14:paraId="15227BD8" w14:textId="77777777" w:rsidTr="00971718">
        <w:trPr>
          <w:trHeight w:val="300"/>
        </w:trPr>
        <w:tc>
          <w:tcPr>
            <w:tcW w:w="3227" w:type="dxa"/>
            <w:noWrap/>
          </w:tcPr>
          <w:p w14:paraId="5D4471E6" w14:textId="77777777" w:rsidR="00CA747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25D27014" w14:textId="77777777" w:rsidR="00CA7472" w:rsidRPr="00546AE6" w:rsidRDefault="00CA7472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73512B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546AE6" w14:paraId="47AA8006" w14:textId="77777777" w:rsidTr="00971718">
        <w:trPr>
          <w:trHeight w:val="300"/>
        </w:trPr>
        <w:tc>
          <w:tcPr>
            <w:tcW w:w="3227" w:type="dxa"/>
            <w:noWrap/>
          </w:tcPr>
          <w:p w14:paraId="66F5D95E" w14:textId="77777777" w:rsidR="002C7B02" w:rsidRPr="00546AE6" w:rsidRDefault="00B7041D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546AE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546AE6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00A0EB6E" w14:textId="77777777" w:rsidR="00685600" w:rsidRPr="00546AE6" w:rsidRDefault="00685600" w:rsidP="00BB65C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546AE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BB65C1" w:rsidRPr="00546AE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38748D3D" w14:textId="77777777" w:rsidR="00685600" w:rsidRPr="00546AE6" w:rsidRDefault="00685600" w:rsidP="00BB65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6A5B326D" w14:textId="77777777" w:rsidR="00FF0BEC" w:rsidRPr="00546AE6" w:rsidRDefault="00685600" w:rsidP="00BB65C1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46AE6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72FE4CC1" w14:textId="77777777" w:rsidR="00BE55B3" w:rsidRPr="00546AE6" w:rsidRDefault="00BE55B3" w:rsidP="00BB65C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55B3" w:rsidRPr="00546AE6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C2491" w14:textId="77777777" w:rsidR="009A0066" w:rsidRDefault="009A0066" w:rsidP="00F07C61">
      <w:pPr>
        <w:spacing w:after="0" w:line="240" w:lineRule="auto"/>
      </w:pPr>
      <w:r>
        <w:separator/>
      </w:r>
    </w:p>
  </w:endnote>
  <w:endnote w:type="continuationSeparator" w:id="0">
    <w:p w14:paraId="30E414B2" w14:textId="77777777" w:rsidR="009A0066" w:rsidRDefault="009A0066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4B32" w14:textId="77777777" w:rsidR="009A0066" w:rsidRDefault="009A0066" w:rsidP="00F07C61">
      <w:pPr>
        <w:spacing w:after="0" w:line="240" w:lineRule="auto"/>
      </w:pPr>
      <w:r>
        <w:separator/>
      </w:r>
    </w:p>
  </w:footnote>
  <w:footnote w:type="continuationSeparator" w:id="0">
    <w:p w14:paraId="4941C76F" w14:textId="77777777" w:rsidR="009A0066" w:rsidRDefault="009A0066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DDD4" w14:textId="3F1D04B5" w:rsidR="003626BE" w:rsidRDefault="00362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6BF" w14:textId="574A6E6B" w:rsidR="003626BE" w:rsidRPr="00407DCC" w:rsidRDefault="003626BE" w:rsidP="00B7041D">
    <w:pPr>
      <w:pStyle w:val="Header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 xml:space="preserve">Privacy Notice – </w:t>
    </w:r>
    <w:r w:rsidR="00360823">
      <w:rPr>
        <w:b/>
        <w:noProof/>
        <w:sz w:val="36"/>
        <w:szCs w:val="36"/>
        <w:lang w:eastAsia="en-GB"/>
      </w:rPr>
      <w:t>Litigations &amp; Claims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D224" w14:textId="1B419C7C" w:rsidR="003626BE" w:rsidRDefault="00362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31D5"/>
    <w:multiLevelType w:val="hybridMultilevel"/>
    <w:tmpl w:val="F38E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F0D"/>
    <w:multiLevelType w:val="hybridMultilevel"/>
    <w:tmpl w:val="2322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1"/>
    <w:rsid w:val="00036847"/>
    <w:rsid w:val="00044C16"/>
    <w:rsid w:val="0005623F"/>
    <w:rsid w:val="00067D3E"/>
    <w:rsid w:val="00071708"/>
    <w:rsid w:val="000A31F2"/>
    <w:rsid w:val="000A4DB4"/>
    <w:rsid w:val="000B3FA3"/>
    <w:rsid w:val="000B696B"/>
    <w:rsid w:val="000C71E2"/>
    <w:rsid w:val="000C75E1"/>
    <w:rsid w:val="000F430D"/>
    <w:rsid w:val="0010540D"/>
    <w:rsid w:val="00111D2F"/>
    <w:rsid w:val="0011648C"/>
    <w:rsid w:val="00171B14"/>
    <w:rsid w:val="001C6490"/>
    <w:rsid w:val="001D0A5B"/>
    <w:rsid w:val="001D2A74"/>
    <w:rsid w:val="001D2AC6"/>
    <w:rsid w:val="001E7D5D"/>
    <w:rsid w:val="00204264"/>
    <w:rsid w:val="002329C4"/>
    <w:rsid w:val="00255F4D"/>
    <w:rsid w:val="00277641"/>
    <w:rsid w:val="0028656B"/>
    <w:rsid w:val="00286CCD"/>
    <w:rsid w:val="002955F8"/>
    <w:rsid w:val="002C33B6"/>
    <w:rsid w:val="002C7B02"/>
    <w:rsid w:val="002D1BDC"/>
    <w:rsid w:val="00360823"/>
    <w:rsid w:val="003626BE"/>
    <w:rsid w:val="003902E4"/>
    <w:rsid w:val="003C2B1A"/>
    <w:rsid w:val="003D1401"/>
    <w:rsid w:val="003E3028"/>
    <w:rsid w:val="003E4C39"/>
    <w:rsid w:val="003E6445"/>
    <w:rsid w:val="003F5FED"/>
    <w:rsid w:val="004052EF"/>
    <w:rsid w:val="00407DCC"/>
    <w:rsid w:val="00424C77"/>
    <w:rsid w:val="00426EA7"/>
    <w:rsid w:val="0044397B"/>
    <w:rsid w:val="0045427B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46AE6"/>
    <w:rsid w:val="00562CB1"/>
    <w:rsid w:val="00565CFC"/>
    <w:rsid w:val="005709B7"/>
    <w:rsid w:val="005817C8"/>
    <w:rsid w:val="005820B0"/>
    <w:rsid w:val="00596284"/>
    <w:rsid w:val="005A778E"/>
    <w:rsid w:val="005B1581"/>
    <w:rsid w:val="005D0EB2"/>
    <w:rsid w:val="005E4B1A"/>
    <w:rsid w:val="005E683A"/>
    <w:rsid w:val="00603EA1"/>
    <w:rsid w:val="0062658F"/>
    <w:rsid w:val="00685600"/>
    <w:rsid w:val="006A6874"/>
    <w:rsid w:val="006B7DB3"/>
    <w:rsid w:val="006F7772"/>
    <w:rsid w:val="00703FCC"/>
    <w:rsid w:val="007045ED"/>
    <w:rsid w:val="00716EA2"/>
    <w:rsid w:val="0073512B"/>
    <w:rsid w:val="00762408"/>
    <w:rsid w:val="007A4683"/>
    <w:rsid w:val="007B7278"/>
    <w:rsid w:val="007D3121"/>
    <w:rsid w:val="007E6854"/>
    <w:rsid w:val="00812359"/>
    <w:rsid w:val="008175EC"/>
    <w:rsid w:val="008501BE"/>
    <w:rsid w:val="00865BFC"/>
    <w:rsid w:val="00944454"/>
    <w:rsid w:val="0095127A"/>
    <w:rsid w:val="00951B4D"/>
    <w:rsid w:val="00971718"/>
    <w:rsid w:val="009940C5"/>
    <w:rsid w:val="009A0066"/>
    <w:rsid w:val="009A62C4"/>
    <w:rsid w:val="00A00F5B"/>
    <w:rsid w:val="00A101B3"/>
    <w:rsid w:val="00A1075A"/>
    <w:rsid w:val="00A2228E"/>
    <w:rsid w:val="00A3094C"/>
    <w:rsid w:val="00A44B59"/>
    <w:rsid w:val="00A72136"/>
    <w:rsid w:val="00A7623E"/>
    <w:rsid w:val="00AA202C"/>
    <w:rsid w:val="00AB586A"/>
    <w:rsid w:val="00AD42BA"/>
    <w:rsid w:val="00AE08C5"/>
    <w:rsid w:val="00AE1EF5"/>
    <w:rsid w:val="00AE487C"/>
    <w:rsid w:val="00B011F2"/>
    <w:rsid w:val="00B11D87"/>
    <w:rsid w:val="00B225F1"/>
    <w:rsid w:val="00B240E4"/>
    <w:rsid w:val="00B34EDF"/>
    <w:rsid w:val="00B360F6"/>
    <w:rsid w:val="00B43F8C"/>
    <w:rsid w:val="00B6671B"/>
    <w:rsid w:val="00B7041D"/>
    <w:rsid w:val="00B815B4"/>
    <w:rsid w:val="00B8732B"/>
    <w:rsid w:val="00BB65C1"/>
    <w:rsid w:val="00BD15C8"/>
    <w:rsid w:val="00BD53AC"/>
    <w:rsid w:val="00BD63EA"/>
    <w:rsid w:val="00BE55B3"/>
    <w:rsid w:val="00C2669B"/>
    <w:rsid w:val="00C4369D"/>
    <w:rsid w:val="00C95849"/>
    <w:rsid w:val="00CA07AE"/>
    <w:rsid w:val="00CA3E2A"/>
    <w:rsid w:val="00CA3EA1"/>
    <w:rsid w:val="00CA7472"/>
    <w:rsid w:val="00CB1B71"/>
    <w:rsid w:val="00CB2F51"/>
    <w:rsid w:val="00CE1CDF"/>
    <w:rsid w:val="00CF55DF"/>
    <w:rsid w:val="00DC1B1B"/>
    <w:rsid w:val="00DC43D0"/>
    <w:rsid w:val="00DD5090"/>
    <w:rsid w:val="00E068B1"/>
    <w:rsid w:val="00E25DC5"/>
    <w:rsid w:val="00E40A6E"/>
    <w:rsid w:val="00E52609"/>
    <w:rsid w:val="00E90F8F"/>
    <w:rsid w:val="00EB084E"/>
    <w:rsid w:val="00ED2128"/>
    <w:rsid w:val="00ED517E"/>
    <w:rsid w:val="00EE4D82"/>
    <w:rsid w:val="00F07C61"/>
    <w:rsid w:val="00F2538D"/>
    <w:rsid w:val="00F31D37"/>
    <w:rsid w:val="00F377F8"/>
    <w:rsid w:val="00F60F87"/>
    <w:rsid w:val="00F86CFB"/>
    <w:rsid w:val="00FB0323"/>
    <w:rsid w:val="00FB2DFE"/>
    <w:rsid w:val="00FC14D7"/>
    <w:rsid w:val="00FC1BFB"/>
    <w:rsid w:val="00FC5C34"/>
    <w:rsid w:val="00FC6362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A3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B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DE62B-DFAD-4BE7-B143-FDCF58415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56A41-4350-4230-ADD5-4DC9B4FF24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1B3F98-22DE-4F26-9F03-FB20B8FA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94719B-F2F2-464E-9FDD-79D573F0479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AD5994-59E0-4057-BED9-3CCE26707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3501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2023-01-24T14:47:00Z</dcterms:created>
  <dcterms:modified xsi:type="dcterms:W3CDTF">2023-12-05T15:24:00Z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0x01010008284C98ED232C4880C824821056D90E</vt:lpwstr>
  </property>
  <property fmtid="{D5CDD505-2E9C-101B-9397-08002B2CF9AE}" pid="3" name="Status">
    <vt:lpwstr>Awaiting Approval</vt:lpwstr>
  </property>
  <property fmtid="{D5CDD505-2E9C-101B-9397-08002B2CF9AE}" pid="4" name="Document Owner">
    <vt:lpwstr>14</vt:lpwstr>
  </property>
  <property fmtid="{D5CDD505-2E9C-101B-9397-08002B2CF9AE}" pid="5" name="Document Reviewer">
    <vt:lpwstr>65</vt:lpwstr>
  </property>
  <property fmtid="{D5CDD505-2E9C-101B-9397-08002B2CF9AE}" pid="6" name="display_urn:schemas-microsoft-com:office:office#Document_x0020_Owner">
    <vt:lpwstr>Kevin Winter</vt:lpwstr>
  </property>
  <property fmtid="{D5CDD505-2E9C-101B-9397-08002B2CF9AE}" pid="7" name="display_urn:schemas-microsoft-com:office:office#Document_x0020_Reviewer">
    <vt:lpwstr>Vinod Mandora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