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74F0" w14:textId="03B82800" w:rsidR="00583E0B" w:rsidRPr="0013383D" w:rsidRDefault="00E91E2C" w:rsidP="00935CAA">
      <w:pPr>
        <w:jc w:val="center"/>
        <w:rPr>
          <w:rStyle w:val="Strong"/>
          <w:rFonts w:cstheme="minorHAnsi"/>
          <w:b w:val="0"/>
          <w:bCs w:val="0"/>
          <w:sz w:val="32"/>
          <w:szCs w:val="32"/>
          <w:u w:val="single"/>
          <w:shd w:val="clear" w:color="auto" w:fill="FEFEFE"/>
        </w:rPr>
      </w:pPr>
      <w:r w:rsidRPr="0013383D">
        <w:rPr>
          <w:rStyle w:val="Strong"/>
          <w:rFonts w:cstheme="minorHAnsi"/>
          <w:b w:val="0"/>
          <w:bCs w:val="0"/>
          <w:sz w:val="32"/>
          <w:szCs w:val="32"/>
          <w:u w:val="single"/>
          <w:shd w:val="clear" w:color="auto" w:fill="FEFEFE"/>
        </w:rPr>
        <w:t xml:space="preserve">PRESCRIBING POLICY FOR PATIENTS TRAVELLING ABROAD </w:t>
      </w:r>
    </w:p>
    <w:p w14:paraId="7DD209E8" w14:textId="6B1A36DB" w:rsidR="00935CAA" w:rsidRPr="0013383D" w:rsidRDefault="00935CAA" w:rsidP="00935CAA">
      <w:pPr>
        <w:jc w:val="center"/>
        <w:rPr>
          <w:rStyle w:val="Strong"/>
          <w:rFonts w:cstheme="minorHAnsi"/>
          <w:b w:val="0"/>
          <w:bCs w:val="0"/>
          <w:sz w:val="32"/>
          <w:szCs w:val="32"/>
          <w:u w:val="single"/>
          <w:shd w:val="clear" w:color="auto" w:fill="FEFEFE"/>
        </w:rPr>
      </w:pPr>
      <w:r w:rsidRPr="0013383D">
        <w:rPr>
          <w:rStyle w:val="Strong"/>
          <w:rFonts w:cstheme="minorHAnsi"/>
          <w:b w:val="0"/>
          <w:bCs w:val="0"/>
          <w:sz w:val="32"/>
          <w:szCs w:val="32"/>
          <w:u w:val="single"/>
          <w:shd w:val="clear" w:color="auto" w:fill="FEFEFE"/>
        </w:rPr>
        <w:t>THE GREYSWOOD PRACTICE</w:t>
      </w:r>
    </w:p>
    <w:p w14:paraId="67B74FC4" w14:textId="7E7BF4BB" w:rsidR="00935CAA" w:rsidRPr="0035244F" w:rsidRDefault="00935CAA" w:rsidP="00935CAA">
      <w:pPr>
        <w:jc w:val="center"/>
        <w:rPr>
          <w:rStyle w:val="Strong"/>
          <w:rFonts w:cstheme="minorHAnsi"/>
          <w:b w:val="0"/>
          <w:bCs w:val="0"/>
          <w:sz w:val="10"/>
          <w:szCs w:val="10"/>
          <w:u w:val="single"/>
          <w:shd w:val="clear" w:color="auto" w:fill="FEFEFE"/>
        </w:rPr>
      </w:pPr>
    </w:p>
    <w:p w14:paraId="7468A4AA" w14:textId="55357E69" w:rsidR="00935CAA" w:rsidRPr="0013383D" w:rsidRDefault="00935CAA" w:rsidP="00935CAA">
      <w:pPr>
        <w:rPr>
          <w:rStyle w:val="Strong"/>
          <w:rFonts w:cstheme="minorHAnsi"/>
          <w:b w:val="0"/>
          <w:bCs w:val="0"/>
          <w:sz w:val="28"/>
          <w:szCs w:val="28"/>
          <w:shd w:val="clear" w:color="auto" w:fill="FEFEFE"/>
        </w:rPr>
      </w:pPr>
      <w:r w:rsidRPr="0013383D">
        <w:rPr>
          <w:rStyle w:val="Strong"/>
          <w:rFonts w:cstheme="minorHAnsi"/>
          <w:b w:val="0"/>
          <w:bCs w:val="0"/>
          <w:sz w:val="28"/>
          <w:szCs w:val="28"/>
          <w:shd w:val="clear" w:color="auto" w:fill="FEFEFE"/>
        </w:rPr>
        <w:t xml:space="preserve">Introduction: </w:t>
      </w:r>
    </w:p>
    <w:p w14:paraId="3FE76FFC" w14:textId="747B3A35" w:rsidR="00935CAA" w:rsidRDefault="00935CAA" w:rsidP="00935CAA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EFEFE"/>
        </w:rPr>
      </w:pPr>
      <w:r w:rsidRPr="0013383D">
        <w:rPr>
          <w:rStyle w:val="Strong"/>
          <w:rFonts w:cstheme="minorHAnsi"/>
          <w:b w:val="0"/>
          <w:bCs w:val="0"/>
          <w:sz w:val="24"/>
          <w:szCs w:val="24"/>
          <w:shd w:val="clear" w:color="auto" w:fill="FEFEFE"/>
        </w:rPr>
        <w:t xml:space="preserve">This policy is designed to outline the </w:t>
      </w:r>
      <w:r w:rsidR="00E91E2C" w:rsidRPr="0013383D">
        <w:rPr>
          <w:rStyle w:val="Strong"/>
          <w:rFonts w:cstheme="minorHAnsi"/>
          <w:b w:val="0"/>
          <w:bCs w:val="0"/>
          <w:sz w:val="24"/>
          <w:szCs w:val="24"/>
          <w:shd w:val="clear" w:color="auto" w:fill="FEFEFE"/>
        </w:rPr>
        <w:t xml:space="preserve">procedure for patients travelling abroad for short or long periods of time and what to do regarding medication </w:t>
      </w:r>
    </w:p>
    <w:p w14:paraId="3674ED47" w14:textId="3EBF9788" w:rsidR="0013383D" w:rsidRDefault="0013383D" w:rsidP="00935CAA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EFEFE"/>
        </w:rPr>
      </w:pPr>
    </w:p>
    <w:p w14:paraId="572514F8" w14:textId="6832FF49" w:rsidR="0013383D" w:rsidRPr="0013383D" w:rsidRDefault="0013383D" w:rsidP="00935CAA">
      <w:pPr>
        <w:rPr>
          <w:rStyle w:val="Strong"/>
          <w:rFonts w:cstheme="minorHAnsi"/>
          <w:b w:val="0"/>
          <w:bCs w:val="0"/>
          <w:sz w:val="28"/>
          <w:szCs w:val="28"/>
          <w:shd w:val="clear" w:color="auto" w:fill="FEFEFE"/>
        </w:rPr>
      </w:pPr>
      <w:r w:rsidRPr="0013383D">
        <w:rPr>
          <w:rStyle w:val="Strong"/>
          <w:rFonts w:cstheme="minorHAnsi"/>
          <w:b w:val="0"/>
          <w:bCs w:val="0"/>
          <w:sz w:val="28"/>
          <w:szCs w:val="28"/>
          <w:shd w:val="clear" w:color="auto" w:fill="FEFEFE"/>
        </w:rPr>
        <w:t xml:space="preserve">NHS Policy: </w:t>
      </w:r>
    </w:p>
    <w:p w14:paraId="1313E7DC" w14:textId="7CF4A60F" w:rsidR="0013383D" w:rsidRDefault="0013383D" w:rsidP="00935CAA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EFEFE"/>
        </w:rPr>
      </w:pP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EFEFE"/>
        </w:rPr>
        <w:t xml:space="preserve">The NHS ceases to have responsibility for the medical care of patients when they leave the UK. </w:t>
      </w:r>
    </w:p>
    <w:p w14:paraId="0C205CDF" w14:textId="509785B1" w:rsidR="0013383D" w:rsidRDefault="0013383D" w:rsidP="00935CAA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EFEFE"/>
        </w:rPr>
      </w:pPr>
    </w:p>
    <w:p w14:paraId="5FF0B75B" w14:textId="7BF52A1C" w:rsidR="0013383D" w:rsidRDefault="0013383D" w:rsidP="00935CAA">
      <w:pPr>
        <w:rPr>
          <w:rStyle w:val="Strong"/>
          <w:rFonts w:cstheme="minorHAnsi"/>
          <w:b w:val="0"/>
          <w:bCs w:val="0"/>
          <w:sz w:val="24"/>
          <w:szCs w:val="24"/>
        </w:rPr>
      </w:pPr>
      <w:r>
        <w:rPr>
          <w:rStyle w:val="Strong"/>
          <w:rFonts w:cstheme="minorHAnsi"/>
          <w:b w:val="0"/>
          <w:bCs w:val="0"/>
          <w:sz w:val="24"/>
          <w:szCs w:val="24"/>
        </w:rPr>
        <w:t xml:space="preserve">However, </w:t>
      </w:r>
      <w:r w:rsidRPr="0013383D">
        <w:rPr>
          <w:rStyle w:val="Strong"/>
          <w:rFonts w:cstheme="minorHAnsi"/>
          <w:b w:val="0"/>
          <w:bCs w:val="0"/>
          <w:sz w:val="24"/>
          <w:szCs w:val="24"/>
        </w:rPr>
        <w:t>The NHS does accept responsibility for supplying ongoing medication</w:t>
      </w:r>
      <w:r>
        <w:rPr>
          <w:rStyle w:val="Strong"/>
          <w:rFonts w:cstheme="minorHAnsi"/>
          <w:b w:val="0"/>
          <w:bCs w:val="0"/>
          <w:sz w:val="24"/>
          <w:szCs w:val="24"/>
        </w:rPr>
        <w:t xml:space="preserve"> for pre-existing conditions</w:t>
      </w:r>
      <w:r w:rsidRPr="0013383D">
        <w:rPr>
          <w:rStyle w:val="Strong"/>
          <w:rFonts w:cstheme="minorHAnsi"/>
          <w:b w:val="0"/>
          <w:bCs w:val="0"/>
          <w:sz w:val="24"/>
          <w:szCs w:val="24"/>
        </w:rPr>
        <w:t xml:space="preserve"> for temporary periods abroad of up to 3 months. However, if a person is going to be abroad for more than 3 months, then they are only entitled (at NHS expense) to a sufficient supply of regular medication </w:t>
      </w:r>
      <w:proofErr w:type="gramStart"/>
      <w:r w:rsidRPr="0013383D">
        <w:rPr>
          <w:rStyle w:val="Strong"/>
          <w:rFonts w:cstheme="minorHAnsi"/>
          <w:b w:val="0"/>
          <w:bCs w:val="0"/>
          <w:sz w:val="24"/>
          <w:szCs w:val="24"/>
        </w:rPr>
        <w:t>in order to</w:t>
      </w:r>
      <w:proofErr w:type="gramEnd"/>
      <w:r w:rsidRPr="0013383D">
        <w:rPr>
          <w:rStyle w:val="Strong"/>
          <w:rFonts w:cstheme="minorHAnsi"/>
          <w:b w:val="0"/>
          <w:bCs w:val="0"/>
          <w:sz w:val="24"/>
          <w:szCs w:val="24"/>
        </w:rPr>
        <w:t xml:space="preserve"> get to their destination, where they should the find an alternative supply of that medication.</w:t>
      </w:r>
    </w:p>
    <w:p w14:paraId="075D6039" w14:textId="24411B7D" w:rsidR="0013383D" w:rsidRDefault="0013383D" w:rsidP="00935CAA">
      <w:pPr>
        <w:rPr>
          <w:rStyle w:val="Strong"/>
          <w:rFonts w:cstheme="minorHAnsi"/>
          <w:b w:val="0"/>
          <w:bCs w:val="0"/>
          <w:sz w:val="24"/>
          <w:szCs w:val="24"/>
        </w:rPr>
      </w:pPr>
    </w:p>
    <w:p w14:paraId="6F339F6D" w14:textId="7129C36D" w:rsidR="009F3EA8" w:rsidRDefault="0013383D" w:rsidP="00935CAA">
      <w:pPr>
        <w:rPr>
          <w:rStyle w:val="Strong"/>
          <w:rFonts w:cstheme="minorHAnsi"/>
          <w:b w:val="0"/>
          <w:bCs w:val="0"/>
          <w:sz w:val="24"/>
          <w:szCs w:val="24"/>
        </w:rPr>
      </w:pPr>
      <w:r>
        <w:rPr>
          <w:rStyle w:val="Strong"/>
          <w:rFonts w:cstheme="minorHAnsi"/>
          <w:b w:val="0"/>
          <w:bCs w:val="0"/>
          <w:sz w:val="24"/>
          <w:szCs w:val="24"/>
        </w:rPr>
        <w:t xml:space="preserve">Patients under no circumstances can request medication when they abroad or use a local proxy to request the medication on their behalf. This would be seen as fraud. </w:t>
      </w:r>
    </w:p>
    <w:p w14:paraId="6A3B0F5A" w14:textId="76C8D91E" w:rsidR="0013383D" w:rsidRDefault="0013383D" w:rsidP="00935CAA">
      <w:pPr>
        <w:rPr>
          <w:rStyle w:val="Strong"/>
          <w:rFonts w:cstheme="minorHAnsi"/>
          <w:b w:val="0"/>
          <w:bCs w:val="0"/>
          <w:sz w:val="24"/>
          <w:szCs w:val="24"/>
        </w:rPr>
      </w:pPr>
    </w:p>
    <w:p w14:paraId="123E438B" w14:textId="1B7B14F5" w:rsidR="0013383D" w:rsidRPr="0013383D" w:rsidRDefault="0013383D" w:rsidP="00935CAA">
      <w:pPr>
        <w:rPr>
          <w:sz w:val="28"/>
          <w:szCs w:val="28"/>
        </w:rPr>
      </w:pPr>
      <w:r w:rsidRPr="0013383D">
        <w:rPr>
          <w:sz w:val="28"/>
          <w:szCs w:val="28"/>
        </w:rPr>
        <w:t xml:space="preserve">Greyswood Practice policy: </w:t>
      </w:r>
    </w:p>
    <w:p w14:paraId="5BDFCAF3" w14:textId="29B7F43C" w:rsidR="0013383D" w:rsidRPr="0013383D" w:rsidRDefault="0013383D" w:rsidP="00935CAA">
      <w:pPr>
        <w:rPr>
          <w:b/>
          <w:bCs/>
          <w:sz w:val="24"/>
          <w:szCs w:val="24"/>
        </w:rPr>
      </w:pPr>
      <w:r w:rsidRPr="0013383D">
        <w:rPr>
          <w:b/>
          <w:bCs/>
          <w:sz w:val="24"/>
          <w:szCs w:val="24"/>
        </w:rPr>
        <w:t xml:space="preserve">Travelling out of the country for less than 3 months: </w:t>
      </w:r>
    </w:p>
    <w:p w14:paraId="11215AE5" w14:textId="01D3F936" w:rsidR="0013383D" w:rsidRDefault="0013383D" w:rsidP="00935CAA">
      <w:pPr>
        <w:rPr>
          <w:sz w:val="24"/>
          <w:szCs w:val="24"/>
        </w:rPr>
      </w:pPr>
      <w:r>
        <w:rPr>
          <w:sz w:val="24"/>
          <w:szCs w:val="24"/>
        </w:rPr>
        <w:t>Patients who tell us that they will be leaving the UK for less than 3 months, will be prescribed sufficient medication for pre-</w:t>
      </w:r>
      <w:proofErr w:type="spellStart"/>
      <w:r>
        <w:rPr>
          <w:sz w:val="24"/>
          <w:szCs w:val="24"/>
        </w:rPr>
        <w:t>exisitng</w:t>
      </w:r>
      <w:proofErr w:type="spellEnd"/>
      <w:r>
        <w:rPr>
          <w:sz w:val="24"/>
          <w:szCs w:val="24"/>
        </w:rPr>
        <w:t xml:space="preserve"> conditions where it is safe to do so. If the medication requires regular monitoring, this may not be deemed safe and will not be prescribed. </w:t>
      </w:r>
    </w:p>
    <w:p w14:paraId="3C0C4929" w14:textId="3E5F7ABF" w:rsidR="0013383D" w:rsidRDefault="0013383D" w:rsidP="00935CAA">
      <w:pPr>
        <w:rPr>
          <w:sz w:val="24"/>
          <w:szCs w:val="24"/>
        </w:rPr>
      </w:pPr>
    </w:p>
    <w:p w14:paraId="6FF4BB7D" w14:textId="45AA9C72" w:rsidR="0013383D" w:rsidRPr="0013383D" w:rsidRDefault="0013383D" w:rsidP="00935CAA">
      <w:pPr>
        <w:rPr>
          <w:b/>
          <w:bCs/>
          <w:sz w:val="24"/>
          <w:szCs w:val="24"/>
        </w:rPr>
      </w:pPr>
      <w:r w:rsidRPr="0013383D">
        <w:rPr>
          <w:b/>
          <w:bCs/>
          <w:sz w:val="24"/>
          <w:szCs w:val="24"/>
        </w:rPr>
        <w:t xml:space="preserve">Travelling out of the country for more than 3 months: </w:t>
      </w:r>
    </w:p>
    <w:p w14:paraId="18C2D070" w14:textId="3B015133" w:rsidR="0013383D" w:rsidRDefault="0013383D" w:rsidP="00935CAA">
      <w:pPr>
        <w:rPr>
          <w:sz w:val="24"/>
          <w:szCs w:val="24"/>
        </w:rPr>
      </w:pPr>
      <w:r>
        <w:rPr>
          <w:sz w:val="24"/>
          <w:szCs w:val="24"/>
        </w:rPr>
        <w:t xml:space="preserve">Patients who tell us that they will be leaving the UK for more than 3 months or residing outside of the UK indefinitely, will be prescribed sufficient medication for up to 3 months to allow them to make alternative arrangements at their pre-defined destination. </w:t>
      </w:r>
    </w:p>
    <w:p w14:paraId="3C94DAE2" w14:textId="359DE346" w:rsidR="0013383D" w:rsidRDefault="0013383D" w:rsidP="00935CAA">
      <w:pPr>
        <w:rPr>
          <w:sz w:val="24"/>
          <w:szCs w:val="24"/>
        </w:rPr>
      </w:pPr>
    </w:p>
    <w:p w14:paraId="0524BFBD" w14:textId="7064A0AE" w:rsidR="0013383D" w:rsidRDefault="0013383D" w:rsidP="00935CAA">
      <w:pPr>
        <w:rPr>
          <w:sz w:val="24"/>
          <w:szCs w:val="24"/>
        </w:rPr>
      </w:pPr>
      <w:r>
        <w:rPr>
          <w:sz w:val="24"/>
          <w:szCs w:val="24"/>
        </w:rPr>
        <w:t xml:space="preserve">As the NHS ceases responsibility for medical care for a patient once the patient has left the UK,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patient will be removed from our Patient list. If the patient returns to the UK and is living in our catchment area, we will be happy to re-register the patient and can reassure patients that existing electronic records will be kept on file. </w:t>
      </w:r>
    </w:p>
    <w:p w14:paraId="2C2B96FE" w14:textId="1F4C5CE0" w:rsidR="0013383D" w:rsidRDefault="0013383D" w:rsidP="00935CAA">
      <w:pPr>
        <w:rPr>
          <w:sz w:val="24"/>
          <w:szCs w:val="24"/>
        </w:rPr>
      </w:pPr>
    </w:p>
    <w:p w14:paraId="29AB9EE2" w14:textId="4F6F48F8" w:rsidR="0013383D" w:rsidRPr="0013383D" w:rsidRDefault="0013383D" w:rsidP="00935CAA">
      <w:pPr>
        <w:rPr>
          <w:b/>
          <w:bCs/>
          <w:sz w:val="24"/>
          <w:szCs w:val="24"/>
        </w:rPr>
      </w:pPr>
      <w:r w:rsidRPr="0013383D">
        <w:rPr>
          <w:b/>
          <w:bCs/>
          <w:sz w:val="24"/>
          <w:szCs w:val="24"/>
        </w:rPr>
        <w:t xml:space="preserve">Prescribing medication in case of illness abroad: </w:t>
      </w:r>
    </w:p>
    <w:p w14:paraId="1B2A51F5" w14:textId="2EC7D619" w:rsidR="0013383D" w:rsidRDefault="0013383D" w:rsidP="00935CAA">
      <w:pPr>
        <w:rPr>
          <w:sz w:val="24"/>
          <w:szCs w:val="24"/>
        </w:rPr>
      </w:pPr>
      <w:r>
        <w:rPr>
          <w:sz w:val="24"/>
          <w:szCs w:val="24"/>
        </w:rPr>
        <w:t>GPs will only prescribe NHS prescriptions in this case for exacerbations of pre-existing illness if medically indicated.</w:t>
      </w:r>
    </w:p>
    <w:p w14:paraId="436D5306" w14:textId="5416F421" w:rsidR="0013383D" w:rsidRDefault="0013383D" w:rsidP="00935CAA">
      <w:pPr>
        <w:rPr>
          <w:sz w:val="24"/>
          <w:szCs w:val="24"/>
        </w:rPr>
      </w:pPr>
    </w:p>
    <w:p w14:paraId="0FA085DC" w14:textId="2682BEAA" w:rsidR="0013383D" w:rsidRDefault="0013383D" w:rsidP="00935CAA">
      <w:pPr>
        <w:rPr>
          <w:sz w:val="24"/>
          <w:szCs w:val="24"/>
        </w:rPr>
      </w:pPr>
      <w:r>
        <w:rPr>
          <w:sz w:val="24"/>
          <w:szCs w:val="24"/>
        </w:rPr>
        <w:t>GPs will not prescribe NHS prescriptions such as antibiotics in case of illness abroad</w:t>
      </w:r>
      <w:r w:rsidR="0035244F">
        <w:rPr>
          <w:sz w:val="24"/>
          <w:szCs w:val="24"/>
        </w:rPr>
        <w:t xml:space="preserve"> for anyone without a pre-existing illness</w:t>
      </w:r>
      <w:r>
        <w:rPr>
          <w:sz w:val="24"/>
          <w:szCs w:val="24"/>
        </w:rPr>
        <w:t xml:space="preserve">. </w:t>
      </w:r>
    </w:p>
    <w:p w14:paraId="6476A8F1" w14:textId="373C2262" w:rsidR="0013383D" w:rsidRDefault="0013383D" w:rsidP="00935CAA">
      <w:pPr>
        <w:rPr>
          <w:sz w:val="24"/>
          <w:szCs w:val="24"/>
        </w:rPr>
      </w:pPr>
    </w:p>
    <w:p w14:paraId="18FFD49C" w14:textId="3A712D7F" w:rsidR="0013383D" w:rsidRDefault="0013383D" w:rsidP="00935CAA">
      <w:pPr>
        <w:rPr>
          <w:sz w:val="24"/>
          <w:szCs w:val="24"/>
        </w:rPr>
      </w:pPr>
      <w:r>
        <w:rPr>
          <w:sz w:val="24"/>
          <w:szCs w:val="24"/>
        </w:rPr>
        <w:t>GPs will not prescribe we will not prescribe any medication f</w:t>
      </w:r>
      <w:r>
        <w:rPr>
          <w:sz w:val="24"/>
          <w:szCs w:val="24"/>
        </w:rPr>
        <w:t xml:space="preserve">or any new illness while abroad, </w:t>
      </w:r>
      <w:r>
        <w:rPr>
          <w:sz w:val="24"/>
          <w:szCs w:val="24"/>
        </w:rPr>
        <w:t xml:space="preserve">and it is the responsibility of the patient to find alternative healthcare in the country that they are in. </w:t>
      </w:r>
    </w:p>
    <w:p w14:paraId="46577764" w14:textId="248C2267" w:rsidR="0013383D" w:rsidRDefault="0013383D" w:rsidP="00935CAA">
      <w:pPr>
        <w:rPr>
          <w:sz w:val="24"/>
          <w:szCs w:val="24"/>
        </w:rPr>
      </w:pPr>
    </w:p>
    <w:p w14:paraId="279D3056" w14:textId="77777777" w:rsidR="00935CAA" w:rsidRDefault="00935CAA" w:rsidP="00935CAA"/>
    <w:tbl>
      <w:tblPr>
        <w:tblW w:w="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</w:tblGrid>
      <w:tr w:rsidR="00935CAA" w:rsidRPr="00E717AF" w14:paraId="609A7A99" w14:textId="77777777" w:rsidTr="009F0004">
        <w:tc>
          <w:tcPr>
            <w:tcW w:w="1701" w:type="dxa"/>
            <w:shd w:val="clear" w:color="auto" w:fill="auto"/>
          </w:tcPr>
          <w:p w14:paraId="126E47E7" w14:textId="77777777" w:rsidR="00935CAA" w:rsidRPr="00E717AF" w:rsidRDefault="00935CAA" w:rsidP="009F0004">
            <w:pPr>
              <w:rPr>
                <w:rFonts w:ascii="Calibri" w:hAnsi="Calibri" w:cs="Calibri"/>
                <w:b/>
              </w:rPr>
            </w:pPr>
            <w:r w:rsidRPr="00E717AF">
              <w:rPr>
                <w:rFonts w:ascii="Calibri" w:hAnsi="Calibri" w:cs="Calibri"/>
                <w:b/>
              </w:rPr>
              <w:t>Written Date:</w:t>
            </w:r>
          </w:p>
        </w:tc>
        <w:tc>
          <w:tcPr>
            <w:tcW w:w="3260" w:type="dxa"/>
            <w:shd w:val="clear" w:color="auto" w:fill="auto"/>
          </w:tcPr>
          <w:p w14:paraId="2BC93246" w14:textId="172BD654" w:rsidR="00935CAA" w:rsidRPr="00E717AF" w:rsidRDefault="00935CAA" w:rsidP="009F00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2022</w:t>
            </w:r>
          </w:p>
        </w:tc>
      </w:tr>
      <w:tr w:rsidR="00935CAA" w:rsidRPr="00E717AF" w14:paraId="1086C7E8" w14:textId="77777777" w:rsidTr="009F0004">
        <w:tc>
          <w:tcPr>
            <w:tcW w:w="1701" w:type="dxa"/>
            <w:shd w:val="clear" w:color="auto" w:fill="auto"/>
          </w:tcPr>
          <w:p w14:paraId="215E3140" w14:textId="77777777" w:rsidR="00935CAA" w:rsidRPr="00E717AF" w:rsidRDefault="00935CAA" w:rsidP="009F0004">
            <w:pPr>
              <w:rPr>
                <w:rFonts w:ascii="Calibri" w:hAnsi="Calibri" w:cs="Calibri"/>
                <w:b/>
              </w:rPr>
            </w:pPr>
            <w:r w:rsidRPr="00E717AF">
              <w:rPr>
                <w:rFonts w:ascii="Calibri" w:hAnsi="Calibri" w:cs="Calibri"/>
                <w:b/>
              </w:rPr>
              <w:t>Reviewed:</w:t>
            </w:r>
          </w:p>
        </w:tc>
        <w:tc>
          <w:tcPr>
            <w:tcW w:w="3260" w:type="dxa"/>
            <w:shd w:val="clear" w:color="auto" w:fill="auto"/>
          </w:tcPr>
          <w:p w14:paraId="35942CC8" w14:textId="07CA07D8" w:rsidR="00935CAA" w:rsidRPr="00E717AF" w:rsidRDefault="00935CAA" w:rsidP="009F0004">
            <w:pPr>
              <w:rPr>
                <w:rFonts w:ascii="Calibri" w:hAnsi="Calibri" w:cs="Calibri"/>
              </w:rPr>
            </w:pPr>
          </w:p>
        </w:tc>
      </w:tr>
      <w:tr w:rsidR="00935CAA" w:rsidRPr="00E717AF" w14:paraId="7E93EA3C" w14:textId="77777777" w:rsidTr="009F0004">
        <w:tc>
          <w:tcPr>
            <w:tcW w:w="1701" w:type="dxa"/>
            <w:shd w:val="clear" w:color="auto" w:fill="auto"/>
          </w:tcPr>
          <w:p w14:paraId="1DAFBB31" w14:textId="77777777" w:rsidR="00935CAA" w:rsidRPr="00E717AF" w:rsidRDefault="00935CAA" w:rsidP="009F0004">
            <w:pPr>
              <w:rPr>
                <w:rFonts w:ascii="Calibri" w:hAnsi="Calibri" w:cs="Calibri"/>
                <w:b/>
              </w:rPr>
            </w:pPr>
            <w:r w:rsidRPr="00E717AF">
              <w:rPr>
                <w:rFonts w:ascii="Calibri" w:hAnsi="Calibri" w:cs="Calibri"/>
                <w:b/>
              </w:rPr>
              <w:t>Written by:</w:t>
            </w:r>
          </w:p>
        </w:tc>
        <w:tc>
          <w:tcPr>
            <w:tcW w:w="3260" w:type="dxa"/>
            <w:shd w:val="clear" w:color="auto" w:fill="auto"/>
          </w:tcPr>
          <w:p w14:paraId="79AD0B35" w14:textId="68244EE0" w:rsidR="00935CAA" w:rsidRPr="00E717AF" w:rsidRDefault="00935CAA" w:rsidP="009F00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Emily Thompson</w:t>
            </w:r>
            <w:r w:rsidR="0013383D">
              <w:rPr>
                <w:rFonts w:ascii="Calibri" w:hAnsi="Calibri" w:cs="Calibri"/>
              </w:rPr>
              <w:t xml:space="preserve">, Dr Penny Osborne </w:t>
            </w:r>
          </w:p>
        </w:tc>
      </w:tr>
    </w:tbl>
    <w:p w14:paraId="2A0934B6" w14:textId="77777777" w:rsidR="00935CAA" w:rsidRPr="00935CAA" w:rsidRDefault="00935CAA" w:rsidP="00935CAA"/>
    <w:sectPr w:rsidR="00935CAA" w:rsidRPr="00935C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0043" w14:textId="77777777" w:rsidR="00935CAA" w:rsidRDefault="00935CAA" w:rsidP="00935CAA">
      <w:r>
        <w:separator/>
      </w:r>
    </w:p>
  </w:endnote>
  <w:endnote w:type="continuationSeparator" w:id="0">
    <w:p w14:paraId="13D752A4" w14:textId="77777777" w:rsidR="00935CAA" w:rsidRDefault="00935CAA" w:rsidP="0093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747D" w14:textId="77777777" w:rsidR="00935CAA" w:rsidRDefault="00935CAA" w:rsidP="00935CAA">
      <w:r>
        <w:separator/>
      </w:r>
    </w:p>
  </w:footnote>
  <w:footnote w:type="continuationSeparator" w:id="0">
    <w:p w14:paraId="6A17BF2F" w14:textId="77777777" w:rsidR="00935CAA" w:rsidRDefault="00935CAA" w:rsidP="00935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B4B6" w14:textId="343A0E66" w:rsidR="00935CAA" w:rsidRDefault="00935CAA" w:rsidP="00935CAA">
    <w:pPr>
      <w:pStyle w:val="Header"/>
      <w:jc w:val="right"/>
    </w:pPr>
    <w:r>
      <w:t>Date: June 2022</w:t>
    </w:r>
  </w:p>
  <w:p w14:paraId="32472B68" w14:textId="7D948C9E" w:rsidR="00935CAA" w:rsidRDefault="00935CAA" w:rsidP="00935CAA">
    <w:pPr>
      <w:pStyle w:val="Header"/>
      <w:jc w:val="right"/>
    </w:pPr>
    <w:r>
      <w:t>Revision Date: June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8155F"/>
    <w:multiLevelType w:val="hybridMultilevel"/>
    <w:tmpl w:val="C930EF20"/>
    <w:lvl w:ilvl="0" w:tplc="34CA8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23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AA"/>
    <w:rsid w:val="0013383D"/>
    <w:rsid w:val="0035244F"/>
    <w:rsid w:val="00583E0B"/>
    <w:rsid w:val="00935CAA"/>
    <w:rsid w:val="009F3EA8"/>
    <w:rsid w:val="00A33549"/>
    <w:rsid w:val="00AA13B5"/>
    <w:rsid w:val="00E9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A94E"/>
  <w15:chartTrackingRefBased/>
  <w15:docId w15:val="{3B73CE74-F0ED-4BA5-BC13-7DCDE433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5C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35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CAA"/>
  </w:style>
  <w:style w:type="paragraph" w:styleId="Footer">
    <w:name w:val="footer"/>
    <w:basedOn w:val="Normal"/>
    <w:link w:val="FooterChar"/>
    <w:uiPriority w:val="99"/>
    <w:unhideWhenUsed/>
    <w:rsid w:val="00935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CAA"/>
  </w:style>
  <w:style w:type="paragraph" w:styleId="ListParagraph">
    <w:name w:val="List Paragraph"/>
    <w:basedOn w:val="Normal"/>
    <w:uiPriority w:val="34"/>
    <w:qFormat/>
    <w:rsid w:val="009F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 Greyswood</dc:creator>
  <cp:keywords/>
  <dc:description/>
  <cp:lastModifiedBy>Pm Greyswood</cp:lastModifiedBy>
  <cp:revision>5</cp:revision>
  <dcterms:created xsi:type="dcterms:W3CDTF">2022-06-27T09:09:00Z</dcterms:created>
  <dcterms:modified xsi:type="dcterms:W3CDTF">2022-06-27T10:18:00Z</dcterms:modified>
</cp:coreProperties>
</file>