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19FA" w14:textId="77777777" w:rsidR="0035046D" w:rsidRDefault="0035046D"/>
    <w:tbl>
      <w:tblPr>
        <w:tblStyle w:val="TableGrid"/>
        <w:tblW w:w="0" w:type="auto"/>
        <w:tblLook w:val="01E0" w:firstRow="1" w:lastRow="1" w:firstColumn="1" w:lastColumn="1" w:noHBand="0" w:noVBand="0"/>
      </w:tblPr>
      <w:tblGrid>
        <w:gridCol w:w="3233"/>
        <w:gridCol w:w="3219"/>
        <w:gridCol w:w="3176"/>
      </w:tblGrid>
      <w:tr w:rsidR="0035046D" w14:paraId="50C78CDC" w14:textId="77777777" w:rsidTr="0035046D">
        <w:tc>
          <w:tcPr>
            <w:tcW w:w="3284" w:type="dxa"/>
          </w:tcPr>
          <w:p w14:paraId="1E12648A" w14:textId="77777777" w:rsidR="00AB10C6" w:rsidRPr="00B526AF" w:rsidRDefault="00387A12" w:rsidP="00387A12">
            <w:pPr>
              <w:rPr>
                <w:rFonts w:ascii="Verdana" w:hAnsi="Verdana"/>
                <w:b/>
                <w:sz w:val="36"/>
                <w:szCs w:val="36"/>
              </w:rPr>
            </w:pPr>
            <w:r>
              <w:rPr>
                <w:rFonts w:ascii="Verdana" w:hAnsi="Verdana"/>
                <w:b/>
                <w:sz w:val="36"/>
                <w:szCs w:val="36"/>
              </w:rPr>
              <w:t>Practice name</w:t>
            </w:r>
          </w:p>
        </w:tc>
        <w:tc>
          <w:tcPr>
            <w:tcW w:w="3285" w:type="dxa"/>
          </w:tcPr>
          <w:p w14:paraId="42A7B802" w14:textId="77777777" w:rsidR="0035046D" w:rsidRPr="00B526AF" w:rsidRDefault="008A3CA4">
            <w:pPr>
              <w:rPr>
                <w:rFonts w:ascii="Verdana" w:hAnsi="Verdana"/>
              </w:rPr>
            </w:pPr>
            <w:proofErr w:type="spellStart"/>
            <w:r>
              <w:rPr>
                <w:rFonts w:ascii="Verdana" w:hAnsi="Verdana"/>
              </w:rPr>
              <w:t>Gudge</w:t>
            </w:r>
            <w:proofErr w:type="spellEnd"/>
            <w:r>
              <w:rPr>
                <w:rFonts w:ascii="Verdana" w:hAnsi="Verdana"/>
              </w:rPr>
              <w:t xml:space="preserve"> Heath Lane Surgery</w:t>
            </w:r>
          </w:p>
        </w:tc>
        <w:tc>
          <w:tcPr>
            <w:tcW w:w="3285" w:type="dxa"/>
          </w:tcPr>
          <w:p w14:paraId="374AEF35" w14:textId="77777777" w:rsidR="0035046D" w:rsidRPr="00B526AF" w:rsidRDefault="0035046D">
            <w:pPr>
              <w:rPr>
                <w:rFonts w:ascii="Verdana" w:hAnsi="Verdana"/>
              </w:rPr>
            </w:pPr>
          </w:p>
        </w:tc>
      </w:tr>
      <w:tr w:rsidR="0035046D" w14:paraId="3EB8947C" w14:textId="77777777" w:rsidTr="0035046D">
        <w:tc>
          <w:tcPr>
            <w:tcW w:w="3284" w:type="dxa"/>
          </w:tcPr>
          <w:p w14:paraId="1273AE23" w14:textId="77777777" w:rsidR="0035046D" w:rsidRPr="00B526AF" w:rsidRDefault="0077351A">
            <w:pPr>
              <w:rPr>
                <w:rFonts w:ascii="Verdana" w:hAnsi="Verdana"/>
              </w:rPr>
            </w:pPr>
            <w:r w:rsidRPr="00B526AF">
              <w:rPr>
                <w:rFonts w:ascii="Verdana" w:hAnsi="Verdana"/>
              </w:rPr>
              <w:t>Policy Name:</w:t>
            </w:r>
          </w:p>
        </w:tc>
        <w:tc>
          <w:tcPr>
            <w:tcW w:w="3285" w:type="dxa"/>
          </w:tcPr>
          <w:p w14:paraId="7AEC42DD" w14:textId="77777777" w:rsidR="004700DA" w:rsidRPr="00070C1F" w:rsidRDefault="004700DA" w:rsidP="004700DA">
            <w:pPr>
              <w:pStyle w:val="Title"/>
              <w:spacing w:line="360" w:lineRule="auto"/>
              <w:rPr>
                <w:rFonts w:ascii="Tahoma" w:hAnsi="Tahoma" w:cs="Tahoma"/>
                <w:u w:val="single"/>
              </w:rPr>
            </w:pPr>
            <w:r w:rsidRPr="00070C1F">
              <w:rPr>
                <w:rFonts w:ascii="Tahoma" w:hAnsi="Tahoma" w:cs="Tahoma"/>
                <w:u w:val="single"/>
              </w:rPr>
              <w:t>CCTV POLICY AND CODE OF PRACTICE</w:t>
            </w:r>
          </w:p>
          <w:p w14:paraId="54CE036F" w14:textId="77777777" w:rsidR="0035046D" w:rsidRPr="00B526AF" w:rsidRDefault="0035046D">
            <w:pPr>
              <w:rPr>
                <w:rFonts w:ascii="Verdana" w:hAnsi="Verdana"/>
                <w:b/>
              </w:rPr>
            </w:pPr>
          </w:p>
        </w:tc>
        <w:tc>
          <w:tcPr>
            <w:tcW w:w="3285" w:type="dxa"/>
          </w:tcPr>
          <w:p w14:paraId="7E668992" w14:textId="77777777" w:rsidR="0035046D" w:rsidRPr="00B526AF" w:rsidRDefault="0035046D">
            <w:pPr>
              <w:rPr>
                <w:rFonts w:ascii="Verdana" w:hAnsi="Verdana"/>
              </w:rPr>
            </w:pPr>
          </w:p>
        </w:tc>
      </w:tr>
      <w:tr w:rsidR="0035046D" w14:paraId="3A683745" w14:textId="77777777" w:rsidTr="0035046D">
        <w:tc>
          <w:tcPr>
            <w:tcW w:w="3284" w:type="dxa"/>
          </w:tcPr>
          <w:p w14:paraId="4A2528FF" w14:textId="77777777" w:rsidR="0035046D" w:rsidRPr="00B526AF" w:rsidRDefault="0077351A">
            <w:pPr>
              <w:rPr>
                <w:rFonts w:ascii="Verdana" w:hAnsi="Verdana"/>
              </w:rPr>
            </w:pPr>
            <w:r w:rsidRPr="00B526AF">
              <w:rPr>
                <w:rFonts w:ascii="Verdana" w:hAnsi="Verdana"/>
              </w:rPr>
              <w:t>Date reviewed</w:t>
            </w:r>
          </w:p>
        </w:tc>
        <w:tc>
          <w:tcPr>
            <w:tcW w:w="3285" w:type="dxa"/>
          </w:tcPr>
          <w:p w14:paraId="0EA29136" w14:textId="77777777" w:rsidR="0035046D" w:rsidRPr="00B526AF" w:rsidRDefault="008A3CA4" w:rsidP="00FF05CF">
            <w:pPr>
              <w:rPr>
                <w:rFonts w:ascii="Verdana" w:hAnsi="Verdana"/>
              </w:rPr>
            </w:pPr>
            <w:r>
              <w:rPr>
                <w:rFonts w:ascii="Verdana" w:hAnsi="Verdana"/>
              </w:rPr>
              <w:t>February 2022</w:t>
            </w:r>
          </w:p>
        </w:tc>
        <w:tc>
          <w:tcPr>
            <w:tcW w:w="3285" w:type="dxa"/>
          </w:tcPr>
          <w:p w14:paraId="0DA97E8A" w14:textId="77777777" w:rsidR="0035046D" w:rsidRPr="00B526AF" w:rsidRDefault="0035046D">
            <w:pPr>
              <w:rPr>
                <w:rFonts w:ascii="Verdana" w:hAnsi="Verdana"/>
              </w:rPr>
            </w:pPr>
          </w:p>
        </w:tc>
      </w:tr>
      <w:tr w:rsidR="0035046D" w14:paraId="021C3D2E" w14:textId="77777777" w:rsidTr="0035046D">
        <w:tc>
          <w:tcPr>
            <w:tcW w:w="3284" w:type="dxa"/>
          </w:tcPr>
          <w:p w14:paraId="4B1D2250" w14:textId="77777777" w:rsidR="0035046D" w:rsidRPr="00B526AF" w:rsidRDefault="00B73F61">
            <w:pPr>
              <w:rPr>
                <w:rFonts w:ascii="Verdana" w:hAnsi="Verdana"/>
              </w:rPr>
            </w:pPr>
            <w:r w:rsidRPr="00B526AF">
              <w:rPr>
                <w:rFonts w:ascii="Verdana" w:hAnsi="Verdana"/>
              </w:rPr>
              <w:t>Next Review</w:t>
            </w:r>
          </w:p>
        </w:tc>
        <w:tc>
          <w:tcPr>
            <w:tcW w:w="3285" w:type="dxa"/>
          </w:tcPr>
          <w:p w14:paraId="37BA4582" w14:textId="77777777" w:rsidR="0035046D" w:rsidRPr="00B526AF" w:rsidRDefault="008A3CA4">
            <w:pPr>
              <w:rPr>
                <w:rFonts w:ascii="Verdana" w:hAnsi="Verdana"/>
              </w:rPr>
            </w:pPr>
            <w:r>
              <w:rPr>
                <w:rFonts w:ascii="Verdana" w:hAnsi="Verdana"/>
              </w:rPr>
              <w:t>February 2023</w:t>
            </w:r>
          </w:p>
        </w:tc>
        <w:tc>
          <w:tcPr>
            <w:tcW w:w="3285" w:type="dxa"/>
          </w:tcPr>
          <w:p w14:paraId="00095C08" w14:textId="77777777" w:rsidR="0035046D" w:rsidRPr="00B526AF" w:rsidRDefault="0035046D">
            <w:pPr>
              <w:rPr>
                <w:rFonts w:ascii="Verdana" w:hAnsi="Verdana"/>
              </w:rPr>
            </w:pPr>
          </w:p>
        </w:tc>
      </w:tr>
    </w:tbl>
    <w:p w14:paraId="1063CFE1" w14:textId="77777777" w:rsidR="004700DA" w:rsidRDefault="004700DA" w:rsidP="004700DA">
      <w:pPr>
        <w:pStyle w:val="Title"/>
        <w:spacing w:line="360" w:lineRule="auto"/>
        <w:rPr>
          <w:rFonts w:ascii="Tahoma" w:hAnsi="Tahoma" w:cs="Tahoma"/>
          <w:u w:val="single"/>
        </w:rPr>
      </w:pPr>
    </w:p>
    <w:p w14:paraId="602A946A" w14:textId="77777777" w:rsidR="004700DA" w:rsidRPr="00AB10C6" w:rsidRDefault="004700DA" w:rsidP="004700DA">
      <w:pPr>
        <w:pStyle w:val="Title"/>
        <w:spacing w:line="360" w:lineRule="auto"/>
        <w:rPr>
          <w:rFonts w:ascii="Arial" w:hAnsi="Arial" w:cs="Arial"/>
          <w:u w:val="single"/>
        </w:rPr>
      </w:pPr>
      <w:r w:rsidRPr="00AB10C6">
        <w:rPr>
          <w:rFonts w:ascii="Arial" w:hAnsi="Arial" w:cs="Arial"/>
          <w:u w:val="single"/>
        </w:rPr>
        <w:t>CCTV POLICY AND CODE OF PRACTICE</w:t>
      </w:r>
    </w:p>
    <w:p w14:paraId="5C8C9E8F" w14:textId="77777777" w:rsidR="004700DA" w:rsidRPr="00AB10C6" w:rsidRDefault="004700DA" w:rsidP="004700DA">
      <w:pPr>
        <w:ind w:right="397"/>
        <w:rPr>
          <w:rFonts w:ascii="Arial" w:hAnsi="Arial" w:cs="Arial"/>
        </w:rPr>
      </w:pPr>
      <w:r w:rsidRPr="00AB10C6">
        <w:rPr>
          <w:rFonts w:ascii="Arial" w:hAnsi="Arial" w:cs="Arial"/>
        </w:rPr>
        <w:t xml:space="preserve">Closed circuit television (CCTV) is installed at the practice premises for the purposes of staff, </w:t>
      </w:r>
      <w:proofErr w:type="gramStart"/>
      <w:r w:rsidRPr="00AB10C6">
        <w:rPr>
          <w:rFonts w:ascii="Arial" w:hAnsi="Arial" w:cs="Arial"/>
        </w:rPr>
        <w:t>patient</w:t>
      </w:r>
      <w:proofErr w:type="gramEnd"/>
      <w:r w:rsidRPr="00AB10C6">
        <w:rPr>
          <w:rFonts w:ascii="Arial" w:hAnsi="Arial" w:cs="Arial"/>
        </w:rPr>
        <w:t xml:space="preserve"> and premises security. Cameras are located at various places on the premises, and images from the cameras are recorded.</w:t>
      </w:r>
    </w:p>
    <w:p w14:paraId="19ABCBD6" w14:textId="77777777" w:rsidR="004700DA" w:rsidRPr="00AB10C6" w:rsidRDefault="004700DA" w:rsidP="004700DA">
      <w:pPr>
        <w:ind w:right="397"/>
        <w:rPr>
          <w:rFonts w:ascii="Arial" w:hAnsi="Arial" w:cs="Arial"/>
        </w:rPr>
      </w:pPr>
    </w:p>
    <w:p w14:paraId="6EB79C31" w14:textId="77777777" w:rsidR="004700DA" w:rsidRPr="00AB10C6" w:rsidRDefault="004700DA" w:rsidP="004700DA">
      <w:pPr>
        <w:pStyle w:val="NormalWeb"/>
        <w:spacing w:before="0" w:beforeAutospacing="0" w:after="0" w:afterAutospacing="0"/>
        <w:ind w:right="397"/>
        <w:rPr>
          <w:rFonts w:ascii="Arial" w:hAnsi="Arial" w:cs="Arial"/>
        </w:rPr>
      </w:pPr>
      <w:proofErr w:type="gramStart"/>
      <w:r w:rsidRPr="00AB10C6">
        <w:rPr>
          <w:rFonts w:ascii="Arial" w:hAnsi="Arial" w:cs="Arial"/>
        </w:rPr>
        <w:t>In order to</w:t>
      </w:r>
      <w:proofErr w:type="gramEnd"/>
      <w:r w:rsidRPr="00AB10C6">
        <w:rPr>
          <w:rFonts w:ascii="Arial" w:hAnsi="Arial" w:cs="Arial"/>
        </w:rPr>
        <w:t xml:space="preserve"> comply with the requirements of the</w:t>
      </w:r>
      <w:r w:rsidR="00AB10C6">
        <w:rPr>
          <w:rFonts w:ascii="Arial" w:hAnsi="Arial" w:cs="Arial"/>
        </w:rPr>
        <w:t xml:space="preserve"> Data Protection</w:t>
      </w:r>
      <w:r w:rsidR="009B5F1C">
        <w:rPr>
          <w:rFonts w:ascii="Arial" w:hAnsi="Arial" w:cs="Arial"/>
        </w:rPr>
        <w:t xml:space="preserve"> </w:t>
      </w:r>
      <w:r w:rsidRPr="00AB10C6">
        <w:rPr>
          <w:rFonts w:ascii="Arial" w:hAnsi="Arial" w:cs="Arial"/>
        </w:rPr>
        <w:t>Act</w:t>
      </w:r>
      <w:r w:rsidR="009B5F1C">
        <w:rPr>
          <w:rFonts w:ascii="Arial" w:hAnsi="Arial" w:cs="Arial"/>
        </w:rPr>
        <w:t xml:space="preserve"> 2018</w:t>
      </w:r>
      <w:r w:rsidRPr="00AB10C6">
        <w:rPr>
          <w:rFonts w:ascii="Arial" w:hAnsi="Arial" w:cs="Arial"/>
        </w:rPr>
        <w:t>, data must be:</w:t>
      </w:r>
    </w:p>
    <w:p w14:paraId="14F000A2" w14:textId="77777777" w:rsidR="004700DA" w:rsidRPr="00AB10C6" w:rsidRDefault="004700DA" w:rsidP="004700DA">
      <w:pPr>
        <w:pStyle w:val="NormalWeb"/>
        <w:spacing w:before="0" w:beforeAutospacing="0" w:after="0" w:afterAutospacing="0"/>
        <w:ind w:right="397"/>
        <w:rPr>
          <w:rFonts w:ascii="Arial" w:hAnsi="Arial" w:cs="Arial"/>
        </w:rPr>
      </w:pPr>
    </w:p>
    <w:p w14:paraId="56551201" w14:textId="77777777" w:rsidR="004700DA" w:rsidRPr="00AB10C6" w:rsidRDefault="004700DA" w:rsidP="004700DA">
      <w:pPr>
        <w:pStyle w:val="NormalWeb"/>
        <w:numPr>
          <w:ilvl w:val="0"/>
          <w:numId w:val="12"/>
        </w:numPr>
        <w:spacing w:before="0" w:beforeAutospacing="0" w:after="0" w:afterAutospacing="0"/>
        <w:ind w:right="397"/>
        <w:rPr>
          <w:rFonts w:ascii="Arial" w:hAnsi="Arial" w:cs="Arial"/>
        </w:rPr>
      </w:pPr>
      <w:r w:rsidRPr="00AB10C6">
        <w:rPr>
          <w:rFonts w:ascii="Arial" w:hAnsi="Arial" w:cs="Arial"/>
        </w:rPr>
        <w:t>Fairly and lawfully processed</w:t>
      </w:r>
    </w:p>
    <w:p w14:paraId="18A09153" w14:textId="77777777" w:rsidR="004700DA" w:rsidRPr="00AB10C6" w:rsidRDefault="004700DA" w:rsidP="004700DA">
      <w:pPr>
        <w:pStyle w:val="NormalWeb"/>
        <w:numPr>
          <w:ilvl w:val="0"/>
          <w:numId w:val="12"/>
        </w:numPr>
        <w:spacing w:before="0" w:beforeAutospacing="0" w:after="0" w:afterAutospacing="0"/>
        <w:ind w:right="397"/>
        <w:rPr>
          <w:rFonts w:ascii="Arial" w:hAnsi="Arial" w:cs="Arial"/>
        </w:rPr>
      </w:pPr>
      <w:r w:rsidRPr="00AB10C6">
        <w:rPr>
          <w:rFonts w:ascii="Arial" w:hAnsi="Arial" w:cs="Arial"/>
        </w:rPr>
        <w:t>Processed for limited purposes and not in any manner incompatible with those purposes</w:t>
      </w:r>
    </w:p>
    <w:p w14:paraId="62F3D246" w14:textId="77777777" w:rsidR="004700DA" w:rsidRPr="00AB10C6" w:rsidRDefault="004700DA" w:rsidP="004700DA">
      <w:pPr>
        <w:pStyle w:val="NormalWeb"/>
        <w:numPr>
          <w:ilvl w:val="0"/>
          <w:numId w:val="12"/>
        </w:numPr>
        <w:spacing w:before="0" w:beforeAutospacing="0" w:after="0" w:afterAutospacing="0"/>
        <w:ind w:right="397"/>
        <w:rPr>
          <w:rFonts w:ascii="Arial" w:hAnsi="Arial" w:cs="Arial"/>
        </w:rPr>
      </w:pPr>
      <w:r w:rsidRPr="00AB10C6">
        <w:rPr>
          <w:rFonts w:ascii="Arial" w:hAnsi="Arial" w:cs="Arial"/>
        </w:rPr>
        <w:t xml:space="preserve">Adequate, </w:t>
      </w:r>
      <w:proofErr w:type="gramStart"/>
      <w:r w:rsidRPr="00AB10C6">
        <w:rPr>
          <w:rFonts w:ascii="Arial" w:hAnsi="Arial" w:cs="Arial"/>
        </w:rPr>
        <w:t>relevant</w:t>
      </w:r>
      <w:proofErr w:type="gramEnd"/>
      <w:r w:rsidRPr="00AB10C6">
        <w:rPr>
          <w:rFonts w:ascii="Arial" w:hAnsi="Arial" w:cs="Arial"/>
        </w:rPr>
        <w:t xml:space="preserve"> and not excessive</w:t>
      </w:r>
    </w:p>
    <w:p w14:paraId="3ED6BF51" w14:textId="77777777" w:rsidR="004700DA" w:rsidRPr="00AB10C6" w:rsidRDefault="004700DA" w:rsidP="004700DA">
      <w:pPr>
        <w:pStyle w:val="NormalWeb"/>
        <w:numPr>
          <w:ilvl w:val="0"/>
          <w:numId w:val="12"/>
        </w:numPr>
        <w:spacing w:before="0" w:beforeAutospacing="0" w:after="0" w:afterAutospacing="0"/>
        <w:ind w:right="397"/>
        <w:rPr>
          <w:rFonts w:ascii="Arial" w:hAnsi="Arial" w:cs="Arial"/>
        </w:rPr>
      </w:pPr>
      <w:r w:rsidRPr="00AB10C6">
        <w:rPr>
          <w:rFonts w:ascii="Arial" w:hAnsi="Arial" w:cs="Arial"/>
        </w:rPr>
        <w:t>Accurate</w:t>
      </w:r>
    </w:p>
    <w:p w14:paraId="4F7651E1" w14:textId="77777777" w:rsidR="004700DA" w:rsidRPr="00AB10C6" w:rsidRDefault="004700DA" w:rsidP="004700DA">
      <w:pPr>
        <w:pStyle w:val="NormalWeb"/>
        <w:numPr>
          <w:ilvl w:val="0"/>
          <w:numId w:val="12"/>
        </w:numPr>
        <w:spacing w:before="0" w:beforeAutospacing="0" w:after="0" w:afterAutospacing="0"/>
        <w:ind w:right="397"/>
        <w:rPr>
          <w:rFonts w:ascii="Arial" w:hAnsi="Arial" w:cs="Arial"/>
        </w:rPr>
      </w:pPr>
      <w:r w:rsidRPr="00AB10C6">
        <w:rPr>
          <w:rFonts w:ascii="Arial" w:hAnsi="Arial" w:cs="Arial"/>
        </w:rPr>
        <w:t>Not kept for longer than is necessary</w:t>
      </w:r>
    </w:p>
    <w:p w14:paraId="092FFB36" w14:textId="77777777" w:rsidR="004700DA" w:rsidRPr="00AB10C6" w:rsidRDefault="004700DA" w:rsidP="004700DA">
      <w:pPr>
        <w:pStyle w:val="NormalWeb"/>
        <w:numPr>
          <w:ilvl w:val="0"/>
          <w:numId w:val="12"/>
        </w:numPr>
        <w:spacing w:before="0" w:beforeAutospacing="0" w:after="0" w:afterAutospacing="0"/>
        <w:ind w:right="397"/>
        <w:rPr>
          <w:rFonts w:ascii="Arial" w:hAnsi="Arial" w:cs="Arial"/>
        </w:rPr>
      </w:pPr>
      <w:r w:rsidRPr="00AB10C6">
        <w:rPr>
          <w:rFonts w:ascii="Arial" w:hAnsi="Arial" w:cs="Arial"/>
        </w:rPr>
        <w:t>Processed in accordance with individuals' rights</w:t>
      </w:r>
    </w:p>
    <w:p w14:paraId="10C4EB43" w14:textId="77777777" w:rsidR="004700DA" w:rsidRPr="00AB10C6" w:rsidRDefault="004700DA" w:rsidP="004700DA">
      <w:pPr>
        <w:pStyle w:val="NormalWeb"/>
        <w:numPr>
          <w:ilvl w:val="0"/>
          <w:numId w:val="12"/>
        </w:numPr>
        <w:spacing w:before="0" w:beforeAutospacing="0" w:after="0" w:afterAutospacing="0"/>
        <w:ind w:right="397"/>
        <w:rPr>
          <w:rFonts w:ascii="Arial" w:hAnsi="Arial" w:cs="Arial"/>
        </w:rPr>
      </w:pPr>
      <w:r w:rsidRPr="00AB10C6">
        <w:rPr>
          <w:rFonts w:ascii="Arial" w:hAnsi="Arial" w:cs="Arial"/>
        </w:rPr>
        <w:t>Secure</w:t>
      </w:r>
    </w:p>
    <w:p w14:paraId="6D8215FF" w14:textId="77777777" w:rsidR="004700DA" w:rsidRPr="00AB10C6" w:rsidRDefault="004700DA" w:rsidP="004700DA">
      <w:pPr>
        <w:pStyle w:val="NormalWeb"/>
        <w:spacing w:before="0" w:beforeAutospacing="0" w:after="0" w:afterAutospacing="0"/>
        <w:ind w:left="1344" w:right="397"/>
        <w:rPr>
          <w:rFonts w:ascii="Arial" w:hAnsi="Arial" w:cs="Arial"/>
        </w:rPr>
      </w:pPr>
    </w:p>
    <w:p w14:paraId="3292BB5E" w14:textId="77777777" w:rsidR="004700DA" w:rsidRPr="00AB10C6" w:rsidRDefault="004700DA" w:rsidP="004700DA">
      <w:pPr>
        <w:pStyle w:val="NormalWeb"/>
        <w:spacing w:before="0" w:beforeAutospacing="0" w:after="0" w:afterAutospacing="0"/>
        <w:ind w:right="397"/>
        <w:rPr>
          <w:rFonts w:ascii="Arial" w:hAnsi="Arial" w:cs="Arial"/>
          <w:b/>
        </w:rPr>
      </w:pPr>
      <w:r w:rsidRPr="00AB10C6">
        <w:rPr>
          <w:rFonts w:ascii="Arial" w:hAnsi="Arial" w:cs="Arial"/>
          <w:b/>
        </w:rPr>
        <w:t>Data Protection statement</w:t>
      </w:r>
    </w:p>
    <w:p w14:paraId="422AD5FF" w14:textId="77777777" w:rsidR="004700DA" w:rsidRPr="00AB10C6" w:rsidRDefault="004700DA" w:rsidP="004700DA">
      <w:pPr>
        <w:pStyle w:val="NormalWeb"/>
        <w:spacing w:before="0" w:beforeAutospacing="0" w:after="0" w:afterAutospacing="0"/>
        <w:ind w:left="1344" w:right="397"/>
        <w:rPr>
          <w:rFonts w:ascii="Arial" w:hAnsi="Arial" w:cs="Arial"/>
        </w:rPr>
      </w:pPr>
    </w:p>
    <w:p w14:paraId="0060711B" w14:textId="77777777" w:rsidR="004700DA" w:rsidRPr="00AB10C6" w:rsidRDefault="004700DA" w:rsidP="004700DA">
      <w:pPr>
        <w:pStyle w:val="NormalWeb"/>
        <w:numPr>
          <w:ilvl w:val="0"/>
          <w:numId w:val="13"/>
        </w:numPr>
        <w:spacing w:before="0" w:beforeAutospacing="0" w:after="0" w:afterAutospacing="0"/>
        <w:ind w:right="397"/>
        <w:rPr>
          <w:rFonts w:ascii="Arial" w:hAnsi="Arial" w:cs="Arial"/>
        </w:rPr>
      </w:pPr>
      <w:r w:rsidRPr="00AB10C6">
        <w:rPr>
          <w:rFonts w:ascii="Arial" w:hAnsi="Arial" w:cs="Arial"/>
        </w:rPr>
        <w:t xml:space="preserve">CCTV is installed for the purpose of staff, </w:t>
      </w:r>
      <w:proofErr w:type="gramStart"/>
      <w:r w:rsidRPr="00AB10C6">
        <w:rPr>
          <w:rFonts w:ascii="Arial" w:hAnsi="Arial" w:cs="Arial"/>
        </w:rPr>
        <w:t>patient</w:t>
      </w:r>
      <w:proofErr w:type="gramEnd"/>
      <w:r w:rsidRPr="00AB10C6">
        <w:rPr>
          <w:rFonts w:ascii="Arial" w:hAnsi="Arial" w:cs="Arial"/>
        </w:rPr>
        <w:t xml:space="preserve"> and premises security.</w:t>
      </w:r>
    </w:p>
    <w:p w14:paraId="0EDFC7A4" w14:textId="77777777" w:rsidR="004700DA" w:rsidRPr="00AB10C6" w:rsidRDefault="004700DA" w:rsidP="004700DA">
      <w:pPr>
        <w:pStyle w:val="NormalWeb"/>
        <w:numPr>
          <w:ilvl w:val="0"/>
          <w:numId w:val="13"/>
        </w:numPr>
        <w:spacing w:before="0" w:beforeAutospacing="0" w:after="0" w:afterAutospacing="0"/>
        <w:ind w:right="397"/>
        <w:rPr>
          <w:rFonts w:ascii="Arial" w:hAnsi="Arial" w:cs="Arial"/>
        </w:rPr>
      </w:pPr>
      <w:r w:rsidRPr="00AB10C6">
        <w:rPr>
          <w:rFonts w:ascii="Arial" w:hAnsi="Arial" w:cs="Arial"/>
        </w:rPr>
        <w:t>Access to stored images will be controlled on a restricted basis within the practice.</w:t>
      </w:r>
    </w:p>
    <w:p w14:paraId="39FAA636" w14:textId="77777777" w:rsidR="004700DA" w:rsidRPr="00AB10C6" w:rsidRDefault="004700DA" w:rsidP="004700DA">
      <w:pPr>
        <w:numPr>
          <w:ilvl w:val="0"/>
          <w:numId w:val="13"/>
        </w:numPr>
        <w:ind w:right="397"/>
        <w:rPr>
          <w:rFonts w:ascii="Arial" w:hAnsi="Arial" w:cs="Arial"/>
          <w:bCs/>
        </w:rPr>
      </w:pPr>
      <w:r w:rsidRPr="00AB10C6">
        <w:rPr>
          <w:rFonts w:ascii="Arial" w:hAnsi="Arial" w:cs="Arial"/>
        </w:rPr>
        <w:t>Use of images, including the provision of images to a third party, will be in accordance with the practice’s Data Protection registration.</w:t>
      </w:r>
    </w:p>
    <w:p w14:paraId="5FC74056" w14:textId="77777777" w:rsidR="004700DA" w:rsidRPr="00AB10C6" w:rsidRDefault="004700DA" w:rsidP="004700DA">
      <w:pPr>
        <w:numPr>
          <w:ilvl w:val="0"/>
          <w:numId w:val="13"/>
        </w:numPr>
        <w:ind w:right="397"/>
        <w:rPr>
          <w:rFonts w:ascii="Arial" w:hAnsi="Arial" w:cs="Arial"/>
          <w:bCs/>
        </w:rPr>
      </w:pPr>
      <w:r w:rsidRPr="00AB10C6">
        <w:rPr>
          <w:rFonts w:ascii="Arial" w:hAnsi="Arial" w:cs="Arial"/>
          <w:bCs/>
        </w:rPr>
        <w:t>CCTV may be used to monitor the movements and activities of staff and visitors whilst on the premises.</w:t>
      </w:r>
    </w:p>
    <w:p w14:paraId="79FC03AC" w14:textId="77777777" w:rsidR="004700DA" w:rsidRPr="00AB10C6" w:rsidRDefault="004700DA" w:rsidP="004700DA">
      <w:pPr>
        <w:ind w:right="397"/>
        <w:rPr>
          <w:rFonts w:ascii="Arial" w:hAnsi="Arial" w:cs="Arial"/>
          <w:bCs/>
        </w:rPr>
      </w:pPr>
    </w:p>
    <w:p w14:paraId="5425D4EB" w14:textId="77777777" w:rsidR="004700DA" w:rsidRPr="00AB10C6" w:rsidRDefault="004700DA" w:rsidP="004700DA">
      <w:pPr>
        <w:ind w:right="397"/>
        <w:rPr>
          <w:rFonts w:ascii="Arial" w:hAnsi="Arial" w:cs="Arial"/>
          <w:b/>
          <w:bCs/>
        </w:rPr>
      </w:pPr>
      <w:r w:rsidRPr="00AB10C6">
        <w:rPr>
          <w:rFonts w:ascii="Arial" w:hAnsi="Arial" w:cs="Arial"/>
          <w:b/>
          <w:bCs/>
        </w:rPr>
        <w:t>RETENTION OF IMAGES</w:t>
      </w:r>
    </w:p>
    <w:p w14:paraId="4A6629E4" w14:textId="77777777" w:rsidR="004700DA" w:rsidRPr="00AB10C6" w:rsidRDefault="004700DA" w:rsidP="004700DA">
      <w:pPr>
        <w:ind w:right="397"/>
        <w:rPr>
          <w:rFonts w:ascii="Arial" w:hAnsi="Arial" w:cs="Arial"/>
        </w:rPr>
      </w:pPr>
      <w:r w:rsidRPr="00AB10C6">
        <w:rPr>
          <w:rFonts w:ascii="Arial" w:hAnsi="Arial" w:cs="Arial"/>
        </w:rPr>
        <w:br/>
        <w:t xml:space="preserve">Images from cameras are recorded on a computer system (“the recordings”). Where recordings are retained for the purposes of security of staff, </w:t>
      </w:r>
      <w:proofErr w:type="gramStart"/>
      <w:r w:rsidRPr="00AB10C6">
        <w:rPr>
          <w:rFonts w:ascii="Arial" w:hAnsi="Arial" w:cs="Arial"/>
        </w:rPr>
        <w:t>patient</w:t>
      </w:r>
      <w:proofErr w:type="gramEnd"/>
      <w:r w:rsidRPr="00AB10C6">
        <w:rPr>
          <w:rFonts w:ascii="Arial" w:hAnsi="Arial" w:cs="Arial"/>
        </w:rPr>
        <w:t xml:space="preserve"> and premises, these will be held in secure storage, and access controlled. Recordings which are not required for the purposes of security of staff, </w:t>
      </w:r>
      <w:proofErr w:type="gramStart"/>
      <w:r w:rsidRPr="00AB10C6">
        <w:rPr>
          <w:rFonts w:ascii="Arial" w:hAnsi="Arial" w:cs="Arial"/>
        </w:rPr>
        <w:t>patient</w:t>
      </w:r>
      <w:proofErr w:type="gramEnd"/>
      <w:r w:rsidRPr="00AB10C6">
        <w:rPr>
          <w:rFonts w:ascii="Arial" w:hAnsi="Arial" w:cs="Arial"/>
        </w:rPr>
        <w:t xml:space="preserve"> and premises, will not be retained for longer than is necessary (one month). </w:t>
      </w:r>
    </w:p>
    <w:p w14:paraId="4C61E698" w14:textId="77777777" w:rsidR="004700DA" w:rsidRPr="00AB10C6" w:rsidRDefault="004700DA" w:rsidP="004700DA">
      <w:pPr>
        <w:ind w:right="397"/>
        <w:rPr>
          <w:rFonts w:ascii="Arial" w:hAnsi="Arial" w:cs="Arial"/>
        </w:rPr>
      </w:pPr>
    </w:p>
    <w:p w14:paraId="62D83C18" w14:textId="77777777" w:rsidR="004700DA" w:rsidRPr="00AB10C6" w:rsidRDefault="004700DA" w:rsidP="004700DA">
      <w:pPr>
        <w:ind w:right="397"/>
        <w:rPr>
          <w:rFonts w:ascii="Arial" w:hAnsi="Arial" w:cs="Arial"/>
          <w:b/>
          <w:color w:val="000000"/>
        </w:rPr>
      </w:pPr>
      <w:r w:rsidRPr="00AB10C6">
        <w:rPr>
          <w:rFonts w:ascii="Arial" w:hAnsi="Arial" w:cs="Arial"/>
          <w:b/>
          <w:color w:val="000000"/>
        </w:rPr>
        <w:t>REMOVAL OF IMAGES FOR USE IN LEGAL PROCEEDINGS</w:t>
      </w:r>
    </w:p>
    <w:p w14:paraId="1C864D9F" w14:textId="77777777" w:rsidR="004700DA" w:rsidRPr="00AB10C6" w:rsidRDefault="004700DA" w:rsidP="004700DA">
      <w:pPr>
        <w:ind w:right="397"/>
        <w:rPr>
          <w:rFonts w:ascii="Arial" w:hAnsi="Arial" w:cs="Arial"/>
          <w:color w:val="000000"/>
        </w:rPr>
      </w:pPr>
    </w:p>
    <w:p w14:paraId="675C8BA0" w14:textId="77777777" w:rsidR="004700DA" w:rsidRPr="00AB10C6" w:rsidRDefault="004700DA" w:rsidP="004700DA">
      <w:pPr>
        <w:ind w:right="397"/>
        <w:rPr>
          <w:rFonts w:ascii="Arial" w:hAnsi="Arial" w:cs="Arial"/>
          <w:color w:val="000000"/>
        </w:rPr>
      </w:pPr>
      <w:r w:rsidRPr="00AB10C6">
        <w:rPr>
          <w:rFonts w:ascii="Arial" w:hAnsi="Arial" w:cs="Arial"/>
          <w:color w:val="000000"/>
        </w:rPr>
        <w:t>In cases where recordings are removed</w:t>
      </w:r>
      <w:r w:rsidRPr="00AB10C6">
        <w:rPr>
          <w:rFonts w:ascii="Arial" w:hAnsi="Arial" w:cs="Arial"/>
          <w:bCs/>
          <w:color w:val="000000"/>
        </w:rPr>
        <w:t xml:space="preserve"> from secure storage</w:t>
      </w:r>
      <w:r w:rsidRPr="00AB10C6">
        <w:rPr>
          <w:rFonts w:ascii="Arial" w:hAnsi="Arial" w:cs="Arial"/>
          <w:b/>
          <w:bCs/>
          <w:color w:val="000000"/>
        </w:rPr>
        <w:t xml:space="preserve"> </w:t>
      </w:r>
      <w:r w:rsidRPr="00AB10C6">
        <w:rPr>
          <w:rFonts w:ascii="Arial" w:hAnsi="Arial" w:cs="Arial"/>
          <w:bCs/>
          <w:color w:val="000000"/>
        </w:rPr>
        <w:t>for use in legal proceedings,</w:t>
      </w:r>
      <w:r w:rsidRPr="00AB10C6">
        <w:rPr>
          <w:rFonts w:ascii="Arial" w:hAnsi="Arial" w:cs="Arial"/>
          <w:color w:val="000000"/>
        </w:rPr>
        <w:t xml:space="preserve"> the following must be documented: </w:t>
      </w:r>
      <w:r w:rsidRPr="00AB10C6">
        <w:rPr>
          <w:rFonts w:ascii="Arial" w:hAnsi="Arial" w:cs="Arial"/>
          <w:color w:val="000000"/>
        </w:rPr>
        <w:br/>
      </w:r>
    </w:p>
    <w:p w14:paraId="6465622C" w14:textId="77777777" w:rsidR="004700DA" w:rsidRPr="00AB10C6" w:rsidRDefault="004700DA" w:rsidP="004700DA">
      <w:pPr>
        <w:numPr>
          <w:ilvl w:val="0"/>
          <w:numId w:val="14"/>
        </w:numPr>
        <w:ind w:left="1134" w:right="397"/>
        <w:rPr>
          <w:rFonts w:ascii="Arial" w:hAnsi="Arial" w:cs="Arial"/>
          <w:color w:val="000000"/>
        </w:rPr>
      </w:pPr>
      <w:r w:rsidRPr="00AB10C6">
        <w:rPr>
          <w:rFonts w:ascii="Arial" w:hAnsi="Arial" w:cs="Arial"/>
          <w:color w:val="000000"/>
        </w:rPr>
        <w:lastRenderedPageBreak/>
        <w:t>The name of the person removing from secure storage, or otherwise accessing, the recordings</w:t>
      </w:r>
    </w:p>
    <w:p w14:paraId="20742527" w14:textId="77777777" w:rsidR="004700DA" w:rsidRPr="00AB10C6" w:rsidRDefault="004700DA" w:rsidP="004700DA">
      <w:pPr>
        <w:numPr>
          <w:ilvl w:val="0"/>
          <w:numId w:val="14"/>
        </w:numPr>
        <w:ind w:left="1135" w:right="397" w:hanging="284"/>
        <w:rPr>
          <w:rFonts w:ascii="Arial" w:hAnsi="Arial" w:cs="Arial"/>
          <w:color w:val="000000"/>
        </w:rPr>
      </w:pPr>
      <w:r w:rsidRPr="00AB10C6">
        <w:rPr>
          <w:rFonts w:ascii="Arial" w:hAnsi="Arial" w:cs="Arial"/>
          <w:color w:val="000000"/>
        </w:rPr>
        <w:t>The date and time of removal of the recordings</w:t>
      </w:r>
    </w:p>
    <w:p w14:paraId="22C2039D" w14:textId="77777777" w:rsidR="004700DA" w:rsidRPr="00AB10C6" w:rsidRDefault="004700DA" w:rsidP="004700DA">
      <w:pPr>
        <w:numPr>
          <w:ilvl w:val="0"/>
          <w:numId w:val="14"/>
        </w:numPr>
        <w:ind w:left="1135" w:right="397" w:hanging="284"/>
        <w:rPr>
          <w:rFonts w:ascii="Arial" w:hAnsi="Arial" w:cs="Arial"/>
          <w:color w:val="000000"/>
        </w:rPr>
      </w:pPr>
      <w:r w:rsidRPr="00AB10C6">
        <w:rPr>
          <w:rFonts w:ascii="Arial" w:hAnsi="Arial" w:cs="Arial"/>
          <w:color w:val="000000"/>
        </w:rPr>
        <w:t>The reason for removal</w:t>
      </w:r>
    </w:p>
    <w:p w14:paraId="08116B97" w14:textId="77777777" w:rsidR="004700DA" w:rsidRPr="00AB10C6" w:rsidRDefault="004700DA" w:rsidP="004700DA">
      <w:pPr>
        <w:numPr>
          <w:ilvl w:val="0"/>
          <w:numId w:val="14"/>
        </w:numPr>
        <w:ind w:left="1135" w:right="397" w:hanging="284"/>
        <w:rPr>
          <w:rFonts w:ascii="Arial" w:hAnsi="Arial" w:cs="Arial"/>
          <w:color w:val="000000"/>
        </w:rPr>
      </w:pPr>
      <w:r w:rsidRPr="00AB10C6">
        <w:rPr>
          <w:rFonts w:ascii="Arial" w:hAnsi="Arial" w:cs="Arial"/>
          <w:color w:val="000000"/>
        </w:rPr>
        <w:t>Specific authorisation of removal and provision to a third party</w:t>
      </w:r>
    </w:p>
    <w:p w14:paraId="1F593342" w14:textId="77777777" w:rsidR="004700DA" w:rsidRPr="00AB10C6" w:rsidRDefault="004700DA" w:rsidP="004700DA">
      <w:pPr>
        <w:numPr>
          <w:ilvl w:val="0"/>
          <w:numId w:val="14"/>
        </w:numPr>
        <w:ind w:left="1135" w:right="397" w:hanging="284"/>
        <w:rPr>
          <w:rFonts w:ascii="Arial" w:hAnsi="Arial" w:cs="Arial"/>
          <w:color w:val="000000"/>
        </w:rPr>
      </w:pPr>
      <w:r w:rsidRPr="00AB10C6">
        <w:rPr>
          <w:rFonts w:ascii="Arial" w:hAnsi="Arial" w:cs="Arial"/>
          <w:color w:val="000000"/>
        </w:rPr>
        <w:t>Any crime incident number to which the images may be relevant</w:t>
      </w:r>
    </w:p>
    <w:p w14:paraId="3C1035AE" w14:textId="77777777" w:rsidR="004700DA" w:rsidRPr="00AB10C6" w:rsidRDefault="004700DA" w:rsidP="004700DA">
      <w:pPr>
        <w:numPr>
          <w:ilvl w:val="0"/>
          <w:numId w:val="14"/>
        </w:numPr>
        <w:ind w:left="1135" w:right="397" w:hanging="284"/>
        <w:rPr>
          <w:rFonts w:ascii="Arial" w:hAnsi="Arial" w:cs="Arial"/>
          <w:color w:val="000000"/>
        </w:rPr>
      </w:pPr>
      <w:r w:rsidRPr="00AB10C6">
        <w:rPr>
          <w:rFonts w:ascii="Arial" w:hAnsi="Arial" w:cs="Arial"/>
          <w:color w:val="000000"/>
        </w:rPr>
        <w:t>The place to which the recordings will be taken</w:t>
      </w:r>
    </w:p>
    <w:p w14:paraId="54E831B8" w14:textId="77777777" w:rsidR="004700DA" w:rsidRPr="00AB10C6" w:rsidRDefault="004700DA" w:rsidP="004700DA">
      <w:pPr>
        <w:numPr>
          <w:ilvl w:val="0"/>
          <w:numId w:val="14"/>
        </w:numPr>
        <w:ind w:left="1135" w:right="397" w:hanging="284"/>
        <w:rPr>
          <w:rFonts w:ascii="Arial" w:hAnsi="Arial" w:cs="Arial"/>
          <w:color w:val="000000"/>
        </w:rPr>
      </w:pPr>
      <w:r w:rsidRPr="00AB10C6">
        <w:rPr>
          <w:rFonts w:ascii="Arial" w:hAnsi="Arial" w:cs="Arial"/>
          <w:color w:val="000000"/>
        </w:rPr>
        <w:t>The signature of the collecting police officer, where appropriate</w:t>
      </w:r>
    </w:p>
    <w:p w14:paraId="6AC8540E" w14:textId="77777777" w:rsidR="004700DA" w:rsidRPr="00AB10C6" w:rsidRDefault="004700DA" w:rsidP="004700DA">
      <w:pPr>
        <w:ind w:right="397"/>
        <w:rPr>
          <w:rFonts w:ascii="Arial" w:hAnsi="Arial" w:cs="Arial"/>
        </w:rPr>
      </w:pPr>
    </w:p>
    <w:p w14:paraId="224D92BA" w14:textId="77777777" w:rsidR="004700DA" w:rsidRPr="00AB10C6" w:rsidRDefault="004700DA" w:rsidP="004700DA">
      <w:pPr>
        <w:pStyle w:val="NormalWeb"/>
        <w:spacing w:before="0" w:beforeAutospacing="0" w:after="0" w:afterAutospacing="0"/>
        <w:ind w:right="397"/>
        <w:rPr>
          <w:rFonts w:ascii="Arial" w:hAnsi="Arial" w:cs="Arial"/>
        </w:rPr>
      </w:pPr>
      <w:r w:rsidRPr="00AB10C6">
        <w:rPr>
          <w:rFonts w:ascii="Arial" w:hAnsi="Arial" w:cs="Arial"/>
        </w:rPr>
        <w:t xml:space="preserve">The data controller will assess applications and decide whether the requested access will be permitted. Release will be specifically authorised. Disclosure of recorded images to third parties will only be made in limited and prescribed circumstances. For example, in cases of the prevention and detection of crime, disclosure to third parties will be limited to the following: </w:t>
      </w:r>
    </w:p>
    <w:p w14:paraId="1502A3F1" w14:textId="77777777" w:rsidR="004700DA" w:rsidRPr="00AB10C6" w:rsidRDefault="004700DA" w:rsidP="004700DA">
      <w:pPr>
        <w:pStyle w:val="NormalWeb"/>
        <w:spacing w:before="0" w:beforeAutospacing="0" w:after="0" w:afterAutospacing="0"/>
        <w:ind w:right="397"/>
        <w:rPr>
          <w:rFonts w:ascii="Arial" w:hAnsi="Arial" w:cs="Arial"/>
        </w:rPr>
      </w:pPr>
    </w:p>
    <w:p w14:paraId="21581B23" w14:textId="77777777" w:rsidR="004700DA" w:rsidRPr="00AB10C6" w:rsidRDefault="004700DA" w:rsidP="004700DA">
      <w:pPr>
        <w:numPr>
          <w:ilvl w:val="0"/>
          <w:numId w:val="15"/>
        </w:numPr>
        <w:ind w:right="397"/>
        <w:rPr>
          <w:rFonts w:ascii="Arial" w:hAnsi="Arial" w:cs="Arial"/>
          <w:color w:val="000000"/>
        </w:rPr>
      </w:pPr>
      <w:r w:rsidRPr="00AB10C6">
        <w:rPr>
          <w:rFonts w:ascii="Arial" w:hAnsi="Arial" w:cs="Arial"/>
          <w:color w:val="000000"/>
        </w:rPr>
        <w:t>Law enforcement agencies where the images recorded would assist in a specific criminal enquiry.</w:t>
      </w:r>
    </w:p>
    <w:p w14:paraId="4C15C53C" w14:textId="77777777" w:rsidR="004700DA" w:rsidRPr="00AB10C6" w:rsidRDefault="004700DA" w:rsidP="004700DA">
      <w:pPr>
        <w:numPr>
          <w:ilvl w:val="0"/>
          <w:numId w:val="15"/>
        </w:numPr>
        <w:ind w:right="397"/>
        <w:rPr>
          <w:rFonts w:ascii="Arial" w:hAnsi="Arial" w:cs="Arial"/>
          <w:color w:val="000000"/>
        </w:rPr>
      </w:pPr>
      <w:r w:rsidRPr="00AB10C6">
        <w:rPr>
          <w:rFonts w:ascii="Arial" w:hAnsi="Arial" w:cs="Arial"/>
          <w:color w:val="000000"/>
        </w:rPr>
        <w:t>People whose images have been recorded and retained (unless disclosure to the individual would prejudice criminal enquiries or criminal proceedings)</w:t>
      </w:r>
      <w:r w:rsidRPr="00AB10C6">
        <w:rPr>
          <w:rFonts w:ascii="Arial" w:hAnsi="Arial" w:cs="Arial"/>
          <w:color w:val="000000"/>
        </w:rPr>
        <w:br/>
      </w:r>
    </w:p>
    <w:p w14:paraId="7A3C7F7C" w14:textId="77777777" w:rsidR="004700DA" w:rsidRPr="00AB10C6" w:rsidRDefault="004700DA" w:rsidP="004700DA">
      <w:pPr>
        <w:ind w:right="397"/>
        <w:rPr>
          <w:rFonts w:ascii="Arial" w:hAnsi="Arial" w:cs="Arial"/>
          <w:color w:val="000000"/>
        </w:rPr>
      </w:pPr>
      <w:r w:rsidRPr="00AB10C6">
        <w:rPr>
          <w:rFonts w:ascii="Arial" w:hAnsi="Arial" w:cs="Arial"/>
          <w:color w:val="000000"/>
        </w:rPr>
        <w:t>All requests for access or for disclosure should be recorded. If access or disclosure is denied, the reason should be documented as above.</w:t>
      </w:r>
    </w:p>
    <w:p w14:paraId="7DF3BF70" w14:textId="77777777" w:rsidR="004700DA" w:rsidRPr="00AB10C6" w:rsidRDefault="004700DA" w:rsidP="004700DA">
      <w:pPr>
        <w:ind w:right="397"/>
        <w:rPr>
          <w:rFonts w:ascii="Arial" w:hAnsi="Arial" w:cs="Arial"/>
          <w:b/>
          <w:color w:val="000000"/>
        </w:rPr>
      </w:pPr>
    </w:p>
    <w:sectPr w:rsidR="004700DA" w:rsidRPr="00AB10C6" w:rsidSect="000B3EEF">
      <w:type w:val="continuous"/>
      <w:pgSz w:w="11906" w:h="16838" w:code="9"/>
      <w:pgMar w:top="1304" w:right="1134" w:bottom="771" w:left="1134"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804D4"/>
    <w:multiLevelType w:val="hybridMultilevel"/>
    <w:tmpl w:val="9CA4CCC6"/>
    <w:lvl w:ilvl="0" w:tplc="592E995C">
      <w:start w:val="1"/>
      <w:numFmt w:val="decimal"/>
      <w:lvlText w:val="%1."/>
      <w:lvlJc w:val="left"/>
      <w:pPr>
        <w:tabs>
          <w:tab w:val="num" w:pos="1353"/>
        </w:tabs>
        <w:ind w:left="1353" w:hanging="360"/>
      </w:pPr>
      <w:rPr>
        <w:rFonts w:cs="Times New Roman"/>
        <w:b w:val="0"/>
      </w:rPr>
    </w:lvl>
    <w:lvl w:ilvl="1" w:tplc="08090019" w:tentative="1">
      <w:start w:val="1"/>
      <w:numFmt w:val="lowerLetter"/>
      <w:lvlText w:val="%2."/>
      <w:lvlJc w:val="left"/>
      <w:pPr>
        <w:tabs>
          <w:tab w:val="num" w:pos="1980"/>
        </w:tabs>
        <w:ind w:left="1980" w:hanging="360"/>
      </w:pPr>
      <w:rPr>
        <w:rFonts w:cs="Times New Roman"/>
      </w:rPr>
    </w:lvl>
    <w:lvl w:ilvl="2" w:tplc="0809001B" w:tentative="1">
      <w:start w:val="1"/>
      <w:numFmt w:val="lowerRoman"/>
      <w:lvlText w:val="%3."/>
      <w:lvlJc w:val="right"/>
      <w:pPr>
        <w:tabs>
          <w:tab w:val="num" w:pos="2700"/>
        </w:tabs>
        <w:ind w:left="2700" w:hanging="180"/>
      </w:pPr>
      <w:rPr>
        <w:rFonts w:cs="Times New Roman"/>
      </w:rPr>
    </w:lvl>
    <w:lvl w:ilvl="3" w:tplc="0809000F" w:tentative="1">
      <w:start w:val="1"/>
      <w:numFmt w:val="decimal"/>
      <w:lvlText w:val="%4."/>
      <w:lvlJc w:val="left"/>
      <w:pPr>
        <w:tabs>
          <w:tab w:val="num" w:pos="3420"/>
        </w:tabs>
        <w:ind w:left="3420" w:hanging="360"/>
      </w:pPr>
      <w:rPr>
        <w:rFonts w:cs="Times New Roman"/>
      </w:rPr>
    </w:lvl>
    <w:lvl w:ilvl="4" w:tplc="08090019" w:tentative="1">
      <w:start w:val="1"/>
      <w:numFmt w:val="lowerLetter"/>
      <w:lvlText w:val="%5."/>
      <w:lvlJc w:val="left"/>
      <w:pPr>
        <w:tabs>
          <w:tab w:val="num" w:pos="4140"/>
        </w:tabs>
        <w:ind w:left="4140" w:hanging="360"/>
      </w:pPr>
      <w:rPr>
        <w:rFonts w:cs="Times New Roman"/>
      </w:rPr>
    </w:lvl>
    <w:lvl w:ilvl="5" w:tplc="0809001B" w:tentative="1">
      <w:start w:val="1"/>
      <w:numFmt w:val="lowerRoman"/>
      <w:lvlText w:val="%6."/>
      <w:lvlJc w:val="right"/>
      <w:pPr>
        <w:tabs>
          <w:tab w:val="num" w:pos="4860"/>
        </w:tabs>
        <w:ind w:left="4860" w:hanging="180"/>
      </w:pPr>
      <w:rPr>
        <w:rFonts w:cs="Times New Roman"/>
      </w:rPr>
    </w:lvl>
    <w:lvl w:ilvl="6" w:tplc="0809000F" w:tentative="1">
      <w:start w:val="1"/>
      <w:numFmt w:val="decimal"/>
      <w:lvlText w:val="%7."/>
      <w:lvlJc w:val="left"/>
      <w:pPr>
        <w:tabs>
          <w:tab w:val="num" w:pos="5580"/>
        </w:tabs>
        <w:ind w:left="5580" w:hanging="360"/>
      </w:pPr>
      <w:rPr>
        <w:rFonts w:cs="Times New Roman"/>
      </w:rPr>
    </w:lvl>
    <w:lvl w:ilvl="7" w:tplc="08090019" w:tentative="1">
      <w:start w:val="1"/>
      <w:numFmt w:val="lowerLetter"/>
      <w:lvlText w:val="%8."/>
      <w:lvlJc w:val="left"/>
      <w:pPr>
        <w:tabs>
          <w:tab w:val="num" w:pos="6300"/>
        </w:tabs>
        <w:ind w:left="6300" w:hanging="360"/>
      </w:pPr>
      <w:rPr>
        <w:rFonts w:cs="Times New Roman"/>
      </w:rPr>
    </w:lvl>
    <w:lvl w:ilvl="8" w:tplc="0809001B" w:tentative="1">
      <w:start w:val="1"/>
      <w:numFmt w:val="lowerRoman"/>
      <w:lvlText w:val="%9."/>
      <w:lvlJc w:val="right"/>
      <w:pPr>
        <w:tabs>
          <w:tab w:val="num" w:pos="7020"/>
        </w:tabs>
        <w:ind w:left="7020" w:hanging="180"/>
      </w:pPr>
      <w:rPr>
        <w:rFonts w:cs="Times New Roman"/>
      </w:rPr>
    </w:lvl>
  </w:abstractNum>
  <w:abstractNum w:abstractNumId="1" w15:restartNumberingAfterBreak="0">
    <w:nsid w:val="168E0C49"/>
    <w:multiLevelType w:val="hybridMultilevel"/>
    <w:tmpl w:val="1C94AAA6"/>
    <w:lvl w:ilvl="0" w:tplc="907C5780">
      <w:start w:val="1"/>
      <w:numFmt w:val="bullet"/>
      <w:lvlText w:val=""/>
      <w:lvlJc w:val="left"/>
      <w:pPr>
        <w:tabs>
          <w:tab w:val="num" w:pos="473"/>
        </w:tabs>
        <w:ind w:left="510"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D34ACB"/>
    <w:multiLevelType w:val="hybridMultilevel"/>
    <w:tmpl w:val="019C0CF6"/>
    <w:lvl w:ilvl="0" w:tplc="907C5780">
      <w:start w:val="1"/>
      <w:numFmt w:val="bullet"/>
      <w:lvlText w:val=""/>
      <w:lvlJc w:val="left"/>
      <w:pPr>
        <w:tabs>
          <w:tab w:val="num" w:pos="473"/>
        </w:tabs>
        <w:ind w:left="510"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FE1CE5"/>
    <w:multiLevelType w:val="hybridMultilevel"/>
    <w:tmpl w:val="B87ABE5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D333CDF"/>
    <w:multiLevelType w:val="hybridMultilevel"/>
    <w:tmpl w:val="6C6E2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1F5DED"/>
    <w:multiLevelType w:val="hybridMultilevel"/>
    <w:tmpl w:val="290640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9331C6E"/>
    <w:multiLevelType w:val="hybridMultilevel"/>
    <w:tmpl w:val="D7C2AA26"/>
    <w:lvl w:ilvl="0" w:tplc="907C5780">
      <w:start w:val="1"/>
      <w:numFmt w:val="bullet"/>
      <w:lvlText w:val=""/>
      <w:lvlJc w:val="left"/>
      <w:pPr>
        <w:tabs>
          <w:tab w:val="num" w:pos="473"/>
        </w:tabs>
        <w:ind w:left="510"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067955"/>
    <w:multiLevelType w:val="hybridMultilevel"/>
    <w:tmpl w:val="EB5601E2"/>
    <w:lvl w:ilvl="0" w:tplc="907C5780">
      <w:start w:val="1"/>
      <w:numFmt w:val="bullet"/>
      <w:lvlText w:val=""/>
      <w:lvlJc w:val="left"/>
      <w:pPr>
        <w:tabs>
          <w:tab w:val="num" w:pos="1097"/>
        </w:tabs>
        <w:ind w:left="1134" w:hanging="283"/>
      </w:pPr>
      <w:rPr>
        <w:rFonts w:ascii="Symbol" w:hAnsi="Symbol" w:hint="default"/>
      </w:rPr>
    </w:lvl>
    <w:lvl w:ilvl="1" w:tplc="08090003" w:tentative="1">
      <w:start w:val="1"/>
      <w:numFmt w:val="bullet"/>
      <w:lvlText w:val="o"/>
      <w:lvlJc w:val="left"/>
      <w:pPr>
        <w:tabs>
          <w:tab w:val="num" w:pos="2064"/>
        </w:tabs>
        <w:ind w:left="2064" w:hanging="360"/>
      </w:pPr>
      <w:rPr>
        <w:rFonts w:ascii="Courier New" w:hAnsi="Courier New" w:hint="default"/>
      </w:rPr>
    </w:lvl>
    <w:lvl w:ilvl="2" w:tplc="08090005" w:tentative="1">
      <w:start w:val="1"/>
      <w:numFmt w:val="bullet"/>
      <w:lvlText w:val=""/>
      <w:lvlJc w:val="left"/>
      <w:pPr>
        <w:tabs>
          <w:tab w:val="num" w:pos="2784"/>
        </w:tabs>
        <w:ind w:left="2784" w:hanging="360"/>
      </w:pPr>
      <w:rPr>
        <w:rFonts w:ascii="Wingdings" w:hAnsi="Wingdings" w:hint="default"/>
      </w:rPr>
    </w:lvl>
    <w:lvl w:ilvl="3" w:tplc="08090001" w:tentative="1">
      <w:start w:val="1"/>
      <w:numFmt w:val="bullet"/>
      <w:lvlText w:val=""/>
      <w:lvlJc w:val="left"/>
      <w:pPr>
        <w:tabs>
          <w:tab w:val="num" w:pos="3504"/>
        </w:tabs>
        <w:ind w:left="3504" w:hanging="360"/>
      </w:pPr>
      <w:rPr>
        <w:rFonts w:ascii="Symbol" w:hAnsi="Symbol" w:hint="default"/>
      </w:rPr>
    </w:lvl>
    <w:lvl w:ilvl="4" w:tplc="08090003" w:tentative="1">
      <w:start w:val="1"/>
      <w:numFmt w:val="bullet"/>
      <w:lvlText w:val="o"/>
      <w:lvlJc w:val="left"/>
      <w:pPr>
        <w:tabs>
          <w:tab w:val="num" w:pos="4224"/>
        </w:tabs>
        <w:ind w:left="4224" w:hanging="360"/>
      </w:pPr>
      <w:rPr>
        <w:rFonts w:ascii="Courier New" w:hAnsi="Courier New" w:hint="default"/>
      </w:rPr>
    </w:lvl>
    <w:lvl w:ilvl="5" w:tplc="08090005" w:tentative="1">
      <w:start w:val="1"/>
      <w:numFmt w:val="bullet"/>
      <w:lvlText w:val=""/>
      <w:lvlJc w:val="left"/>
      <w:pPr>
        <w:tabs>
          <w:tab w:val="num" w:pos="4944"/>
        </w:tabs>
        <w:ind w:left="4944" w:hanging="360"/>
      </w:pPr>
      <w:rPr>
        <w:rFonts w:ascii="Wingdings" w:hAnsi="Wingdings" w:hint="default"/>
      </w:rPr>
    </w:lvl>
    <w:lvl w:ilvl="6" w:tplc="08090001" w:tentative="1">
      <w:start w:val="1"/>
      <w:numFmt w:val="bullet"/>
      <w:lvlText w:val=""/>
      <w:lvlJc w:val="left"/>
      <w:pPr>
        <w:tabs>
          <w:tab w:val="num" w:pos="5664"/>
        </w:tabs>
        <w:ind w:left="5664" w:hanging="360"/>
      </w:pPr>
      <w:rPr>
        <w:rFonts w:ascii="Symbol" w:hAnsi="Symbol" w:hint="default"/>
      </w:rPr>
    </w:lvl>
    <w:lvl w:ilvl="7" w:tplc="08090003" w:tentative="1">
      <w:start w:val="1"/>
      <w:numFmt w:val="bullet"/>
      <w:lvlText w:val="o"/>
      <w:lvlJc w:val="left"/>
      <w:pPr>
        <w:tabs>
          <w:tab w:val="num" w:pos="6384"/>
        </w:tabs>
        <w:ind w:left="6384" w:hanging="360"/>
      </w:pPr>
      <w:rPr>
        <w:rFonts w:ascii="Courier New" w:hAnsi="Courier New" w:hint="default"/>
      </w:rPr>
    </w:lvl>
    <w:lvl w:ilvl="8" w:tplc="08090005" w:tentative="1">
      <w:start w:val="1"/>
      <w:numFmt w:val="bullet"/>
      <w:lvlText w:val=""/>
      <w:lvlJc w:val="left"/>
      <w:pPr>
        <w:tabs>
          <w:tab w:val="num" w:pos="7104"/>
        </w:tabs>
        <w:ind w:left="7104" w:hanging="360"/>
      </w:pPr>
      <w:rPr>
        <w:rFonts w:ascii="Wingdings" w:hAnsi="Wingdings" w:hint="default"/>
      </w:rPr>
    </w:lvl>
  </w:abstractNum>
  <w:abstractNum w:abstractNumId="8" w15:restartNumberingAfterBreak="0">
    <w:nsid w:val="3D9A7803"/>
    <w:multiLevelType w:val="hybridMultilevel"/>
    <w:tmpl w:val="B5F02A2C"/>
    <w:lvl w:ilvl="0" w:tplc="0409000B">
      <w:numFmt w:val="bullet"/>
      <w:lvlText w:val=""/>
      <w:lvlJc w:val="left"/>
      <w:pPr>
        <w:tabs>
          <w:tab w:val="num" w:pos="720"/>
        </w:tabs>
        <w:ind w:left="72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0D35D7"/>
    <w:multiLevelType w:val="hybridMultilevel"/>
    <w:tmpl w:val="775EDB3A"/>
    <w:lvl w:ilvl="0" w:tplc="08090001">
      <w:start w:val="1"/>
      <w:numFmt w:val="bullet"/>
      <w:lvlText w:val=""/>
      <w:lvlJc w:val="left"/>
      <w:pPr>
        <w:tabs>
          <w:tab w:val="num" w:pos="1704"/>
        </w:tabs>
        <w:ind w:left="1704" w:hanging="360"/>
      </w:pPr>
      <w:rPr>
        <w:rFonts w:ascii="Symbol" w:hAnsi="Symbol" w:hint="default"/>
      </w:rPr>
    </w:lvl>
    <w:lvl w:ilvl="1" w:tplc="08090003" w:tentative="1">
      <w:start w:val="1"/>
      <w:numFmt w:val="bullet"/>
      <w:lvlText w:val="o"/>
      <w:lvlJc w:val="left"/>
      <w:pPr>
        <w:tabs>
          <w:tab w:val="num" w:pos="2424"/>
        </w:tabs>
        <w:ind w:left="2424" w:hanging="360"/>
      </w:pPr>
      <w:rPr>
        <w:rFonts w:ascii="Courier New" w:hAnsi="Courier New" w:hint="default"/>
      </w:rPr>
    </w:lvl>
    <w:lvl w:ilvl="2" w:tplc="08090005" w:tentative="1">
      <w:start w:val="1"/>
      <w:numFmt w:val="bullet"/>
      <w:lvlText w:val=""/>
      <w:lvlJc w:val="left"/>
      <w:pPr>
        <w:tabs>
          <w:tab w:val="num" w:pos="3144"/>
        </w:tabs>
        <w:ind w:left="3144" w:hanging="360"/>
      </w:pPr>
      <w:rPr>
        <w:rFonts w:ascii="Wingdings" w:hAnsi="Wingdings" w:hint="default"/>
      </w:rPr>
    </w:lvl>
    <w:lvl w:ilvl="3" w:tplc="08090001" w:tentative="1">
      <w:start w:val="1"/>
      <w:numFmt w:val="bullet"/>
      <w:lvlText w:val=""/>
      <w:lvlJc w:val="left"/>
      <w:pPr>
        <w:tabs>
          <w:tab w:val="num" w:pos="3864"/>
        </w:tabs>
        <w:ind w:left="3864" w:hanging="360"/>
      </w:pPr>
      <w:rPr>
        <w:rFonts w:ascii="Symbol" w:hAnsi="Symbol" w:hint="default"/>
      </w:rPr>
    </w:lvl>
    <w:lvl w:ilvl="4" w:tplc="08090003" w:tentative="1">
      <w:start w:val="1"/>
      <w:numFmt w:val="bullet"/>
      <w:lvlText w:val="o"/>
      <w:lvlJc w:val="left"/>
      <w:pPr>
        <w:tabs>
          <w:tab w:val="num" w:pos="4584"/>
        </w:tabs>
        <w:ind w:left="4584" w:hanging="360"/>
      </w:pPr>
      <w:rPr>
        <w:rFonts w:ascii="Courier New" w:hAnsi="Courier New" w:hint="default"/>
      </w:rPr>
    </w:lvl>
    <w:lvl w:ilvl="5" w:tplc="08090005" w:tentative="1">
      <w:start w:val="1"/>
      <w:numFmt w:val="bullet"/>
      <w:lvlText w:val=""/>
      <w:lvlJc w:val="left"/>
      <w:pPr>
        <w:tabs>
          <w:tab w:val="num" w:pos="5304"/>
        </w:tabs>
        <w:ind w:left="5304" w:hanging="360"/>
      </w:pPr>
      <w:rPr>
        <w:rFonts w:ascii="Wingdings" w:hAnsi="Wingdings" w:hint="default"/>
      </w:rPr>
    </w:lvl>
    <w:lvl w:ilvl="6" w:tplc="08090001" w:tentative="1">
      <w:start w:val="1"/>
      <w:numFmt w:val="bullet"/>
      <w:lvlText w:val=""/>
      <w:lvlJc w:val="left"/>
      <w:pPr>
        <w:tabs>
          <w:tab w:val="num" w:pos="6024"/>
        </w:tabs>
        <w:ind w:left="6024" w:hanging="360"/>
      </w:pPr>
      <w:rPr>
        <w:rFonts w:ascii="Symbol" w:hAnsi="Symbol" w:hint="default"/>
      </w:rPr>
    </w:lvl>
    <w:lvl w:ilvl="7" w:tplc="08090003" w:tentative="1">
      <w:start w:val="1"/>
      <w:numFmt w:val="bullet"/>
      <w:lvlText w:val="o"/>
      <w:lvlJc w:val="left"/>
      <w:pPr>
        <w:tabs>
          <w:tab w:val="num" w:pos="6744"/>
        </w:tabs>
        <w:ind w:left="6744" w:hanging="360"/>
      </w:pPr>
      <w:rPr>
        <w:rFonts w:ascii="Courier New" w:hAnsi="Courier New" w:hint="default"/>
      </w:rPr>
    </w:lvl>
    <w:lvl w:ilvl="8" w:tplc="08090005" w:tentative="1">
      <w:start w:val="1"/>
      <w:numFmt w:val="bullet"/>
      <w:lvlText w:val=""/>
      <w:lvlJc w:val="left"/>
      <w:pPr>
        <w:tabs>
          <w:tab w:val="num" w:pos="7464"/>
        </w:tabs>
        <w:ind w:left="7464" w:hanging="360"/>
      </w:pPr>
      <w:rPr>
        <w:rFonts w:ascii="Wingdings" w:hAnsi="Wingdings" w:hint="default"/>
      </w:rPr>
    </w:lvl>
  </w:abstractNum>
  <w:abstractNum w:abstractNumId="10" w15:restartNumberingAfterBreak="0">
    <w:nsid w:val="5B7C7538"/>
    <w:multiLevelType w:val="hybridMultilevel"/>
    <w:tmpl w:val="59044812"/>
    <w:lvl w:ilvl="0" w:tplc="907C5780">
      <w:start w:val="1"/>
      <w:numFmt w:val="bullet"/>
      <w:lvlText w:val=""/>
      <w:lvlJc w:val="left"/>
      <w:pPr>
        <w:tabs>
          <w:tab w:val="num" w:pos="473"/>
        </w:tabs>
        <w:ind w:left="510"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532B48"/>
    <w:multiLevelType w:val="hybridMultilevel"/>
    <w:tmpl w:val="31F60DDA"/>
    <w:lvl w:ilvl="0" w:tplc="907C5780">
      <w:start w:val="1"/>
      <w:numFmt w:val="bullet"/>
      <w:lvlText w:val=""/>
      <w:lvlJc w:val="left"/>
      <w:pPr>
        <w:tabs>
          <w:tab w:val="num" w:pos="473"/>
        </w:tabs>
        <w:ind w:left="510"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A03756"/>
    <w:multiLevelType w:val="hybridMultilevel"/>
    <w:tmpl w:val="271A93C0"/>
    <w:lvl w:ilvl="0" w:tplc="907C5780">
      <w:start w:val="1"/>
      <w:numFmt w:val="bullet"/>
      <w:lvlText w:val=""/>
      <w:lvlJc w:val="left"/>
      <w:pPr>
        <w:tabs>
          <w:tab w:val="num" w:pos="473"/>
        </w:tabs>
        <w:ind w:left="510"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78144B"/>
    <w:multiLevelType w:val="hybridMultilevel"/>
    <w:tmpl w:val="7D20D54A"/>
    <w:lvl w:ilvl="0" w:tplc="907C5780">
      <w:start w:val="1"/>
      <w:numFmt w:val="bullet"/>
      <w:lvlText w:val=""/>
      <w:lvlJc w:val="left"/>
      <w:pPr>
        <w:tabs>
          <w:tab w:val="num" w:pos="246"/>
        </w:tabs>
        <w:ind w:left="283" w:hanging="283"/>
      </w:pPr>
      <w:rPr>
        <w:rFonts w:ascii="Symbol" w:hAnsi="Symbol" w:hint="default"/>
      </w:rPr>
    </w:lvl>
    <w:lvl w:ilvl="1" w:tplc="08090003">
      <w:start w:val="1"/>
      <w:numFmt w:val="bullet"/>
      <w:lvlText w:val="o"/>
      <w:lvlJc w:val="left"/>
      <w:pPr>
        <w:tabs>
          <w:tab w:val="num" w:pos="1213"/>
        </w:tabs>
        <w:ind w:left="1213" w:hanging="360"/>
      </w:pPr>
      <w:rPr>
        <w:rFonts w:ascii="Courier New" w:hAnsi="Courier New" w:hint="default"/>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14" w15:restartNumberingAfterBreak="0">
    <w:nsid w:val="69774DC1"/>
    <w:multiLevelType w:val="hybridMultilevel"/>
    <w:tmpl w:val="6872349C"/>
    <w:lvl w:ilvl="0" w:tplc="907C5780">
      <w:start w:val="1"/>
      <w:numFmt w:val="bullet"/>
      <w:lvlText w:val=""/>
      <w:lvlJc w:val="left"/>
      <w:pPr>
        <w:tabs>
          <w:tab w:val="num" w:pos="473"/>
        </w:tabs>
        <w:ind w:left="510"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057631"/>
    <w:multiLevelType w:val="hybridMultilevel"/>
    <w:tmpl w:val="062ABE52"/>
    <w:lvl w:ilvl="0" w:tplc="04090001">
      <w:start w:val="1"/>
      <w:numFmt w:val="bullet"/>
      <w:lvlText w:val=""/>
      <w:lvlJc w:val="left"/>
      <w:pPr>
        <w:tabs>
          <w:tab w:val="num" w:pos="1704"/>
        </w:tabs>
        <w:ind w:left="1704"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7A154079"/>
    <w:multiLevelType w:val="hybridMultilevel"/>
    <w:tmpl w:val="3D1477D8"/>
    <w:lvl w:ilvl="0" w:tplc="04090001">
      <w:start w:val="1"/>
      <w:numFmt w:val="bullet"/>
      <w:lvlText w:val=""/>
      <w:lvlJc w:val="left"/>
      <w:pPr>
        <w:tabs>
          <w:tab w:val="num" w:pos="1344"/>
        </w:tabs>
        <w:ind w:left="1344"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3"/>
  </w:num>
  <w:num w:numId="2">
    <w:abstractNumId w:val="4"/>
  </w:num>
  <w:num w:numId="3">
    <w:abstractNumId w:val="5"/>
  </w:num>
  <w:num w:numId="4">
    <w:abstractNumId w:val="12"/>
  </w:num>
  <w:num w:numId="5">
    <w:abstractNumId w:val="1"/>
  </w:num>
  <w:num w:numId="6">
    <w:abstractNumId w:val="2"/>
  </w:num>
  <w:num w:numId="7">
    <w:abstractNumId w:val="11"/>
  </w:num>
  <w:num w:numId="8">
    <w:abstractNumId w:val="10"/>
  </w:num>
  <w:num w:numId="9">
    <w:abstractNumId w:val="6"/>
  </w:num>
  <w:num w:numId="10">
    <w:abstractNumId w:val="14"/>
  </w:num>
  <w:num w:numId="11">
    <w:abstractNumId w:val="8"/>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3"/>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46D"/>
    <w:rsid w:val="00002C58"/>
    <w:rsid w:val="00012B40"/>
    <w:rsid w:val="0005713B"/>
    <w:rsid w:val="0006525C"/>
    <w:rsid w:val="00070C1F"/>
    <w:rsid w:val="000767C7"/>
    <w:rsid w:val="00097255"/>
    <w:rsid w:val="000B18EC"/>
    <w:rsid w:val="000B3EEF"/>
    <w:rsid w:val="000C5ACC"/>
    <w:rsid w:val="000D6ED0"/>
    <w:rsid w:val="000F4B81"/>
    <w:rsid w:val="00131926"/>
    <w:rsid w:val="001431BA"/>
    <w:rsid w:val="0014441B"/>
    <w:rsid w:val="0015445B"/>
    <w:rsid w:val="00154FDF"/>
    <w:rsid w:val="00174FEA"/>
    <w:rsid w:val="00191897"/>
    <w:rsid w:val="001B4684"/>
    <w:rsid w:val="001B56F3"/>
    <w:rsid w:val="00280B6F"/>
    <w:rsid w:val="002E2305"/>
    <w:rsid w:val="002F1089"/>
    <w:rsid w:val="0031014F"/>
    <w:rsid w:val="00316AA1"/>
    <w:rsid w:val="003307EA"/>
    <w:rsid w:val="0034434B"/>
    <w:rsid w:val="0035046D"/>
    <w:rsid w:val="0036727D"/>
    <w:rsid w:val="00387A12"/>
    <w:rsid w:val="00391BF0"/>
    <w:rsid w:val="003A405C"/>
    <w:rsid w:val="003C1096"/>
    <w:rsid w:val="003E2FFE"/>
    <w:rsid w:val="00424A9B"/>
    <w:rsid w:val="00426BD7"/>
    <w:rsid w:val="0045328F"/>
    <w:rsid w:val="004700DA"/>
    <w:rsid w:val="0049540F"/>
    <w:rsid w:val="004A4B5A"/>
    <w:rsid w:val="004C4A1B"/>
    <w:rsid w:val="004F19B3"/>
    <w:rsid w:val="00505762"/>
    <w:rsid w:val="0051601D"/>
    <w:rsid w:val="00535585"/>
    <w:rsid w:val="005432B8"/>
    <w:rsid w:val="00566DF4"/>
    <w:rsid w:val="0057341A"/>
    <w:rsid w:val="005900F8"/>
    <w:rsid w:val="005A471E"/>
    <w:rsid w:val="005B0F6B"/>
    <w:rsid w:val="005B24C1"/>
    <w:rsid w:val="005C216A"/>
    <w:rsid w:val="005E0697"/>
    <w:rsid w:val="005F26D5"/>
    <w:rsid w:val="00681E51"/>
    <w:rsid w:val="006842AC"/>
    <w:rsid w:val="006E16BB"/>
    <w:rsid w:val="006F7094"/>
    <w:rsid w:val="00712F53"/>
    <w:rsid w:val="00724BF5"/>
    <w:rsid w:val="00727E03"/>
    <w:rsid w:val="00730199"/>
    <w:rsid w:val="00743340"/>
    <w:rsid w:val="00745458"/>
    <w:rsid w:val="0074794F"/>
    <w:rsid w:val="0075238A"/>
    <w:rsid w:val="00764DA0"/>
    <w:rsid w:val="0077351A"/>
    <w:rsid w:val="00776174"/>
    <w:rsid w:val="00787EAF"/>
    <w:rsid w:val="00790423"/>
    <w:rsid w:val="00797B0D"/>
    <w:rsid w:val="007B3916"/>
    <w:rsid w:val="007C39D9"/>
    <w:rsid w:val="00805375"/>
    <w:rsid w:val="00831F57"/>
    <w:rsid w:val="00832659"/>
    <w:rsid w:val="00856185"/>
    <w:rsid w:val="008562B9"/>
    <w:rsid w:val="0086252F"/>
    <w:rsid w:val="00866257"/>
    <w:rsid w:val="0087546F"/>
    <w:rsid w:val="008A3CA4"/>
    <w:rsid w:val="008A57B5"/>
    <w:rsid w:val="008B5775"/>
    <w:rsid w:val="008D15A5"/>
    <w:rsid w:val="008D1E84"/>
    <w:rsid w:val="008D2C9A"/>
    <w:rsid w:val="00905DE2"/>
    <w:rsid w:val="009138E7"/>
    <w:rsid w:val="00930A7E"/>
    <w:rsid w:val="0094070B"/>
    <w:rsid w:val="0095065F"/>
    <w:rsid w:val="00957D6F"/>
    <w:rsid w:val="0099613A"/>
    <w:rsid w:val="009A2B1C"/>
    <w:rsid w:val="009A44C5"/>
    <w:rsid w:val="009B541D"/>
    <w:rsid w:val="009B5F1C"/>
    <w:rsid w:val="009B6944"/>
    <w:rsid w:val="009D3624"/>
    <w:rsid w:val="009D575E"/>
    <w:rsid w:val="009E6F53"/>
    <w:rsid w:val="009F4C1F"/>
    <w:rsid w:val="00A4246C"/>
    <w:rsid w:val="00A430EC"/>
    <w:rsid w:val="00A5745E"/>
    <w:rsid w:val="00A62EC7"/>
    <w:rsid w:val="00A80290"/>
    <w:rsid w:val="00A93463"/>
    <w:rsid w:val="00AA5570"/>
    <w:rsid w:val="00AA73ED"/>
    <w:rsid w:val="00AB10C6"/>
    <w:rsid w:val="00AC54A6"/>
    <w:rsid w:val="00AC59B6"/>
    <w:rsid w:val="00AC7FD8"/>
    <w:rsid w:val="00AD4D3B"/>
    <w:rsid w:val="00AE20A6"/>
    <w:rsid w:val="00AE4A01"/>
    <w:rsid w:val="00AF7126"/>
    <w:rsid w:val="00B068D3"/>
    <w:rsid w:val="00B14E7F"/>
    <w:rsid w:val="00B1511B"/>
    <w:rsid w:val="00B24F06"/>
    <w:rsid w:val="00B312B3"/>
    <w:rsid w:val="00B526AF"/>
    <w:rsid w:val="00B5652D"/>
    <w:rsid w:val="00B73F61"/>
    <w:rsid w:val="00B776E5"/>
    <w:rsid w:val="00B863A7"/>
    <w:rsid w:val="00BA202E"/>
    <w:rsid w:val="00BA5301"/>
    <w:rsid w:val="00BE2F43"/>
    <w:rsid w:val="00C01FF7"/>
    <w:rsid w:val="00C32CC7"/>
    <w:rsid w:val="00C60F12"/>
    <w:rsid w:val="00C64444"/>
    <w:rsid w:val="00C80EB8"/>
    <w:rsid w:val="00CA032E"/>
    <w:rsid w:val="00CC42DE"/>
    <w:rsid w:val="00CE230E"/>
    <w:rsid w:val="00CF7544"/>
    <w:rsid w:val="00D0748D"/>
    <w:rsid w:val="00D23DCB"/>
    <w:rsid w:val="00D27636"/>
    <w:rsid w:val="00D43E24"/>
    <w:rsid w:val="00DA327E"/>
    <w:rsid w:val="00E03F1B"/>
    <w:rsid w:val="00E369BF"/>
    <w:rsid w:val="00E448CD"/>
    <w:rsid w:val="00E64E42"/>
    <w:rsid w:val="00E65276"/>
    <w:rsid w:val="00E86B53"/>
    <w:rsid w:val="00EA0AE4"/>
    <w:rsid w:val="00EA3C8F"/>
    <w:rsid w:val="00EB5059"/>
    <w:rsid w:val="00EC37AE"/>
    <w:rsid w:val="00ED54A1"/>
    <w:rsid w:val="00EF33D4"/>
    <w:rsid w:val="00F02AF8"/>
    <w:rsid w:val="00F14175"/>
    <w:rsid w:val="00F23A8C"/>
    <w:rsid w:val="00F310CC"/>
    <w:rsid w:val="00F36C12"/>
    <w:rsid w:val="00F41467"/>
    <w:rsid w:val="00F41A79"/>
    <w:rsid w:val="00F42E88"/>
    <w:rsid w:val="00F63EBC"/>
    <w:rsid w:val="00F91228"/>
    <w:rsid w:val="00FA1B2C"/>
    <w:rsid w:val="00FB1D03"/>
    <w:rsid w:val="00FC55FC"/>
    <w:rsid w:val="00FC707D"/>
    <w:rsid w:val="00FF0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620C93"/>
  <w14:defaultImageDpi w14:val="0"/>
  <w15:docId w15:val="{DFD252D2-C302-4876-AA35-008B8AB0B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5046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745458"/>
    <w:pPr>
      <w:jc w:val="center"/>
    </w:pPr>
    <w:rPr>
      <w:b/>
      <w:bCs/>
      <w:lang w:eastAsia="en-U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character" w:styleId="Hyperlink">
    <w:name w:val="Hyperlink"/>
    <w:basedOn w:val="DefaultParagraphFont"/>
    <w:uiPriority w:val="99"/>
    <w:rsid w:val="008D1E84"/>
    <w:rPr>
      <w:rFonts w:ascii="Arial" w:hAnsi="Arial" w:cs="Times New Roman"/>
      <w:color w:val="3366FF"/>
      <w:sz w:val="24"/>
      <w:u w:val="none"/>
    </w:rPr>
  </w:style>
  <w:style w:type="paragraph" w:styleId="NormalWeb">
    <w:name w:val="Normal (Web)"/>
    <w:basedOn w:val="Normal"/>
    <w:uiPriority w:val="99"/>
    <w:rsid w:val="004700DA"/>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emis</dc:creator>
  <cp:keywords/>
  <dc:description/>
  <cp:lastModifiedBy>Katy Morson</cp:lastModifiedBy>
  <cp:revision>2</cp:revision>
  <dcterms:created xsi:type="dcterms:W3CDTF">2022-02-14T10:48:00Z</dcterms:created>
  <dcterms:modified xsi:type="dcterms:W3CDTF">2022-02-14T10:48:00Z</dcterms:modified>
</cp:coreProperties>
</file>