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2FD" w:rsidRPr="00CB70FF" w:rsidRDefault="003D039F" w:rsidP="00CB70FF">
      <w:pPr>
        <w:spacing w:after="0" w:line="240" w:lineRule="auto"/>
        <w:rPr>
          <w:sz w:val="24"/>
          <w:szCs w:val="24"/>
        </w:rPr>
      </w:pPr>
      <w:r w:rsidRPr="00CB70FF">
        <w:rPr>
          <w:noProof/>
          <w:sz w:val="24"/>
          <w:szCs w:val="24"/>
          <w:lang w:eastAsia="en-GB"/>
        </w:rPr>
        <w:drawing>
          <wp:inline distT="0" distB="0" distL="0" distR="0">
            <wp:extent cx="5731510" cy="18008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plogo.JPG"/>
                    <pic:cNvPicPr/>
                  </pic:nvPicPr>
                  <pic:blipFill>
                    <a:blip r:embed="rId5">
                      <a:extLst>
                        <a:ext uri="{28A0092B-C50C-407E-A947-70E740481C1C}">
                          <a14:useLocalDpi xmlns:a14="http://schemas.microsoft.com/office/drawing/2010/main" val="0"/>
                        </a:ext>
                      </a:extLst>
                    </a:blip>
                    <a:stretch>
                      <a:fillRect/>
                    </a:stretch>
                  </pic:blipFill>
                  <pic:spPr>
                    <a:xfrm>
                      <a:off x="0" y="0"/>
                      <a:ext cx="5731510" cy="1800860"/>
                    </a:xfrm>
                    <a:prstGeom prst="rect">
                      <a:avLst/>
                    </a:prstGeom>
                  </pic:spPr>
                </pic:pic>
              </a:graphicData>
            </a:graphic>
          </wp:inline>
        </w:drawing>
      </w:r>
      <w:bookmarkStart w:id="0" w:name="_GoBack"/>
      <w:bookmarkEnd w:id="0"/>
    </w:p>
    <w:p w:rsidR="003D039F" w:rsidRPr="00CB70FF" w:rsidRDefault="00CB70FF" w:rsidP="00CB70FF">
      <w:pPr>
        <w:spacing w:after="0" w:line="240" w:lineRule="auto"/>
        <w:rPr>
          <w:sz w:val="24"/>
          <w:szCs w:val="24"/>
        </w:rPr>
      </w:pPr>
      <w:r w:rsidRPr="00CB70FF">
        <w:rPr>
          <w:sz w:val="24"/>
          <w:szCs w:val="24"/>
        </w:rPr>
        <w:t>Common questions/concerns when collecting sexual orientation, gender identity and trans status on registration forms</w:t>
      </w:r>
      <w:r w:rsidR="003D039F" w:rsidRPr="00CB70FF">
        <w:rPr>
          <w:sz w:val="24"/>
          <w:szCs w:val="24"/>
        </w:rPr>
        <w:t>.</w:t>
      </w:r>
    </w:p>
    <w:p w:rsidR="00CB70FF" w:rsidRPr="00CB70FF" w:rsidRDefault="00CB70FF" w:rsidP="00CB70FF">
      <w:pPr>
        <w:spacing w:after="0" w:line="240" w:lineRule="auto"/>
        <w:rPr>
          <w:sz w:val="24"/>
          <w:szCs w:val="24"/>
        </w:rPr>
      </w:pPr>
    </w:p>
    <w:p w:rsidR="00BB7305" w:rsidRPr="00CB70FF" w:rsidRDefault="003D039F" w:rsidP="00CB70FF">
      <w:pPr>
        <w:spacing w:after="0" w:line="240" w:lineRule="auto"/>
        <w:rPr>
          <w:b/>
          <w:sz w:val="24"/>
          <w:szCs w:val="24"/>
        </w:rPr>
      </w:pPr>
      <w:r w:rsidRPr="00CB70FF">
        <w:rPr>
          <w:b/>
          <w:sz w:val="24"/>
          <w:szCs w:val="24"/>
        </w:rPr>
        <w:t>What do we do with this information?</w:t>
      </w:r>
    </w:p>
    <w:p w:rsidR="00D6042A" w:rsidRPr="00B305AF" w:rsidRDefault="00BB7305" w:rsidP="00CB70FF">
      <w:pPr>
        <w:spacing w:after="0" w:line="240" w:lineRule="auto"/>
        <w:rPr>
          <w:i/>
          <w:sz w:val="24"/>
          <w:szCs w:val="24"/>
        </w:rPr>
      </w:pPr>
      <w:r w:rsidRPr="00B305AF">
        <w:rPr>
          <w:i/>
          <w:sz w:val="24"/>
          <w:szCs w:val="24"/>
        </w:rPr>
        <w:t>We use this information provide the best standard of healthcare possible, tailoring our services, signposting and conversations to your specific healthcare needs. We can also use the data</w:t>
      </w:r>
      <w:r w:rsidR="00CB70FF" w:rsidRPr="00B305AF">
        <w:rPr>
          <w:i/>
          <w:sz w:val="24"/>
          <w:szCs w:val="24"/>
        </w:rPr>
        <w:t xml:space="preserve"> collected to make sure the services we provide accurately reflect patients accessing our services. We can also use data collected to identify the prevalence rate of conditions within particular groups. </w:t>
      </w:r>
    </w:p>
    <w:p w:rsidR="00BB7305" w:rsidRPr="00CB70FF" w:rsidRDefault="00BB7305" w:rsidP="00CB70FF">
      <w:pPr>
        <w:spacing w:after="0" w:line="240" w:lineRule="auto"/>
        <w:rPr>
          <w:sz w:val="24"/>
          <w:szCs w:val="24"/>
        </w:rPr>
      </w:pPr>
    </w:p>
    <w:p w:rsidR="00BB7305" w:rsidRPr="00CB70FF" w:rsidRDefault="00BB7305" w:rsidP="00CB70FF">
      <w:pPr>
        <w:spacing w:after="0" w:line="240" w:lineRule="auto"/>
        <w:rPr>
          <w:sz w:val="24"/>
          <w:szCs w:val="24"/>
        </w:rPr>
      </w:pPr>
    </w:p>
    <w:p w:rsidR="00CB70FF" w:rsidRPr="00CB70FF" w:rsidRDefault="003D039F" w:rsidP="00CB70FF">
      <w:pPr>
        <w:spacing w:after="0" w:line="240" w:lineRule="auto"/>
        <w:rPr>
          <w:sz w:val="24"/>
          <w:szCs w:val="24"/>
        </w:rPr>
      </w:pPr>
      <w:r w:rsidRPr="00CB70FF">
        <w:rPr>
          <w:b/>
          <w:sz w:val="24"/>
          <w:szCs w:val="24"/>
        </w:rPr>
        <w:t>Who will it be shared with?</w:t>
      </w:r>
      <w:r w:rsidRPr="00CB70FF">
        <w:rPr>
          <w:sz w:val="24"/>
          <w:szCs w:val="24"/>
        </w:rPr>
        <w:t xml:space="preserve"> </w:t>
      </w:r>
    </w:p>
    <w:p w:rsidR="00CB70FF" w:rsidRPr="00B305AF" w:rsidRDefault="00CB70FF" w:rsidP="00CB70FF">
      <w:pPr>
        <w:spacing w:after="0" w:line="240" w:lineRule="auto"/>
        <w:rPr>
          <w:i/>
          <w:sz w:val="24"/>
          <w:szCs w:val="24"/>
        </w:rPr>
      </w:pPr>
      <w:r w:rsidRPr="00B305AF">
        <w:rPr>
          <w:i/>
          <w:sz w:val="24"/>
          <w:szCs w:val="24"/>
        </w:rPr>
        <w:lastRenderedPageBreak/>
        <w:t xml:space="preserve">The practice is bound by strict confidentiality and the General Data Protection Regulations 2018 (GDPR). This means we will only share your information if consent is provided or if necessary for your healthcare e.g. referrals to other clinical services. Where requested, information will be shared with lawyers, for insurance forms etc. </w:t>
      </w:r>
    </w:p>
    <w:p w:rsidR="00CB70FF" w:rsidRPr="00B305AF" w:rsidRDefault="00CB70FF" w:rsidP="00CB70FF">
      <w:pPr>
        <w:spacing w:after="0" w:line="240" w:lineRule="auto"/>
        <w:rPr>
          <w:i/>
          <w:sz w:val="24"/>
          <w:szCs w:val="24"/>
        </w:rPr>
      </w:pPr>
    </w:p>
    <w:p w:rsidR="003D039F" w:rsidRPr="00B305AF" w:rsidRDefault="00CB70FF" w:rsidP="00CB70FF">
      <w:pPr>
        <w:spacing w:after="0" w:line="240" w:lineRule="auto"/>
        <w:rPr>
          <w:i/>
          <w:sz w:val="24"/>
          <w:szCs w:val="24"/>
        </w:rPr>
      </w:pPr>
      <w:r w:rsidRPr="00B305AF">
        <w:rPr>
          <w:i/>
          <w:sz w:val="24"/>
          <w:szCs w:val="24"/>
        </w:rPr>
        <w:t xml:space="preserve">For trans patients we adhere to the Gender Recognition Act 2004 and will not disclose a patient’s transgender history to a third party without written consent to do so. </w:t>
      </w:r>
    </w:p>
    <w:p w:rsidR="00BB7305" w:rsidRDefault="00BB7305" w:rsidP="00CB70FF">
      <w:pPr>
        <w:spacing w:after="0" w:line="240" w:lineRule="auto"/>
        <w:rPr>
          <w:sz w:val="24"/>
          <w:szCs w:val="24"/>
        </w:rPr>
      </w:pPr>
    </w:p>
    <w:p w:rsidR="00CB70FF" w:rsidRPr="00CB70FF" w:rsidRDefault="00CB70FF" w:rsidP="00CB70FF">
      <w:pPr>
        <w:spacing w:after="0" w:line="240" w:lineRule="auto"/>
        <w:rPr>
          <w:sz w:val="24"/>
          <w:szCs w:val="24"/>
        </w:rPr>
      </w:pPr>
    </w:p>
    <w:p w:rsidR="003D039F" w:rsidRPr="00CB70FF" w:rsidRDefault="003D039F" w:rsidP="00CB70FF">
      <w:pPr>
        <w:spacing w:after="0" w:line="240" w:lineRule="auto"/>
        <w:rPr>
          <w:b/>
          <w:sz w:val="24"/>
          <w:szCs w:val="24"/>
        </w:rPr>
      </w:pPr>
      <w:r w:rsidRPr="00CB70FF">
        <w:rPr>
          <w:b/>
          <w:sz w:val="24"/>
          <w:szCs w:val="24"/>
        </w:rPr>
        <w:t>Why do we collect it?</w:t>
      </w:r>
    </w:p>
    <w:p w:rsidR="00BB7305" w:rsidRPr="00CB70FF" w:rsidRDefault="00BB7305" w:rsidP="00CB70FF">
      <w:pPr>
        <w:spacing w:after="0" w:line="240" w:lineRule="auto"/>
        <w:rPr>
          <w:bCs/>
          <w:i/>
          <w:iCs/>
          <w:sz w:val="24"/>
          <w:szCs w:val="24"/>
        </w:rPr>
      </w:pPr>
      <w:r w:rsidRPr="00CB70FF">
        <w:rPr>
          <w:bCs/>
          <w:i/>
          <w:iCs/>
          <w:sz w:val="24"/>
          <w:szCs w:val="24"/>
        </w:rPr>
        <w:t xml:space="preserve">Under the Equality Act 2010, we have a duty of care to pay due regard to patients with protected characteristics. For this reason we collect a variety of demographic information in order to tailor the service and support you receive from us. Sexual orientation and trans status monitoring are one of many pieces of information we collect from our patients. </w:t>
      </w:r>
    </w:p>
    <w:p w:rsidR="00BB7305" w:rsidRDefault="00BB7305" w:rsidP="00CB70FF">
      <w:pPr>
        <w:spacing w:after="0" w:line="240" w:lineRule="auto"/>
        <w:rPr>
          <w:bCs/>
          <w:i/>
          <w:iCs/>
          <w:sz w:val="24"/>
          <w:szCs w:val="24"/>
        </w:rPr>
      </w:pPr>
      <w:r w:rsidRPr="00CB70FF">
        <w:rPr>
          <w:bCs/>
          <w:i/>
          <w:iCs/>
          <w:sz w:val="24"/>
          <w:szCs w:val="24"/>
        </w:rPr>
        <w:lastRenderedPageBreak/>
        <w:t xml:space="preserve">If you are not comfortable providing this information, you don’t have to. But filling in all of the demographic information on patient forms allows us to provide you the best care possible. </w:t>
      </w:r>
    </w:p>
    <w:p w:rsidR="00CB70FF" w:rsidRPr="00CB70FF" w:rsidRDefault="00CB70FF" w:rsidP="00CB70FF">
      <w:pPr>
        <w:spacing w:after="0" w:line="240" w:lineRule="auto"/>
        <w:rPr>
          <w:bCs/>
          <w:i/>
          <w:iCs/>
          <w:sz w:val="24"/>
          <w:szCs w:val="24"/>
        </w:rPr>
      </w:pPr>
    </w:p>
    <w:p w:rsidR="00BB7305" w:rsidRPr="00CB70FF" w:rsidRDefault="00BB7305" w:rsidP="00CB70FF">
      <w:pPr>
        <w:spacing w:after="0" w:line="240" w:lineRule="auto"/>
        <w:rPr>
          <w:bCs/>
          <w:i/>
          <w:iCs/>
          <w:sz w:val="24"/>
          <w:szCs w:val="24"/>
        </w:rPr>
      </w:pPr>
    </w:p>
    <w:p w:rsidR="00BB7305" w:rsidRPr="00CB70FF" w:rsidRDefault="00BB7305" w:rsidP="00CB70FF">
      <w:pPr>
        <w:spacing w:after="0" w:line="240" w:lineRule="auto"/>
        <w:rPr>
          <w:b/>
          <w:bCs/>
          <w:iCs/>
          <w:sz w:val="24"/>
          <w:szCs w:val="24"/>
        </w:rPr>
      </w:pPr>
      <w:r w:rsidRPr="00CB70FF">
        <w:rPr>
          <w:b/>
          <w:bCs/>
          <w:iCs/>
          <w:sz w:val="24"/>
          <w:szCs w:val="24"/>
        </w:rPr>
        <w:t>If someone has a complaint about LGBT posters/visibility</w:t>
      </w:r>
    </w:p>
    <w:p w:rsidR="00BB7305" w:rsidRPr="00CB70FF" w:rsidRDefault="00BB7305" w:rsidP="00CB70FF">
      <w:pPr>
        <w:spacing w:after="0" w:line="240" w:lineRule="auto"/>
        <w:rPr>
          <w:sz w:val="24"/>
          <w:szCs w:val="24"/>
        </w:rPr>
      </w:pPr>
      <w:r w:rsidRPr="00CB70FF">
        <w:rPr>
          <w:bCs/>
          <w:i/>
          <w:iCs/>
          <w:sz w:val="24"/>
          <w:szCs w:val="24"/>
        </w:rPr>
        <w:t>Under the Equality Act 2010, we have a duty of care to foster good relations between people who share a characteristic and those who don't. For this reason we provide a variety of targeted campaigns and information. Signposting to LGBT services are one of many services we offer our patients.</w:t>
      </w:r>
    </w:p>
    <w:p w:rsidR="00BB7305" w:rsidRPr="00CB70FF" w:rsidRDefault="00BB7305" w:rsidP="00CB70FF">
      <w:pPr>
        <w:spacing w:after="0" w:line="240" w:lineRule="auto"/>
        <w:rPr>
          <w:sz w:val="24"/>
          <w:szCs w:val="24"/>
        </w:rPr>
      </w:pPr>
    </w:p>
    <w:p w:rsidR="00786A2B" w:rsidRDefault="00B305AF" w:rsidP="00CB70FF">
      <w:pPr>
        <w:spacing w:after="0" w:line="240" w:lineRule="auto"/>
        <w:rPr>
          <w:b/>
          <w:sz w:val="24"/>
          <w:szCs w:val="24"/>
        </w:rPr>
      </w:pPr>
      <w:r>
        <w:rPr>
          <w:b/>
          <w:sz w:val="24"/>
          <w:szCs w:val="24"/>
        </w:rPr>
        <w:t>Changing</w:t>
      </w:r>
      <w:r w:rsidR="00786A2B">
        <w:rPr>
          <w:b/>
          <w:sz w:val="24"/>
          <w:szCs w:val="24"/>
        </w:rPr>
        <w:t xml:space="preserve"> a</w:t>
      </w:r>
      <w:r>
        <w:rPr>
          <w:b/>
          <w:sz w:val="24"/>
          <w:szCs w:val="24"/>
        </w:rPr>
        <w:t xml:space="preserve"> </w:t>
      </w:r>
      <w:r w:rsidR="00786A2B">
        <w:rPr>
          <w:b/>
          <w:sz w:val="24"/>
          <w:szCs w:val="24"/>
        </w:rPr>
        <w:t xml:space="preserve">patient’s </w:t>
      </w:r>
      <w:r>
        <w:rPr>
          <w:b/>
          <w:sz w:val="24"/>
          <w:szCs w:val="24"/>
        </w:rPr>
        <w:t xml:space="preserve">name </w:t>
      </w:r>
    </w:p>
    <w:p w:rsidR="00786A2B" w:rsidRDefault="00B305AF" w:rsidP="00CB70FF">
      <w:pPr>
        <w:spacing w:after="0" w:line="240" w:lineRule="auto"/>
        <w:rPr>
          <w:i/>
          <w:sz w:val="24"/>
          <w:szCs w:val="24"/>
        </w:rPr>
      </w:pPr>
      <w:r w:rsidRPr="00B305AF">
        <w:rPr>
          <w:i/>
          <w:sz w:val="24"/>
          <w:szCs w:val="24"/>
        </w:rPr>
        <w:t>Patients ar</w:t>
      </w:r>
      <w:r w:rsidR="00786A2B">
        <w:rPr>
          <w:i/>
          <w:sz w:val="24"/>
          <w:szCs w:val="24"/>
        </w:rPr>
        <w:t>e entitled to change their name</w:t>
      </w:r>
      <w:r w:rsidRPr="00B305AF">
        <w:rPr>
          <w:i/>
          <w:sz w:val="24"/>
          <w:szCs w:val="24"/>
        </w:rPr>
        <w:t xml:space="preserve"> on request. Patients can obtain a free deed poll online and provide a printed copy to the GP practice. </w:t>
      </w:r>
    </w:p>
    <w:p w:rsidR="00786A2B" w:rsidRDefault="00786A2B" w:rsidP="00CB70FF">
      <w:pPr>
        <w:spacing w:after="0" w:line="240" w:lineRule="auto"/>
        <w:rPr>
          <w:i/>
          <w:sz w:val="24"/>
          <w:szCs w:val="24"/>
        </w:rPr>
      </w:pPr>
    </w:p>
    <w:p w:rsidR="00786A2B" w:rsidRPr="00786A2B" w:rsidRDefault="00786A2B" w:rsidP="00CB70FF">
      <w:pPr>
        <w:spacing w:after="0" w:line="240" w:lineRule="auto"/>
        <w:rPr>
          <w:b/>
          <w:sz w:val="24"/>
          <w:szCs w:val="24"/>
        </w:rPr>
      </w:pPr>
      <w:r>
        <w:rPr>
          <w:b/>
          <w:sz w:val="24"/>
          <w:szCs w:val="24"/>
        </w:rPr>
        <w:t>Changing a patient’s</w:t>
      </w:r>
      <w:r>
        <w:rPr>
          <w:b/>
          <w:sz w:val="24"/>
          <w:szCs w:val="24"/>
        </w:rPr>
        <w:t xml:space="preserve"> gender marker</w:t>
      </w:r>
    </w:p>
    <w:p w:rsidR="00786A2B" w:rsidRDefault="00B305AF" w:rsidP="00CB70FF">
      <w:pPr>
        <w:spacing w:after="0" w:line="240" w:lineRule="auto"/>
        <w:rPr>
          <w:i/>
          <w:sz w:val="24"/>
          <w:szCs w:val="24"/>
        </w:rPr>
      </w:pPr>
      <w:r w:rsidRPr="00B305AF">
        <w:rPr>
          <w:i/>
          <w:sz w:val="24"/>
          <w:szCs w:val="24"/>
        </w:rPr>
        <w:t>If a patient wants to change</w:t>
      </w:r>
      <w:r w:rsidR="00786A2B">
        <w:rPr>
          <w:i/>
          <w:sz w:val="24"/>
          <w:szCs w:val="24"/>
        </w:rPr>
        <w:t xml:space="preserve"> their gender marker, they can request this at any time. You should make p</w:t>
      </w:r>
      <w:r w:rsidRPr="00B305AF">
        <w:rPr>
          <w:i/>
          <w:sz w:val="24"/>
          <w:szCs w:val="24"/>
        </w:rPr>
        <w:t>atients aware that changing their gen</w:t>
      </w:r>
      <w:r w:rsidRPr="00B305AF">
        <w:rPr>
          <w:i/>
          <w:sz w:val="24"/>
          <w:szCs w:val="24"/>
        </w:rPr>
        <w:lastRenderedPageBreak/>
        <w:t xml:space="preserve">der marker will </w:t>
      </w:r>
      <w:r w:rsidR="00786A2B">
        <w:rPr>
          <w:i/>
          <w:sz w:val="24"/>
          <w:szCs w:val="24"/>
        </w:rPr>
        <w:t xml:space="preserve">mean </w:t>
      </w:r>
      <w:r w:rsidR="00301F42">
        <w:rPr>
          <w:i/>
          <w:sz w:val="24"/>
          <w:szCs w:val="24"/>
        </w:rPr>
        <w:t>receiv</w:t>
      </w:r>
      <w:r w:rsidR="00786A2B">
        <w:rPr>
          <w:i/>
          <w:sz w:val="24"/>
          <w:szCs w:val="24"/>
        </w:rPr>
        <w:t>ing</w:t>
      </w:r>
      <w:r w:rsidR="00301F42">
        <w:rPr>
          <w:i/>
          <w:sz w:val="24"/>
          <w:szCs w:val="24"/>
        </w:rPr>
        <w:t xml:space="preserve"> a new NHS number</w:t>
      </w:r>
      <w:r w:rsidR="00786A2B">
        <w:rPr>
          <w:i/>
          <w:sz w:val="24"/>
          <w:szCs w:val="24"/>
        </w:rPr>
        <w:t>. A new NHS number and change to their gender marker</w:t>
      </w:r>
      <w:r w:rsidR="00301F42">
        <w:rPr>
          <w:i/>
          <w:sz w:val="24"/>
          <w:szCs w:val="24"/>
        </w:rPr>
        <w:t xml:space="preserve"> will</w:t>
      </w:r>
      <w:r w:rsidR="00786A2B">
        <w:rPr>
          <w:i/>
          <w:sz w:val="24"/>
          <w:szCs w:val="24"/>
        </w:rPr>
        <w:t xml:space="preserve"> mean the patient is </w:t>
      </w:r>
      <w:r w:rsidR="00301F42">
        <w:rPr>
          <w:i/>
          <w:sz w:val="24"/>
          <w:szCs w:val="24"/>
        </w:rPr>
        <w:t>automatically opted in/out for screening recalls relevant to genders of male or female</w:t>
      </w:r>
      <w:r>
        <w:rPr>
          <w:i/>
          <w:sz w:val="24"/>
          <w:szCs w:val="24"/>
        </w:rPr>
        <w:t xml:space="preserve">. </w:t>
      </w:r>
    </w:p>
    <w:p w:rsidR="00B305AF" w:rsidRDefault="00B305AF" w:rsidP="00CB70FF">
      <w:pPr>
        <w:spacing w:after="0" w:line="240" w:lineRule="auto"/>
        <w:rPr>
          <w:i/>
          <w:sz w:val="24"/>
          <w:szCs w:val="24"/>
        </w:rPr>
      </w:pPr>
      <w:r>
        <w:rPr>
          <w:i/>
          <w:sz w:val="24"/>
          <w:szCs w:val="24"/>
        </w:rPr>
        <w:t>For example</w:t>
      </w:r>
      <w:r w:rsidR="00301F42">
        <w:rPr>
          <w:i/>
          <w:sz w:val="24"/>
          <w:szCs w:val="24"/>
        </w:rPr>
        <w:t>,</w:t>
      </w:r>
      <w:r>
        <w:rPr>
          <w:i/>
          <w:sz w:val="24"/>
          <w:szCs w:val="24"/>
        </w:rPr>
        <w:t xml:space="preserve"> a trans woman will have a prostate but will not automatically rec</w:t>
      </w:r>
      <w:r w:rsidR="00301F42">
        <w:rPr>
          <w:i/>
          <w:sz w:val="24"/>
          <w:szCs w:val="24"/>
        </w:rPr>
        <w:t xml:space="preserve">eive national screening recalls </w:t>
      </w:r>
      <w:r>
        <w:rPr>
          <w:i/>
          <w:sz w:val="24"/>
          <w:szCs w:val="24"/>
        </w:rPr>
        <w:t>if their NHS number/gender marker is listed as female. For this reason</w:t>
      </w:r>
      <w:r w:rsidR="00786A2B">
        <w:rPr>
          <w:i/>
          <w:sz w:val="24"/>
          <w:szCs w:val="24"/>
        </w:rPr>
        <w:t>,</w:t>
      </w:r>
      <w:r>
        <w:rPr>
          <w:i/>
          <w:sz w:val="24"/>
          <w:szCs w:val="24"/>
        </w:rPr>
        <w:t xml:space="preserve"> we recommend practices include questions about a patient’s trans status</w:t>
      </w:r>
      <w:r w:rsidR="00786A2B">
        <w:rPr>
          <w:i/>
          <w:sz w:val="24"/>
          <w:szCs w:val="24"/>
        </w:rPr>
        <w:t xml:space="preserve"> on patient forms</w:t>
      </w:r>
      <w:r>
        <w:rPr>
          <w:i/>
          <w:sz w:val="24"/>
          <w:szCs w:val="24"/>
        </w:rPr>
        <w:t xml:space="preserve"> in order to establish </w:t>
      </w:r>
      <w:r w:rsidR="00786A2B">
        <w:rPr>
          <w:i/>
          <w:sz w:val="24"/>
          <w:szCs w:val="24"/>
        </w:rPr>
        <w:t>patient’s needs regarding</w:t>
      </w:r>
      <w:r>
        <w:rPr>
          <w:i/>
          <w:sz w:val="24"/>
          <w:szCs w:val="24"/>
        </w:rPr>
        <w:t xml:space="preserve"> sexual health</w:t>
      </w:r>
      <w:r w:rsidR="00786A2B">
        <w:rPr>
          <w:i/>
          <w:sz w:val="24"/>
          <w:szCs w:val="24"/>
        </w:rPr>
        <w:t xml:space="preserve">, screening recalls </w:t>
      </w:r>
      <w:r>
        <w:rPr>
          <w:i/>
          <w:sz w:val="24"/>
          <w:szCs w:val="24"/>
        </w:rPr>
        <w:t xml:space="preserve">and signposting. </w:t>
      </w:r>
    </w:p>
    <w:p w:rsidR="00B305AF" w:rsidRDefault="00B305AF" w:rsidP="00CB70FF">
      <w:pPr>
        <w:spacing w:after="0" w:line="240" w:lineRule="auto"/>
        <w:rPr>
          <w:sz w:val="24"/>
          <w:szCs w:val="24"/>
        </w:rPr>
      </w:pPr>
      <w:r w:rsidRPr="00B305AF">
        <w:rPr>
          <w:sz w:val="24"/>
          <w:szCs w:val="24"/>
        </w:rPr>
        <w:t xml:space="preserve">More information for staff can be found at: </w:t>
      </w:r>
      <w:hyperlink r:id="rId6" w:history="1">
        <w:r w:rsidR="00786A2B" w:rsidRPr="00C366DC">
          <w:rPr>
            <w:rStyle w:val="Hyperlink"/>
            <w:sz w:val="24"/>
            <w:szCs w:val="24"/>
          </w:rPr>
          <w:t>https://pcse.england.nhs.uk/services/registrations/</w:t>
        </w:r>
      </w:hyperlink>
      <w:r w:rsidR="00786A2B">
        <w:rPr>
          <w:sz w:val="24"/>
          <w:szCs w:val="24"/>
        </w:rPr>
        <w:t xml:space="preserve"> (see FAQ: Changing a patient’s gender marker)</w:t>
      </w:r>
    </w:p>
    <w:p w:rsidR="00585C4A" w:rsidRPr="00585C4A" w:rsidRDefault="00585C4A" w:rsidP="00CB70FF">
      <w:pPr>
        <w:spacing w:after="0" w:line="240" w:lineRule="auto"/>
        <w:rPr>
          <w:sz w:val="24"/>
          <w:szCs w:val="24"/>
        </w:rPr>
      </w:pPr>
    </w:p>
    <w:p w:rsidR="00B305AF" w:rsidRDefault="00B305AF" w:rsidP="00CB70FF">
      <w:pPr>
        <w:spacing w:after="0" w:line="240" w:lineRule="auto"/>
        <w:rPr>
          <w:b/>
          <w:sz w:val="24"/>
          <w:szCs w:val="24"/>
        </w:rPr>
      </w:pPr>
    </w:p>
    <w:p w:rsidR="00BB7305" w:rsidRPr="00CB70FF" w:rsidRDefault="00BB7305" w:rsidP="00CB70FF">
      <w:pPr>
        <w:spacing w:after="0" w:line="240" w:lineRule="auto"/>
        <w:rPr>
          <w:b/>
          <w:sz w:val="24"/>
          <w:szCs w:val="24"/>
        </w:rPr>
      </w:pPr>
      <w:r w:rsidRPr="00CB70FF">
        <w:rPr>
          <w:b/>
          <w:sz w:val="24"/>
          <w:szCs w:val="24"/>
        </w:rPr>
        <w:t>Useful phrases/questions</w:t>
      </w:r>
    </w:p>
    <w:p w:rsidR="00CB70FF" w:rsidRPr="00CB70FF" w:rsidRDefault="00CB70FF" w:rsidP="00CB70FF">
      <w:pPr>
        <w:spacing w:after="0" w:line="240" w:lineRule="auto"/>
        <w:rPr>
          <w:sz w:val="24"/>
          <w:szCs w:val="24"/>
        </w:rPr>
      </w:pPr>
      <w:r w:rsidRPr="00CB70FF">
        <w:rPr>
          <w:i/>
          <w:iCs/>
          <w:sz w:val="24"/>
          <w:szCs w:val="24"/>
        </w:rPr>
        <w:t>“What pronoun do you use?”</w:t>
      </w:r>
      <w:r w:rsidR="001436B2">
        <w:rPr>
          <w:i/>
          <w:iCs/>
          <w:sz w:val="24"/>
          <w:szCs w:val="24"/>
        </w:rPr>
        <w:t xml:space="preserve"> </w:t>
      </w:r>
    </w:p>
    <w:p w:rsidR="00CB70FF" w:rsidRPr="00CB70FF" w:rsidRDefault="00CB70FF" w:rsidP="00CB70FF">
      <w:pPr>
        <w:spacing w:after="0" w:line="240" w:lineRule="auto"/>
        <w:rPr>
          <w:sz w:val="24"/>
          <w:szCs w:val="24"/>
        </w:rPr>
      </w:pPr>
    </w:p>
    <w:p w:rsidR="00CB70FF" w:rsidRPr="00CB70FF" w:rsidRDefault="00CB70FF" w:rsidP="00CB70FF">
      <w:pPr>
        <w:spacing w:after="0" w:line="240" w:lineRule="auto"/>
        <w:rPr>
          <w:sz w:val="24"/>
          <w:szCs w:val="24"/>
        </w:rPr>
      </w:pPr>
      <w:r w:rsidRPr="00CB70FF">
        <w:rPr>
          <w:i/>
          <w:iCs/>
          <w:sz w:val="24"/>
          <w:szCs w:val="24"/>
        </w:rPr>
        <w:t>“Who do you have with you today?”</w:t>
      </w:r>
    </w:p>
    <w:p w:rsidR="00CB70FF" w:rsidRDefault="00CB70FF" w:rsidP="00CB70FF">
      <w:pPr>
        <w:spacing w:after="0" w:line="240" w:lineRule="auto"/>
        <w:rPr>
          <w:i/>
          <w:iCs/>
          <w:sz w:val="24"/>
          <w:szCs w:val="24"/>
        </w:rPr>
      </w:pPr>
    </w:p>
    <w:p w:rsidR="00CB70FF" w:rsidRPr="00CB70FF" w:rsidRDefault="00CB70FF" w:rsidP="00CB70FF">
      <w:pPr>
        <w:spacing w:after="0" w:line="240" w:lineRule="auto"/>
        <w:rPr>
          <w:sz w:val="24"/>
          <w:szCs w:val="24"/>
        </w:rPr>
      </w:pPr>
      <w:r w:rsidRPr="00CB70FF">
        <w:rPr>
          <w:i/>
          <w:iCs/>
          <w:sz w:val="24"/>
          <w:szCs w:val="24"/>
        </w:rPr>
        <w:t>“What is your partner’s name?”</w:t>
      </w:r>
    </w:p>
    <w:p w:rsidR="00BB7305" w:rsidRDefault="00BB7305" w:rsidP="00CB70FF">
      <w:pPr>
        <w:spacing w:after="0" w:line="240" w:lineRule="auto"/>
        <w:rPr>
          <w:sz w:val="24"/>
          <w:szCs w:val="24"/>
        </w:rPr>
      </w:pPr>
    </w:p>
    <w:p w:rsidR="001436B2" w:rsidRPr="00CB70FF" w:rsidRDefault="001436B2" w:rsidP="00CB70FF">
      <w:pPr>
        <w:spacing w:after="0" w:line="240" w:lineRule="auto"/>
        <w:rPr>
          <w:sz w:val="24"/>
          <w:szCs w:val="24"/>
        </w:rPr>
      </w:pPr>
      <w:r w:rsidRPr="001436B2">
        <w:rPr>
          <w:i/>
          <w:sz w:val="24"/>
          <w:szCs w:val="24"/>
        </w:rPr>
        <w:lastRenderedPageBreak/>
        <w:t>“Would you like signposting for LGBT services as well as mainstream services?”</w:t>
      </w:r>
      <w:r>
        <w:rPr>
          <w:sz w:val="24"/>
          <w:szCs w:val="24"/>
        </w:rPr>
        <w:t xml:space="preserve"> (</w:t>
      </w:r>
      <w:r w:rsidR="00786A2B">
        <w:rPr>
          <w:sz w:val="24"/>
          <w:szCs w:val="24"/>
        </w:rPr>
        <w:t>Use</w:t>
      </w:r>
      <w:r>
        <w:rPr>
          <w:sz w:val="24"/>
          <w:szCs w:val="24"/>
        </w:rPr>
        <w:t xml:space="preserve"> this one with caution, you don’t want to ‘out’ someone in the reception area)</w:t>
      </w:r>
    </w:p>
    <w:p w:rsidR="00BB7305" w:rsidRDefault="00BB7305" w:rsidP="00CB70FF">
      <w:pPr>
        <w:spacing w:after="0" w:line="240" w:lineRule="auto"/>
        <w:rPr>
          <w:sz w:val="24"/>
          <w:szCs w:val="24"/>
        </w:rPr>
      </w:pPr>
    </w:p>
    <w:p w:rsidR="00585C4A" w:rsidRPr="00CB70FF" w:rsidRDefault="00585C4A" w:rsidP="00CB70FF">
      <w:pPr>
        <w:spacing w:after="0" w:line="240" w:lineRule="auto"/>
        <w:rPr>
          <w:sz w:val="24"/>
          <w:szCs w:val="24"/>
        </w:rPr>
      </w:pPr>
    </w:p>
    <w:p w:rsidR="00BB7305" w:rsidRPr="00CB70FF" w:rsidRDefault="00BB7305" w:rsidP="00CB70FF">
      <w:pPr>
        <w:spacing w:after="0" w:line="240" w:lineRule="auto"/>
        <w:rPr>
          <w:b/>
          <w:sz w:val="24"/>
          <w:szCs w:val="24"/>
        </w:rPr>
      </w:pPr>
      <w:r w:rsidRPr="00CB70FF">
        <w:rPr>
          <w:b/>
          <w:sz w:val="24"/>
          <w:szCs w:val="24"/>
        </w:rPr>
        <w:t>Pronouns</w:t>
      </w:r>
      <w:r w:rsidR="00786A2B">
        <w:rPr>
          <w:b/>
          <w:sz w:val="24"/>
          <w:szCs w:val="24"/>
        </w:rPr>
        <w:tab/>
      </w:r>
      <w:r w:rsidR="00786A2B">
        <w:rPr>
          <w:b/>
          <w:sz w:val="24"/>
          <w:szCs w:val="24"/>
        </w:rPr>
        <w:tab/>
      </w:r>
      <w:r w:rsidR="00786A2B">
        <w:rPr>
          <w:b/>
          <w:sz w:val="24"/>
          <w:szCs w:val="24"/>
        </w:rPr>
        <w:tab/>
      </w:r>
      <w:r w:rsidR="00786A2B">
        <w:rPr>
          <w:b/>
          <w:sz w:val="24"/>
          <w:szCs w:val="24"/>
        </w:rPr>
        <w:tab/>
        <w:t>Titles</w:t>
      </w:r>
    </w:p>
    <w:p w:rsidR="00BB7305" w:rsidRPr="00CB70FF" w:rsidRDefault="00BB7305" w:rsidP="00CB70FF">
      <w:pPr>
        <w:spacing w:after="0" w:line="240" w:lineRule="auto"/>
        <w:rPr>
          <w:sz w:val="24"/>
          <w:szCs w:val="24"/>
        </w:rPr>
      </w:pPr>
      <w:r w:rsidRPr="00CB70FF">
        <w:rPr>
          <w:sz w:val="24"/>
          <w:szCs w:val="24"/>
        </w:rPr>
        <w:t>Female - She/Her</w:t>
      </w:r>
      <w:r w:rsidR="00786A2B">
        <w:rPr>
          <w:sz w:val="24"/>
          <w:szCs w:val="24"/>
        </w:rPr>
        <w:tab/>
      </w:r>
      <w:r w:rsidR="00786A2B">
        <w:rPr>
          <w:sz w:val="24"/>
          <w:szCs w:val="24"/>
        </w:rPr>
        <w:tab/>
      </w:r>
      <w:r w:rsidR="00786A2B">
        <w:rPr>
          <w:sz w:val="24"/>
          <w:szCs w:val="24"/>
        </w:rPr>
        <w:tab/>
        <w:t>Miss, Mrs, Ms</w:t>
      </w:r>
    </w:p>
    <w:p w:rsidR="00BB7305" w:rsidRPr="00CB70FF" w:rsidRDefault="00BB7305" w:rsidP="00CB70FF">
      <w:pPr>
        <w:spacing w:after="0" w:line="240" w:lineRule="auto"/>
        <w:rPr>
          <w:sz w:val="24"/>
          <w:szCs w:val="24"/>
        </w:rPr>
      </w:pPr>
      <w:r w:rsidRPr="00CB70FF">
        <w:rPr>
          <w:sz w:val="24"/>
          <w:szCs w:val="24"/>
        </w:rPr>
        <w:t>Male - He/Him</w:t>
      </w:r>
      <w:r w:rsidR="00786A2B">
        <w:rPr>
          <w:sz w:val="24"/>
          <w:szCs w:val="24"/>
        </w:rPr>
        <w:tab/>
      </w:r>
      <w:r w:rsidR="00786A2B">
        <w:rPr>
          <w:sz w:val="24"/>
          <w:szCs w:val="24"/>
        </w:rPr>
        <w:tab/>
      </w:r>
      <w:r w:rsidR="00786A2B">
        <w:rPr>
          <w:sz w:val="24"/>
          <w:szCs w:val="24"/>
        </w:rPr>
        <w:tab/>
      </w:r>
      <w:r w:rsidR="00786A2B">
        <w:rPr>
          <w:sz w:val="24"/>
          <w:szCs w:val="24"/>
        </w:rPr>
        <w:tab/>
        <w:t xml:space="preserve">Mr </w:t>
      </w:r>
    </w:p>
    <w:p w:rsidR="00BB7305" w:rsidRPr="00CB70FF" w:rsidRDefault="00BB7305" w:rsidP="00CB70FF">
      <w:pPr>
        <w:spacing w:after="0" w:line="240" w:lineRule="auto"/>
        <w:rPr>
          <w:sz w:val="24"/>
          <w:szCs w:val="24"/>
        </w:rPr>
      </w:pPr>
      <w:r w:rsidRPr="00CB70FF">
        <w:rPr>
          <w:sz w:val="24"/>
          <w:szCs w:val="24"/>
        </w:rPr>
        <w:t>Non-Binary - They/Them</w:t>
      </w:r>
      <w:r w:rsidR="00786A2B">
        <w:rPr>
          <w:sz w:val="24"/>
          <w:szCs w:val="24"/>
        </w:rPr>
        <w:tab/>
      </w:r>
      <w:r w:rsidR="00786A2B">
        <w:rPr>
          <w:sz w:val="24"/>
          <w:szCs w:val="24"/>
        </w:rPr>
        <w:tab/>
      </w:r>
      <w:proofErr w:type="spellStart"/>
      <w:r w:rsidR="00786A2B">
        <w:rPr>
          <w:sz w:val="24"/>
          <w:szCs w:val="24"/>
        </w:rPr>
        <w:t>Mx</w:t>
      </w:r>
      <w:proofErr w:type="spellEnd"/>
      <w:r w:rsidR="00786A2B">
        <w:rPr>
          <w:sz w:val="24"/>
          <w:szCs w:val="24"/>
        </w:rPr>
        <w:t xml:space="preserve"> </w:t>
      </w:r>
    </w:p>
    <w:p w:rsidR="003D039F" w:rsidRDefault="003D039F" w:rsidP="00CB70FF">
      <w:pPr>
        <w:spacing w:after="0" w:line="240" w:lineRule="auto"/>
        <w:rPr>
          <w:sz w:val="24"/>
          <w:szCs w:val="24"/>
        </w:rPr>
      </w:pPr>
    </w:p>
    <w:p w:rsidR="001436B2" w:rsidRDefault="001436B2" w:rsidP="00CB70FF">
      <w:pPr>
        <w:spacing w:after="0" w:line="240" w:lineRule="auto"/>
        <w:rPr>
          <w:sz w:val="24"/>
          <w:szCs w:val="24"/>
        </w:rPr>
      </w:pPr>
    </w:p>
    <w:p w:rsidR="001436B2" w:rsidRPr="00CC040F" w:rsidRDefault="001436B2" w:rsidP="00CB70FF">
      <w:pPr>
        <w:spacing w:after="0" w:line="240" w:lineRule="auto"/>
        <w:rPr>
          <w:b/>
          <w:sz w:val="24"/>
          <w:szCs w:val="24"/>
          <w:u w:val="single"/>
        </w:rPr>
      </w:pPr>
      <w:r w:rsidRPr="00CC040F">
        <w:rPr>
          <w:b/>
          <w:sz w:val="24"/>
          <w:szCs w:val="24"/>
          <w:u w:val="single"/>
        </w:rPr>
        <w:t>LGBT Support Services</w:t>
      </w:r>
    </w:p>
    <w:p w:rsidR="00301F42" w:rsidRDefault="00301F42" w:rsidP="00CB70FF">
      <w:pPr>
        <w:spacing w:after="0" w:line="240" w:lineRule="auto"/>
        <w:rPr>
          <w:sz w:val="24"/>
          <w:szCs w:val="24"/>
        </w:rPr>
      </w:pPr>
      <w:r>
        <w:rPr>
          <w:b/>
          <w:sz w:val="24"/>
          <w:szCs w:val="24"/>
        </w:rPr>
        <w:t xml:space="preserve">LGBT Foundation </w:t>
      </w:r>
      <w:r w:rsidRPr="001436B2">
        <w:rPr>
          <w:sz w:val="24"/>
          <w:szCs w:val="24"/>
        </w:rPr>
        <w:t xml:space="preserve">– </w:t>
      </w:r>
      <w:hyperlink r:id="rId7" w:history="1">
        <w:proofErr w:type="spellStart"/>
        <w:r w:rsidRPr="00301F42">
          <w:rPr>
            <w:rStyle w:val="Hyperlink"/>
            <w:sz w:val="24"/>
            <w:szCs w:val="24"/>
          </w:rPr>
          <w:t>lgbt.foundation</w:t>
        </w:r>
        <w:proofErr w:type="spellEnd"/>
      </w:hyperlink>
      <w:r>
        <w:rPr>
          <w:sz w:val="24"/>
          <w:szCs w:val="24"/>
        </w:rPr>
        <w:t xml:space="preserve"> - </w:t>
      </w:r>
      <w:r w:rsidRPr="001436B2">
        <w:rPr>
          <w:sz w:val="24"/>
          <w:szCs w:val="24"/>
        </w:rPr>
        <w:t xml:space="preserve">0345 </w:t>
      </w:r>
      <w:r>
        <w:rPr>
          <w:sz w:val="24"/>
          <w:szCs w:val="24"/>
        </w:rPr>
        <w:t>3 30 30 30</w:t>
      </w:r>
    </w:p>
    <w:p w:rsidR="00301F42" w:rsidRPr="00301F42" w:rsidRDefault="00301F42" w:rsidP="00CB70FF">
      <w:pPr>
        <w:spacing w:after="0" w:line="240" w:lineRule="auto"/>
        <w:rPr>
          <w:sz w:val="24"/>
          <w:szCs w:val="24"/>
        </w:rPr>
      </w:pPr>
      <w:r w:rsidRPr="007B10F4">
        <w:rPr>
          <w:b/>
          <w:sz w:val="24"/>
          <w:szCs w:val="24"/>
        </w:rPr>
        <w:t>The Proud Trust (support for young trans people)</w:t>
      </w:r>
      <w:r>
        <w:rPr>
          <w:sz w:val="24"/>
          <w:szCs w:val="24"/>
        </w:rPr>
        <w:t xml:space="preserve"> – </w:t>
      </w:r>
      <w:hyperlink r:id="rId8" w:history="1">
        <w:r w:rsidRPr="004E5549">
          <w:rPr>
            <w:rStyle w:val="Hyperlink"/>
            <w:sz w:val="24"/>
            <w:szCs w:val="24"/>
          </w:rPr>
          <w:t>www.theproudtrust.org</w:t>
        </w:r>
      </w:hyperlink>
      <w:r>
        <w:rPr>
          <w:sz w:val="24"/>
          <w:szCs w:val="24"/>
        </w:rPr>
        <w:t xml:space="preserve"> </w:t>
      </w:r>
    </w:p>
    <w:p w:rsidR="001436B2" w:rsidRDefault="001436B2" w:rsidP="00CB70FF">
      <w:pPr>
        <w:spacing w:after="0" w:line="240" w:lineRule="auto"/>
        <w:rPr>
          <w:b/>
          <w:sz w:val="24"/>
          <w:szCs w:val="24"/>
        </w:rPr>
      </w:pPr>
      <w:proofErr w:type="spellStart"/>
      <w:r>
        <w:rPr>
          <w:b/>
          <w:sz w:val="24"/>
          <w:szCs w:val="24"/>
        </w:rPr>
        <w:t>Galop</w:t>
      </w:r>
      <w:proofErr w:type="spellEnd"/>
      <w:r>
        <w:rPr>
          <w:b/>
          <w:sz w:val="24"/>
          <w:szCs w:val="24"/>
        </w:rPr>
        <w:t xml:space="preserve"> (London/National) </w:t>
      </w:r>
      <w:r w:rsidRPr="001436B2">
        <w:rPr>
          <w:sz w:val="24"/>
          <w:szCs w:val="24"/>
        </w:rPr>
        <w:t>– LGBT Domestic Abuse Helpline – 0800 999 5428</w:t>
      </w:r>
    </w:p>
    <w:p w:rsidR="001436B2" w:rsidRDefault="001436B2" w:rsidP="00CB70FF">
      <w:pPr>
        <w:spacing w:after="0" w:line="240" w:lineRule="auto"/>
        <w:rPr>
          <w:sz w:val="24"/>
          <w:szCs w:val="24"/>
        </w:rPr>
      </w:pPr>
      <w:r w:rsidRPr="001436B2">
        <w:rPr>
          <w:b/>
          <w:sz w:val="24"/>
          <w:szCs w:val="24"/>
        </w:rPr>
        <w:t>Stonewall (National)</w:t>
      </w:r>
      <w:r>
        <w:rPr>
          <w:sz w:val="24"/>
          <w:szCs w:val="24"/>
        </w:rPr>
        <w:t xml:space="preserve"> – </w:t>
      </w:r>
      <w:hyperlink r:id="rId9" w:history="1">
        <w:r w:rsidRPr="00171DCC">
          <w:rPr>
            <w:rStyle w:val="Hyperlink"/>
            <w:sz w:val="24"/>
            <w:szCs w:val="24"/>
          </w:rPr>
          <w:t>www.stonewall.co.uk</w:t>
        </w:r>
      </w:hyperlink>
      <w:r>
        <w:rPr>
          <w:sz w:val="24"/>
          <w:szCs w:val="24"/>
        </w:rPr>
        <w:t xml:space="preserve"> – General advice</w:t>
      </w:r>
    </w:p>
    <w:p w:rsidR="001436B2" w:rsidRDefault="001436B2" w:rsidP="00CB70FF">
      <w:pPr>
        <w:spacing w:after="0" w:line="240" w:lineRule="auto"/>
        <w:rPr>
          <w:sz w:val="24"/>
          <w:szCs w:val="24"/>
        </w:rPr>
      </w:pPr>
      <w:r w:rsidRPr="001436B2">
        <w:rPr>
          <w:b/>
          <w:sz w:val="24"/>
          <w:szCs w:val="24"/>
        </w:rPr>
        <w:t>Mermaids (National)</w:t>
      </w:r>
      <w:r>
        <w:rPr>
          <w:sz w:val="24"/>
          <w:szCs w:val="24"/>
        </w:rPr>
        <w:t xml:space="preserve"> – </w:t>
      </w:r>
      <w:hyperlink r:id="rId10" w:history="1">
        <w:r w:rsidRPr="00171DCC">
          <w:rPr>
            <w:rStyle w:val="Hyperlink"/>
            <w:sz w:val="24"/>
            <w:szCs w:val="24"/>
          </w:rPr>
          <w:t>www.mermaidsuk.org.uk</w:t>
        </w:r>
      </w:hyperlink>
      <w:r>
        <w:rPr>
          <w:sz w:val="24"/>
          <w:szCs w:val="24"/>
        </w:rPr>
        <w:t xml:space="preserve"> – Support for trans patients</w:t>
      </w:r>
      <w:r w:rsidR="003C0B26">
        <w:rPr>
          <w:sz w:val="24"/>
          <w:szCs w:val="24"/>
        </w:rPr>
        <w:t xml:space="preserve"> </w:t>
      </w:r>
      <w:proofErr w:type="spellStart"/>
      <w:r w:rsidR="003C0B26">
        <w:rPr>
          <w:sz w:val="24"/>
          <w:szCs w:val="24"/>
        </w:rPr>
        <w:t>inc.</w:t>
      </w:r>
      <w:proofErr w:type="spellEnd"/>
      <w:r w:rsidR="003C0B26">
        <w:rPr>
          <w:sz w:val="24"/>
          <w:szCs w:val="24"/>
        </w:rPr>
        <w:t xml:space="preserve"> families</w:t>
      </w:r>
    </w:p>
    <w:p w:rsidR="001436B2" w:rsidRPr="001436B2" w:rsidRDefault="001436B2" w:rsidP="00CB70FF">
      <w:pPr>
        <w:spacing w:after="0" w:line="240" w:lineRule="auto"/>
        <w:rPr>
          <w:sz w:val="24"/>
          <w:szCs w:val="24"/>
        </w:rPr>
      </w:pPr>
      <w:r w:rsidRPr="001436B2">
        <w:rPr>
          <w:b/>
          <w:sz w:val="24"/>
          <w:szCs w:val="24"/>
        </w:rPr>
        <w:lastRenderedPageBreak/>
        <w:t>Terrence Higgins Trust</w:t>
      </w:r>
      <w:r>
        <w:rPr>
          <w:sz w:val="24"/>
          <w:szCs w:val="24"/>
        </w:rPr>
        <w:t xml:space="preserve"> – </w:t>
      </w:r>
      <w:hyperlink r:id="rId11" w:history="1">
        <w:r w:rsidRPr="00171DCC">
          <w:rPr>
            <w:rStyle w:val="Hyperlink"/>
            <w:sz w:val="24"/>
            <w:szCs w:val="24"/>
          </w:rPr>
          <w:t>www.tht.org.uk</w:t>
        </w:r>
      </w:hyperlink>
      <w:r>
        <w:rPr>
          <w:sz w:val="24"/>
          <w:szCs w:val="24"/>
        </w:rPr>
        <w:t xml:space="preserve"> – Support and information regarding HIV</w:t>
      </w:r>
    </w:p>
    <w:sectPr w:rsidR="001436B2" w:rsidRPr="00143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1CEA"/>
    <w:multiLevelType w:val="hybridMultilevel"/>
    <w:tmpl w:val="04CA0584"/>
    <w:lvl w:ilvl="0" w:tplc="DAF0D554">
      <w:start w:val="1"/>
      <w:numFmt w:val="upperLetter"/>
      <w:lvlText w:val="%1."/>
      <w:lvlJc w:val="left"/>
      <w:pPr>
        <w:tabs>
          <w:tab w:val="num" w:pos="720"/>
        </w:tabs>
        <w:ind w:left="720" w:hanging="360"/>
      </w:pPr>
    </w:lvl>
    <w:lvl w:ilvl="1" w:tplc="753A98D8" w:tentative="1">
      <w:start w:val="1"/>
      <w:numFmt w:val="upperLetter"/>
      <w:lvlText w:val="%2."/>
      <w:lvlJc w:val="left"/>
      <w:pPr>
        <w:tabs>
          <w:tab w:val="num" w:pos="1440"/>
        </w:tabs>
        <w:ind w:left="1440" w:hanging="360"/>
      </w:pPr>
    </w:lvl>
    <w:lvl w:ilvl="2" w:tplc="4314E25E" w:tentative="1">
      <w:start w:val="1"/>
      <w:numFmt w:val="upperLetter"/>
      <w:lvlText w:val="%3."/>
      <w:lvlJc w:val="left"/>
      <w:pPr>
        <w:tabs>
          <w:tab w:val="num" w:pos="2160"/>
        </w:tabs>
        <w:ind w:left="2160" w:hanging="360"/>
      </w:pPr>
    </w:lvl>
    <w:lvl w:ilvl="3" w:tplc="CA606C70" w:tentative="1">
      <w:start w:val="1"/>
      <w:numFmt w:val="upperLetter"/>
      <w:lvlText w:val="%4."/>
      <w:lvlJc w:val="left"/>
      <w:pPr>
        <w:tabs>
          <w:tab w:val="num" w:pos="2880"/>
        </w:tabs>
        <w:ind w:left="2880" w:hanging="360"/>
      </w:pPr>
    </w:lvl>
    <w:lvl w:ilvl="4" w:tplc="70DAF276" w:tentative="1">
      <w:start w:val="1"/>
      <w:numFmt w:val="upperLetter"/>
      <w:lvlText w:val="%5."/>
      <w:lvlJc w:val="left"/>
      <w:pPr>
        <w:tabs>
          <w:tab w:val="num" w:pos="3600"/>
        </w:tabs>
        <w:ind w:left="3600" w:hanging="360"/>
      </w:pPr>
    </w:lvl>
    <w:lvl w:ilvl="5" w:tplc="4EA8F57A" w:tentative="1">
      <w:start w:val="1"/>
      <w:numFmt w:val="upperLetter"/>
      <w:lvlText w:val="%6."/>
      <w:lvlJc w:val="left"/>
      <w:pPr>
        <w:tabs>
          <w:tab w:val="num" w:pos="4320"/>
        </w:tabs>
        <w:ind w:left="4320" w:hanging="360"/>
      </w:pPr>
    </w:lvl>
    <w:lvl w:ilvl="6" w:tplc="EFA40FCC" w:tentative="1">
      <w:start w:val="1"/>
      <w:numFmt w:val="upperLetter"/>
      <w:lvlText w:val="%7."/>
      <w:lvlJc w:val="left"/>
      <w:pPr>
        <w:tabs>
          <w:tab w:val="num" w:pos="5040"/>
        </w:tabs>
        <w:ind w:left="5040" w:hanging="360"/>
      </w:pPr>
    </w:lvl>
    <w:lvl w:ilvl="7" w:tplc="5DE466B0" w:tentative="1">
      <w:start w:val="1"/>
      <w:numFmt w:val="upperLetter"/>
      <w:lvlText w:val="%8."/>
      <w:lvlJc w:val="left"/>
      <w:pPr>
        <w:tabs>
          <w:tab w:val="num" w:pos="5760"/>
        </w:tabs>
        <w:ind w:left="5760" w:hanging="360"/>
      </w:pPr>
    </w:lvl>
    <w:lvl w:ilvl="8" w:tplc="CE727EFA"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9F"/>
    <w:rsid w:val="001436B2"/>
    <w:rsid w:val="00301F42"/>
    <w:rsid w:val="003B17C2"/>
    <w:rsid w:val="003C0B26"/>
    <w:rsid w:val="003D039F"/>
    <w:rsid w:val="00585C4A"/>
    <w:rsid w:val="00786A2B"/>
    <w:rsid w:val="007B10F4"/>
    <w:rsid w:val="00903F2F"/>
    <w:rsid w:val="00B305AF"/>
    <w:rsid w:val="00BB7305"/>
    <w:rsid w:val="00C54533"/>
    <w:rsid w:val="00CB70FF"/>
    <w:rsid w:val="00CC040F"/>
    <w:rsid w:val="00D60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7C54"/>
  <w15:chartTrackingRefBased/>
  <w15:docId w15:val="{6CA77490-D0DA-4CC7-94B8-A92DF0DD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3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305"/>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436B2"/>
    <w:rPr>
      <w:rFonts w:ascii="Times New Roman" w:eastAsia="Times New Roman" w:hAnsi="Times New Roman" w:cs="Times New Roman"/>
      <w:b/>
      <w:bCs/>
      <w:kern w:val="36"/>
      <w:sz w:val="48"/>
      <w:szCs w:val="48"/>
      <w:lang w:eastAsia="en-GB"/>
    </w:rPr>
  </w:style>
  <w:style w:type="character" w:customStyle="1" w:styleId="fl-heading-text">
    <w:name w:val="fl-heading-text"/>
    <w:basedOn w:val="DefaultParagraphFont"/>
    <w:rsid w:val="001436B2"/>
  </w:style>
  <w:style w:type="character" w:styleId="Hyperlink">
    <w:name w:val="Hyperlink"/>
    <w:basedOn w:val="DefaultParagraphFont"/>
    <w:uiPriority w:val="99"/>
    <w:unhideWhenUsed/>
    <w:rsid w:val="001436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5973">
      <w:bodyDiv w:val="1"/>
      <w:marLeft w:val="0"/>
      <w:marRight w:val="0"/>
      <w:marTop w:val="0"/>
      <w:marBottom w:val="0"/>
      <w:divBdr>
        <w:top w:val="none" w:sz="0" w:space="0" w:color="auto"/>
        <w:left w:val="none" w:sz="0" w:space="0" w:color="auto"/>
        <w:bottom w:val="none" w:sz="0" w:space="0" w:color="auto"/>
        <w:right w:val="none" w:sz="0" w:space="0" w:color="auto"/>
      </w:divBdr>
    </w:div>
    <w:div w:id="502278288">
      <w:bodyDiv w:val="1"/>
      <w:marLeft w:val="0"/>
      <w:marRight w:val="0"/>
      <w:marTop w:val="0"/>
      <w:marBottom w:val="0"/>
      <w:divBdr>
        <w:top w:val="none" w:sz="0" w:space="0" w:color="auto"/>
        <w:left w:val="none" w:sz="0" w:space="0" w:color="auto"/>
        <w:bottom w:val="none" w:sz="0" w:space="0" w:color="auto"/>
        <w:right w:val="none" w:sz="0" w:space="0" w:color="auto"/>
      </w:divBdr>
    </w:div>
    <w:div w:id="835610327">
      <w:bodyDiv w:val="1"/>
      <w:marLeft w:val="0"/>
      <w:marRight w:val="0"/>
      <w:marTop w:val="0"/>
      <w:marBottom w:val="0"/>
      <w:divBdr>
        <w:top w:val="none" w:sz="0" w:space="0" w:color="auto"/>
        <w:left w:val="none" w:sz="0" w:space="0" w:color="auto"/>
        <w:bottom w:val="none" w:sz="0" w:space="0" w:color="auto"/>
        <w:right w:val="none" w:sz="0" w:space="0" w:color="auto"/>
      </w:divBdr>
      <w:divsChild>
        <w:div w:id="1806849121">
          <w:marLeft w:val="1166"/>
          <w:marRight w:val="0"/>
          <w:marTop w:val="0"/>
          <w:marBottom w:val="0"/>
          <w:divBdr>
            <w:top w:val="none" w:sz="0" w:space="0" w:color="auto"/>
            <w:left w:val="none" w:sz="0" w:space="0" w:color="auto"/>
            <w:bottom w:val="none" w:sz="0" w:space="0" w:color="auto"/>
            <w:right w:val="none" w:sz="0" w:space="0" w:color="auto"/>
          </w:divBdr>
        </w:div>
        <w:div w:id="1442721058">
          <w:marLeft w:val="1166"/>
          <w:marRight w:val="0"/>
          <w:marTop w:val="0"/>
          <w:marBottom w:val="0"/>
          <w:divBdr>
            <w:top w:val="none" w:sz="0" w:space="0" w:color="auto"/>
            <w:left w:val="none" w:sz="0" w:space="0" w:color="auto"/>
            <w:bottom w:val="none" w:sz="0" w:space="0" w:color="auto"/>
            <w:right w:val="none" w:sz="0" w:space="0" w:color="auto"/>
          </w:divBdr>
        </w:div>
        <w:div w:id="1439907208">
          <w:marLeft w:val="1166"/>
          <w:marRight w:val="0"/>
          <w:marTop w:val="0"/>
          <w:marBottom w:val="0"/>
          <w:divBdr>
            <w:top w:val="none" w:sz="0" w:space="0" w:color="auto"/>
            <w:left w:val="none" w:sz="0" w:space="0" w:color="auto"/>
            <w:bottom w:val="none" w:sz="0" w:space="0" w:color="auto"/>
            <w:right w:val="none" w:sz="0" w:space="0" w:color="auto"/>
          </w:divBdr>
        </w:div>
      </w:divsChild>
    </w:div>
    <w:div w:id="1021974033">
      <w:bodyDiv w:val="1"/>
      <w:marLeft w:val="0"/>
      <w:marRight w:val="0"/>
      <w:marTop w:val="0"/>
      <w:marBottom w:val="0"/>
      <w:divBdr>
        <w:top w:val="none" w:sz="0" w:space="0" w:color="auto"/>
        <w:left w:val="none" w:sz="0" w:space="0" w:color="auto"/>
        <w:bottom w:val="none" w:sz="0" w:space="0" w:color="auto"/>
        <w:right w:val="none" w:sz="0" w:space="0" w:color="auto"/>
      </w:divBdr>
    </w:div>
    <w:div w:id="163283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roudtru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clare.marshall\Documents\lgbt.found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se.england.nhs.uk/services/registrations/" TargetMode="External"/><Relationship Id="rId11" Type="http://schemas.openxmlformats.org/officeDocument/2006/relationships/hyperlink" Target="http://www.tht.org.uk" TargetMode="External"/><Relationship Id="rId5" Type="http://schemas.openxmlformats.org/officeDocument/2006/relationships/image" Target="media/image1.JPG"/><Relationship Id="rId10" Type="http://schemas.openxmlformats.org/officeDocument/2006/relationships/hyperlink" Target="http://www.mermaidsuk.org.uk" TargetMode="External"/><Relationship Id="rId4" Type="http://schemas.openxmlformats.org/officeDocument/2006/relationships/webSettings" Target="webSettings.xml"/><Relationship Id="rId9" Type="http://schemas.openxmlformats.org/officeDocument/2006/relationships/hyperlink" Target="http://www.stonew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Hilary</dc:creator>
  <cp:keywords/>
  <dc:description/>
  <cp:lastModifiedBy>Clare Marshall</cp:lastModifiedBy>
  <cp:revision>2</cp:revision>
  <dcterms:created xsi:type="dcterms:W3CDTF">2019-02-20T10:58:00Z</dcterms:created>
  <dcterms:modified xsi:type="dcterms:W3CDTF">2019-02-20T10:58:00Z</dcterms:modified>
</cp:coreProperties>
</file>