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4DBC0" w14:textId="08974864" w:rsidR="004A3710" w:rsidRDefault="008A7EB8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color w:val="0070C0"/>
          <w:sz w:val="40"/>
          <w:szCs w:val="40"/>
        </w:rPr>
        <w:drawing>
          <wp:inline distT="0" distB="0" distL="0" distR="0" wp14:anchorId="6417F03B" wp14:editId="2E72E3BB">
            <wp:extent cx="3609975" cy="2228850"/>
            <wp:effectExtent l="0" t="0" r="9525" b="0"/>
            <wp:docPr id="1" name="Picture 1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CAFF8B5" w14:textId="122F472B" w:rsidR="00133DA8" w:rsidRDefault="00133DA8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</w:p>
    <w:p w14:paraId="45E5139E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lastRenderedPageBreak/>
        <w:t>This Practice complies with the General Data Protection Regulation 2016 and the Data Protection Act 2018.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WE use your Information to provide you with Health Care services, and share you information with other organisations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The practices does this under Article 6(1) and Article 9(2)(h) of the 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Default="00133DA8">
      <w:pPr>
        <w:rPr>
          <w:color w:val="FFFFFF"/>
        </w:rPr>
      </w:pPr>
      <w:r>
        <w:rPr>
          <w:color w:val="FFFFFF"/>
        </w:rPr>
        <w:lastRenderedPageBreak/>
        <w:t>Practice Details here:-</w:t>
      </w:r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8"/>
    <w:rsid w:val="00133DA8"/>
    <w:rsid w:val="004A3710"/>
    <w:rsid w:val="008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256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Arbenz Victoria (05Y) Walsall CCG</dc:creator>
  <cp:lastModifiedBy>Arbenz Victoria (05Y) Walsall CCG</cp:lastModifiedBy>
  <cp:revision>2</cp:revision>
  <dcterms:created xsi:type="dcterms:W3CDTF">2018-06-04T09:04:00Z</dcterms:created>
  <dcterms:modified xsi:type="dcterms:W3CDTF">2018-06-04T09:04:00Z</dcterms:modified>
</cp:coreProperties>
</file>