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11E3A58" w:rsidR="00754729" w:rsidRPr="005E1E0E" w:rsidRDefault="0054019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PRESTBURY MEDICAL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746ACB8F" w14:textId="77777777" w:rsidR="0054019F" w:rsidRDefault="00DB02BD" w:rsidP="0054019F">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7DE6261" w:rsidR="00E37206" w:rsidRPr="0054019F" w:rsidRDefault="0054019F" w:rsidP="0054019F">
      <w:pPr>
        <w:widowControl w:val="0"/>
        <w:rPr>
          <w:rFonts w:ascii="Arial" w:eastAsia="Times New Roman" w:hAnsi="Arial" w:cs="Arial"/>
          <w:b/>
          <w:bCs/>
          <w:sz w:val="20"/>
          <w:szCs w:val="20"/>
        </w:rPr>
      </w:pPr>
      <w:r>
        <w:rPr>
          <w:rFonts w:ascii="Arial" w:hAnsi="Arial" w:cs="Arial"/>
          <w:sz w:val="20"/>
          <w:szCs w:val="20"/>
        </w:rPr>
        <w:t xml:space="preserve">Prestbury Medical Practice </w:t>
      </w:r>
      <w:bookmarkStart w:id="1" w:name="_GoBack"/>
      <w:bookmarkEnd w:id="1"/>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w:t>
      </w:r>
      <w:proofErr w:type="gramStart"/>
      <w:r w:rsidRPr="00A24734">
        <w:rPr>
          <w:rFonts w:cs="Arial"/>
        </w:rPr>
        <w:t>on going</w:t>
      </w:r>
      <w:proofErr w:type="gramEnd"/>
      <w:r w:rsidRPr="00A24734">
        <w:rPr>
          <w:rFonts w:cs="Arial"/>
        </w:rPr>
        <w:t xml:space="preserve">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2" w:name="_Toc31368619"/>
      <w:r w:rsidRPr="00A24734">
        <w:rPr>
          <w:color w:val="auto"/>
        </w:rPr>
        <w:t>Legal justification for collecting and using your information</w:t>
      </w:r>
      <w:bookmarkEnd w:id="2"/>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3" w:name="_Toc31368620"/>
      <w:r w:rsidRPr="00A24734">
        <w:rPr>
          <w:color w:val="auto"/>
        </w:rPr>
        <w:t>Special categories</w:t>
      </w:r>
      <w:bookmarkEnd w:id="3"/>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4" w:name="_Toc31368622"/>
      <w:r w:rsidRPr="00E40334">
        <w:rPr>
          <w:rFonts w:ascii="Arial" w:hAnsi="Arial" w:cs="Arial"/>
          <w:b/>
          <w:bCs/>
          <w:color w:val="auto"/>
          <w:sz w:val="20"/>
          <w:szCs w:val="20"/>
        </w:rPr>
        <w:t>Anonymised information</w:t>
      </w:r>
      <w:bookmarkEnd w:id="4"/>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Records, unless a patient </w:t>
      </w:r>
      <w:proofErr w:type="gramStart"/>
      <w:r w:rsidRPr="00645F99">
        <w:rPr>
          <w:rFonts w:asciiTheme="minorHAnsi" w:hAnsiTheme="minorHAnsi" w:cstheme="minorHAnsi"/>
          <w:color w:val="000000" w:themeColor="text1"/>
          <w:sz w:val="22"/>
          <w:szCs w:val="22"/>
        </w:rPr>
        <w:t>objects</w:t>
      </w:r>
      <w:proofErr w:type="gramEnd"/>
      <w:r w:rsidRPr="00645F99">
        <w:rPr>
          <w:rFonts w:asciiTheme="minorHAnsi" w:hAnsiTheme="minorHAnsi" w:cstheme="minorHAnsi"/>
          <w:color w:val="000000" w:themeColor="text1"/>
          <w:sz w:val="22"/>
          <w:szCs w:val="22"/>
        </w:rPr>
        <w:t xml:space="preserve">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54019F"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54019F"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54019F"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A21BF4">
        <w:rPr>
          <w:rFonts w:ascii="Arial" w:hAnsi="Arial" w:cs="Arial"/>
          <w:sz w:val="20"/>
          <w:szCs w:val="20"/>
          <w:shd w:val="clear" w:color="auto" w:fill="FFFFFF"/>
        </w:rPr>
        <w:t>Of</w:t>
      </w:r>
      <w:proofErr w:type="gramEnd"/>
      <w:r w:rsidR="009D5D3F" w:rsidRPr="00A21BF4">
        <w:rPr>
          <w:rFonts w:ascii="Arial" w:hAnsi="Arial" w:cs="Arial"/>
          <w:sz w:val="20"/>
          <w:szCs w:val="20"/>
          <w:shd w:val="clear" w:color="auto" w:fill="FFFFFF"/>
        </w:rPr>
        <w:t xml:space="preserve">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t>Third parties mentioned on your medical record</w:t>
      </w:r>
      <w:bookmarkEnd w:id="7"/>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54019F"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019F"/>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D4C-9E8A-4583-8848-67F1DC36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11720</Words>
  <Characters>66806</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McAndrew Elizabeth</cp:lastModifiedBy>
  <cp:revision>2</cp:revision>
  <cp:lastPrinted>2019-06-13T09:46:00Z</cp:lastPrinted>
  <dcterms:created xsi:type="dcterms:W3CDTF">2023-09-20T10:05:00Z</dcterms:created>
  <dcterms:modified xsi:type="dcterms:W3CDTF">2023-09-20T10:05:00Z</dcterms:modified>
</cp:coreProperties>
</file>