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73B8" w14:textId="1087E414" w:rsidR="004978E1" w:rsidRDefault="00A3220B" w:rsidP="004978E1">
      <w:pPr>
        <w:pStyle w:val="Heading1"/>
        <w:rPr>
          <w:rFonts w:ascii="Calibri" w:eastAsia="Calibri" w:hAnsi="Calibri" w:cs="Times New Roman"/>
          <w:bCs w:val="0"/>
          <w:sz w:val="40"/>
          <w:szCs w:val="22"/>
        </w:rPr>
      </w:pPr>
      <w:r>
        <w:rPr>
          <w:rFonts w:ascii="Calibri" w:eastAsia="Calibri" w:hAnsi="Calibri" w:cs="Times New Roman"/>
          <w:bCs w:val="0"/>
          <w:noProof/>
          <w:sz w:val="40"/>
          <w:szCs w:val="22"/>
        </w:rPr>
        <w:drawing>
          <wp:inline distT="0" distB="0" distL="0" distR="0" wp14:anchorId="08C5ECDE" wp14:editId="3951C1E3">
            <wp:extent cx="3686175" cy="628650"/>
            <wp:effectExtent l="0" t="0" r="9525" b="0"/>
            <wp:docPr id="54872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628650"/>
                    </a:xfrm>
                    <a:prstGeom prst="rect">
                      <a:avLst/>
                    </a:prstGeom>
                    <a:noFill/>
                    <a:ln>
                      <a:noFill/>
                    </a:ln>
                  </pic:spPr>
                </pic:pic>
              </a:graphicData>
            </a:graphic>
          </wp:inline>
        </w:drawing>
      </w:r>
    </w:p>
    <w:p w14:paraId="674073B9" w14:textId="77777777" w:rsidR="007F48CE" w:rsidRPr="00A3220B" w:rsidRDefault="00457D9C" w:rsidP="004978E1">
      <w:pPr>
        <w:pStyle w:val="Heading1"/>
        <w:rPr>
          <w:rFonts w:asciiTheme="minorHAnsi" w:eastAsia="Calibri" w:hAnsiTheme="minorHAnsi" w:cstheme="minorHAnsi"/>
          <w:bCs w:val="0"/>
          <w:sz w:val="28"/>
          <w:szCs w:val="28"/>
        </w:rPr>
      </w:pPr>
      <w:r w:rsidRPr="00A3220B">
        <w:rPr>
          <w:rFonts w:asciiTheme="minorHAnsi" w:eastAsia="Calibri" w:hAnsiTheme="minorHAnsi" w:cstheme="minorHAnsi"/>
          <w:bCs w:val="0"/>
          <w:sz w:val="28"/>
          <w:szCs w:val="28"/>
        </w:rPr>
        <w:t>Duty of Candour</w:t>
      </w:r>
    </w:p>
    <w:p w14:paraId="674073BA" w14:textId="77777777" w:rsidR="00457D9C" w:rsidRPr="003F67AA" w:rsidRDefault="00D402D3" w:rsidP="00D402D3">
      <w:pPr>
        <w:pStyle w:val="Heading1"/>
        <w:jc w:val="left"/>
        <w:rPr>
          <w:rFonts w:asciiTheme="minorHAnsi" w:eastAsia="Calibri" w:hAnsiTheme="minorHAnsi" w:cstheme="minorHAnsi"/>
          <w:bCs w:val="0"/>
          <w:lang w:eastAsia="en-GB"/>
        </w:rPr>
      </w:pPr>
      <w:r w:rsidRPr="003F67AA">
        <w:rPr>
          <w:rFonts w:asciiTheme="minorHAnsi" w:eastAsia="Calibri" w:hAnsiTheme="minorHAnsi" w:cstheme="minorHAnsi"/>
          <w:bCs w:val="0"/>
          <w:lang w:eastAsia="en-GB"/>
        </w:rPr>
        <w:t xml:space="preserve">Statutory duty of candour </w:t>
      </w:r>
    </w:p>
    <w:p w14:paraId="674073BB" w14:textId="2B0F94EE" w:rsidR="00984485" w:rsidRPr="003F67AA" w:rsidRDefault="00984485" w:rsidP="00984485">
      <w:pPr>
        <w:pStyle w:val="Default"/>
        <w:rPr>
          <w:rFonts w:asciiTheme="minorHAnsi" w:hAnsiTheme="minorHAnsi" w:cstheme="minorHAnsi"/>
        </w:rPr>
      </w:pPr>
      <w:r w:rsidRPr="003F67AA">
        <w:rPr>
          <w:rFonts w:asciiTheme="minorHAnsi" w:hAnsiTheme="minorHAnsi" w:cstheme="minorHAnsi"/>
          <w:b/>
          <w:color w:val="auto"/>
        </w:rPr>
        <w:t xml:space="preserve">Extract from the NHS Constitution for England 2009: </w:t>
      </w:r>
      <w:r w:rsidRPr="003F67AA">
        <w:rPr>
          <w:rFonts w:asciiTheme="minorHAnsi" w:hAnsiTheme="minorHAnsi" w:cstheme="minorHAnsi"/>
        </w:rPr>
        <w:t>“…when mistakes happen to acknowledge them, apologise, explain what went wrong and put things right quickly and effectively”</w:t>
      </w:r>
      <w:r w:rsidR="005C6425">
        <w:rPr>
          <w:rFonts w:asciiTheme="minorHAnsi" w:hAnsiTheme="minorHAnsi" w:cstheme="minorHAnsi"/>
        </w:rPr>
        <w:t>.</w:t>
      </w:r>
    </w:p>
    <w:p w14:paraId="674073BC" w14:textId="77777777" w:rsidR="00984485" w:rsidRPr="003F67AA" w:rsidRDefault="00984485" w:rsidP="00984485">
      <w:pPr>
        <w:pStyle w:val="Default"/>
        <w:rPr>
          <w:rFonts w:asciiTheme="minorHAnsi" w:hAnsiTheme="minorHAnsi" w:cstheme="minorHAnsi"/>
          <w:b/>
          <w:i/>
        </w:rPr>
      </w:pPr>
    </w:p>
    <w:p w14:paraId="674073BD" w14:textId="77777777" w:rsidR="00984485" w:rsidRPr="003F67AA" w:rsidRDefault="00984485" w:rsidP="00984485">
      <w:pPr>
        <w:pStyle w:val="Default"/>
        <w:rPr>
          <w:rFonts w:asciiTheme="minorHAnsi" w:hAnsiTheme="minorHAnsi" w:cstheme="minorHAnsi"/>
          <w:i/>
        </w:rPr>
      </w:pPr>
      <w:r w:rsidRPr="003F67AA">
        <w:rPr>
          <w:rFonts w:asciiTheme="minorHAnsi" w:hAnsiTheme="minorHAnsi" w:cstheme="minorHAnsi"/>
          <w:b/>
          <w:color w:val="auto"/>
        </w:rPr>
        <w:t xml:space="preserve">Extract from CQC Regulation </w:t>
      </w:r>
      <w:proofErr w:type="gramStart"/>
      <w:r w:rsidRPr="003F67AA">
        <w:rPr>
          <w:rFonts w:asciiTheme="minorHAnsi" w:hAnsiTheme="minorHAnsi" w:cstheme="minorHAnsi"/>
          <w:b/>
          <w:color w:val="auto"/>
        </w:rPr>
        <w:t>20 :</w:t>
      </w:r>
      <w:proofErr w:type="gramEnd"/>
      <w:r w:rsidRPr="003F67AA">
        <w:rPr>
          <w:rFonts w:asciiTheme="minorHAnsi" w:hAnsiTheme="minorHAnsi" w:cstheme="minorHAnsi"/>
          <w:b/>
          <w:color w:val="auto"/>
        </w:rPr>
        <w:t xml:space="preserve"> Duty of Candour: </w:t>
      </w:r>
      <w:r w:rsidRPr="003F67AA">
        <w:rPr>
          <w:rFonts w:asciiTheme="minorHAnsi" w:hAnsiTheme="minorHAnsi" w:cstheme="minorHAnsi"/>
          <w:i/>
        </w:rPr>
        <w:t>“The aim of this regulation is to ensure that health service bodies</w:t>
      </w:r>
      <w:r w:rsidRPr="003F67AA">
        <w:rPr>
          <w:rFonts w:asciiTheme="minorHAnsi" w:hAnsiTheme="minorHAnsi" w:cstheme="minorHAnsi"/>
          <w:bCs/>
          <w:i/>
        </w:rPr>
        <w:t xml:space="preserve"> </w:t>
      </w:r>
      <w:r w:rsidRPr="003F67AA">
        <w:rPr>
          <w:rFonts w:asciiTheme="minorHAnsi" w:hAnsiTheme="minorHAnsi" w:cstheme="minorHAnsi"/>
          <w:i/>
        </w:rPr>
        <w:t>are open and transparent with the “relevant person” (as defined in the regulation) when certain incidents occur in relation to the care and treatment provided to people who use services in the carrying on of a regulated activity.”</w:t>
      </w:r>
    </w:p>
    <w:p w14:paraId="674073BE" w14:textId="77777777" w:rsidR="00984485" w:rsidRPr="003F67AA" w:rsidRDefault="00984485" w:rsidP="00984485">
      <w:pPr>
        <w:pStyle w:val="Default"/>
        <w:rPr>
          <w:rFonts w:asciiTheme="minorHAnsi" w:hAnsiTheme="minorHAnsi" w:cstheme="minorHAnsi"/>
        </w:rPr>
      </w:pPr>
    </w:p>
    <w:p w14:paraId="674073BF"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The Duty of Candour has been introduced as a direct result of the Francis Inquiry Report into the Mid Staffordshire NHS Foundation Trust, which recommended that a statutory “duty of candour” be imposed on all healthcare providers, which defined “Openness”, “Transparency” and “Candour</w:t>
      </w:r>
      <w:proofErr w:type="gramStart"/>
      <w:r w:rsidRPr="003F67AA">
        <w:rPr>
          <w:rFonts w:asciiTheme="minorHAnsi" w:hAnsiTheme="minorHAnsi" w:cstheme="minorHAnsi"/>
        </w:rPr>
        <w:t>”;</w:t>
      </w:r>
      <w:proofErr w:type="gramEnd"/>
    </w:p>
    <w:p w14:paraId="674073C0" w14:textId="77777777" w:rsidR="00984485" w:rsidRPr="003F67AA" w:rsidRDefault="00984485" w:rsidP="00984485">
      <w:pPr>
        <w:autoSpaceDE w:val="0"/>
        <w:autoSpaceDN w:val="0"/>
        <w:adjustRightInd w:val="0"/>
        <w:rPr>
          <w:rFonts w:asciiTheme="minorHAnsi" w:hAnsiTheme="minorHAnsi" w:cstheme="minorHAnsi"/>
          <w:color w:val="000000"/>
        </w:rPr>
      </w:pPr>
    </w:p>
    <w:p w14:paraId="674073C1" w14:textId="77777777" w:rsidR="00984485" w:rsidRPr="003F67AA" w:rsidRDefault="00984485" w:rsidP="00984485">
      <w:pPr>
        <w:autoSpaceDE w:val="0"/>
        <w:autoSpaceDN w:val="0"/>
        <w:adjustRightInd w:val="0"/>
        <w:spacing w:after="67"/>
        <w:rPr>
          <w:rFonts w:asciiTheme="minorHAnsi" w:hAnsiTheme="minorHAnsi" w:cstheme="minorHAnsi"/>
          <w:color w:val="000000"/>
        </w:rPr>
      </w:pPr>
      <w:r w:rsidRPr="003F67AA">
        <w:rPr>
          <w:rFonts w:asciiTheme="minorHAnsi" w:hAnsiTheme="minorHAnsi" w:cstheme="minorHAnsi"/>
          <w:b/>
          <w:bCs/>
          <w:color w:val="000000"/>
        </w:rPr>
        <w:t>Openness</w:t>
      </w:r>
      <w:r w:rsidRPr="003F67AA">
        <w:rPr>
          <w:rFonts w:asciiTheme="minorHAnsi" w:hAnsiTheme="minorHAnsi" w:cstheme="minorHAnsi"/>
          <w:bCs/>
          <w:color w:val="000000"/>
        </w:rPr>
        <w:t xml:space="preserve"> </w:t>
      </w:r>
      <w:r w:rsidRPr="003F67AA">
        <w:rPr>
          <w:rFonts w:asciiTheme="minorHAnsi" w:hAnsiTheme="minorHAnsi" w:cstheme="minorHAnsi"/>
          <w:color w:val="000000"/>
        </w:rPr>
        <w:t xml:space="preserve">– enabling concerns and complaints to be raised freely without fear and questions asked to be answered. </w:t>
      </w:r>
    </w:p>
    <w:p w14:paraId="674073C2" w14:textId="77777777" w:rsidR="00984485" w:rsidRPr="003F67AA" w:rsidRDefault="00984485" w:rsidP="00984485">
      <w:pPr>
        <w:autoSpaceDE w:val="0"/>
        <w:autoSpaceDN w:val="0"/>
        <w:adjustRightInd w:val="0"/>
        <w:spacing w:after="67"/>
        <w:rPr>
          <w:rFonts w:asciiTheme="minorHAnsi" w:hAnsiTheme="minorHAnsi" w:cstheme="minorHAnsi"/>
          <w:color w:val="000000"/>
        </w:rPr>
      </w:pPr>
    </w:p>
    <w:p w14:paraId="674073C3" w14:textId="77777777" w:rsidR="00984485" w:rsidRPr="003F67AA" w:rsidRDefault="00984485" w:rsidP="00984485">
      <w:pPr>
        <w:autoSpaceDE w:val="0"/>
        <w:autoSpaceDN w:val="0"/>
        <w:adjustRightInd w:val="0"/>
        <w:spacing w:after="67"/>
        <w:rPr>
          <w:rFonts w:asciiTheme="minorHAnsi" w:hAnsiTheme="minorHAnsi" w:cstheme="minorHAnsi"/>
          <w:color w:val="000000"/>
        </w:rPr>
      </w:pPr>
      <w:r w:rsidRPr="003F67AA">
        <w:rPr>
          <w:rFonts w:asciiTheme="minorHAnsi" w:hAnsiTheme="minorHAnsi" w:cstheme="minorHAnsi"/>
          <w:b/>
          <w:bCs/>
          <w:color w:val="000000"/>
        </w:rPr>
        <w:t>Transparency</w:t>
      </w:r>
      <w:r w:rsidRPr="003F67AA">
        <w:rPr>
          <w:rFonts w:asciiTheme="minorHAnsi" w:hAnsiTheme="minorHAnsi" w:cstheme="minorHAnsi"/>
          <w:bCs/>
          <w:color w:val="000000"/>
        </w:rPr>
        <w:t xml:space="preserve"> </w:t>
      </w:r>
      <w:r w:rsidRPr="003F67AA">
        <w:rPr>
          <w:rFonts w:asciiTheme="minorHAnsi" w:hAnsiTheme="minorHAnsi" w:cstheme="minorHAnsi"/>
          <w:color w:val="000000"/>
        </w:rPr>
        <w:t xml:space="preserve">– allowing information about the truth about performance and outcomes to be shared with staff, patients, the public and regulators. </w:t>
      </w:r>
    </w:p>
    <w:p w14:paraId="674073C4" w14:textId="77777777" w:rsidR="00984485" w:rsidRPr="003F67AA" w:rsidRDefault="00984485" w:rsidP="00984485">
      <w:pPr>
        <w:autoSpaceDE w:val="0"/>
        <w:autoSpaceDN w:val="0"/>
        <w:adjustRightInd w:val="0"/>
        <w:rPr>
          <w:rFonts w:asciiTheme="minorHAnsi" w:hAnsiTheme="minorHAnsi" w:cstheme="minorHAnsi"/>
          <w:bCs/>
          <w:color w:val="000000"/>
        </w:rPr>
      </w:pPr>
    </w:p>
    <w:p w14:paraId="674073C5"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b/>
          <w:bCs/>
          <w:color w:val="000000"/>
        </w:rPr>
        <w:t>Candour</w:t>
      </w:r>
      <w:r w:rsidRPr="003F67AA">
        <w:rPr>
          <w:rFonts w:asciiTheme="minorHAnsi" w:hAnsiTheme="minorHAnsi" w:cstheme="minorHAnsi"/>
          <w:bCs/>
          <w:color w:val="000000"/>
        </w:rPr>
        <w:t xml:space="preserve"> </w:t>
      </w:r>
      <w:r w:rsidRPr="003F67AA">
        <w:rPr>
          <w:rFonts w:asciiTheme="minorHAnsi" w:hAnsiTheme="minorHAnsi" w:cstheme="minorHAnsi"/>
          <w:color w:val="000000"/>
        </w:rPr>
        <w:t xml:space="preserve">– any patient harmed by the provision of a healthcare service is informed of the fact and an appropriate remedy offered, regardless of whether a complaint has been made or a question asked about it. </w:t>
      </w:r>
    </w:p>
    <w:p w14:paraId="674073C6" w14:textId="77777777" w:rsidR="00984485" w:rsidRPr="003F67AA" w:rsidRDefault="00984485" w:rsidP="00984485">
      <w:pPr>
        <w:pStyle w:val="Default"/>
        <w:rPr>
          <w:rFonts w:asciiTheme="minorHAnsi" w:hAnsiTheme="minorHAnsi" w:cstheme="minorHAnsi"/>
        </w:rPr>
      </w:pPr>
    </w:p>
    <w:p w14:paraId="674073C7" w14:textId="368F8970"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The intention is that there is a culture of openness and truthfulness to improving the safety of patients, </w:t>
      </w:r>
      <w:r w:rsidR="003F67AA" w:rsidRPr="003F67AA">
        <w:rPr>
          <w:rFonts w:asciiTheme="minorHAnsi" w:hAnsiTheme="minorHAnsi" w:cstheme="minorHAnsi"/>
        </w:rPr>
        <w:t>staff,</w:t>
      </w:r>
      <w:r w:rsidRPr="003F67AA">
        <w:rPr>
          <w:rFonts w:asciiTheme="minorHAnsi" w:hAnsiTheme="minorHAnsi" w:cstheme="minorHAnsi"/>
        </w:rPr>
        <w:t xml:space="preserve"> and visitors to the Practice, as well as raising the quality of healthcare systems. If patients or employees have suffered harm </w:t>
      </w:r>
      <w:proofErr w:type="gramStart"/>
      <w:r w:rsidRPr="003F67AA">
        <w:rPr>
          <w:rFonts w:asciiTheme="minorHAnsi" w:hAnsiTheme="minorHAnsi" w:cstheme="minorHAnsi"/>
        </w:rPr>
        <w:t>as a result of</w:t>
      </w:r>
      <w:proofErr w:type="gramEnd"/>
      <w:r w:rsidRPr="003F67AA">
        <w:rPr>
          <w:rFonts w:asciiTheme="minorHAnsi" w:hAnsiTheme="minorHAnsi" w:cstheme="minorHAnsi"/>
        </w:rPr>
        <w:t xml:space="preserve"> using their services, a Practice should be able to confidently investigate, assess and if </w:t>
      </w:r>
      <w:r w:rsidR="003F67AA" w:rsidRPr="003F67AA">
        <w:rPr>
          <w:rFonts w:asciiTheme="minorHAnsi" w:hAnsiTheme="minorHAnsi" w:cstheme="minorHAnsi"/>
        </w:rPr>
        <w:t>necessary,</w:t>
      </w:r>
      <w:r w:rsidRPr="003F67AA">
        <w:rPr>
          <w:rFonts w:asciiTheme="minorHAnsi" w:hAnsiTheme="minorHAnsi" w:cstheme="minorHAnsi"/>
        </w:rPr>
        <w:t xml:space="preserve"> apologise for and explain what has happened. </w:t>
      </w:r>
    </w:p>
    <w:p w14:paraId="674073C8" w14:textId="77777777" w:rsidR="00984485" w:rsidRPr="003F67AA" w:rsidRDefault="00984485" w:rsidP="00984485">
      <w:pPr>
        <w:pStyle w:val="Default"/>
        <w:rPr>
          <w:rFonts w:asciiTheme="minorHAnsi" w:hAnsiTheme="minorHAnsi" w:cstheme="minorHAnsi"/>
        </w:rPr>
      </w:pPr>
    </w:p>
    <w:p w14:paraId="674073C9" w14:textId="420EC1DA"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It is also intended to improve the levels of care, responsibility and communication between healthcare organisations and patients and/or their </w:t>
      </w:r>
      <w:proofErr w:type="spellStart"/>
      <w:r w:rsidRPr="003F67AA">
        <w:rPr>
          <w:rFonts w:asciiTheme="minorHAnsi" w:hAnsiTheme="minorHAnsi" w:cstheme="minorHAnsi"/>
        </w:rPr>
        <w:t>carers</w:t>
      </w:r>
      <w:proofErr w:type="spellEnd"/>
      <w:r w:rsidRPr="003F67AA">
        <w:rPr>
          <w:rFonts w:asciiTheme="minorHAnsi" w:hAnsiTheme="minorHAnsi" w:cstheme="minorHAnsi"/>
        </w:rPr>
        <w:t xml:space="preserve">, staff and visitors and makes sure that openness, </w:t>
      </w:r>
      <w:r w:rsidR="003F67AA" w:rsidRPr="003F67AA">
        <w:rPr>
          <w:rFonts w:asciiTheme="minorHAnsi" w:hAnsiTheme="minorHAnsi" w:cstheme="minorHAnsi"/>
        </w:rPr>
        <w:t>honesty,</w:t>
      </w:r>
      <w:r w:rsidRPr="003F67AA">
        <w:rPr>
          <w:rFonts w:asciiTheme="minorHAnsi" w:hAnsiTheme="minorHAnsi" w:cstheme="minorHAnsi"/>
        </w:rPr>
        <w:t xml:space="preserve"> and timeliness underpins responses to such incidents.</w:t>
      </w:r>
    </w:p>
    <w:p w14:paraId="674073CA" w14:textId="77777777" w:rsidR="00984485" w:rsidRPr="003F67AA" w:rsidRDefault="00984485" w:rsidP="00984485">
      <w:pPr>
        <w:pStyle w:val="Default"/>
        <w:rPr>
          <w:rFonts w:asciiTheme="minorHAnsi" w:hAnsiTheme="minorHAnsi" w:cstheme="minorHAnsi"/>
        </w:rPr>
      </w:pPr>
    </w:p>
    <w:p w14:paraId="674073CB" w14:textId="7777777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Being Open</w:t>
      </w:r>
    </w:p>
    <w:p w14:paraId="674073CC" w14:textId="77777777" w:rsidR="00984485" w:rsidRPr="003F67AA" w:rsidRDefault="00984485" w:rsidP="00984485">
      <w:pPr>
        <w:pStyle w:val="Default"/>
        <w:rPr>
          <w:rFonts w:asciiTheme="minorHAnsi" w:hAnsiTheme="minorHAnsi" w:cstheme="minorHAnsi"/>
        </w:rPr>
      </w:pPr>
    </w:p>
    <w:p w14:paraId="674073CD" w14:textId="0DDCA2AA"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 culture of “being open” should be fundamental in a Practice’s relationships with (and between) patients, the public, Practice </w:t>
      </w:r>
      <w:r w:rsidR="003F67AA" w:rsidRPr="003F67AA">
        <w:rPr>
          <w:rFonts w:asciiTheme="minorHAnsi" w:hAnsiTheme="minorHAnsi" w:cstheme="minorHAnsi"/>
        </w:rPr>
        <w:t>Staff,</w:t>
      </w:r>
      <w:r w:rsidRPr="003F67AA">
        <w:rPr>
          <w:rFonts w:asciiTheme="minorHAnsi" w:hAnsiTheme="minorHAnsi" w:cstheme="minorHAnsi"/>
        </w:rPr>
        <w:t xml:space="preserve"> and other healthcare organisations.</w:t>
      </w:r>
    </w:p>
    <w:p w14:paraId="674073CE" w14:textId="77777777" w:rsidR="00984485" w:rsidRPr="003F67AA" w:rsidRDefault="00984485" w:rsidP="00984485">
      <w:pPr>
        <w:pStyle w:val="Default"/>
        <w:rPr>
          <w:rFonts w:asciiTheme="minorHAnsi" w:hAnsiTheme="minorHAnsi" w:cstheme="minorHAnsi"/>
        </w:rPr>
      </w:pPr>
    </w:p>
    <w:p w14:paraId="674073CF"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The Duty of Candour is the contractual requirement to ensure that the Being Open process is followed when an incident that affects patient safety results in moderate or severe harm, or death. </w:t>
      </w:r>
    </w:p>
    <w:p w14:paraId="3F3FC23D" w14:textId="77777777" w:rsidR="00DA7D76" w:rsidRPr="003F67AA" w:rsidRDefault="00DA7D76" w:rsidP="00984485">
      <w:pPr>
        <w:pStyle w:val="Default"/>
        <w:rPr>
          <w:rFonts w:asciiTheme="minorHAnsi" w:hAnsiTheme="minorHAnsi" w:cstheme="minorHAnsi"/>
        </w:rPr>
      </w:pPr>
    </w:p>
    <w:p w14:paraId="306619E5" w14:textId="77777777" w:rsidR="00DA7D76" w:rsidRPr="003F67AA" w:rsidRDefault="00DA7D76" w:rsidP="00984485">
      <w:pPr>
        <w:pStyle w:val="Default"/>
        <w:rPr>
          <w:rFonts w:asciiTheme="minorHAnsi" w:hAnsiTheme="minorHAnsi" w:cstheme="minorHAnsi"/>
        </w:rPr>
      </w:pPr>
    </w:p>
    <w:p w14:paraId="0284CC57" w14:textId="77777777" w:rsidR="00DA7D76" w:rsidRPr="003F67AA" w:rsidRDefault="00DA7D76" w:rsidP="00984485">
      <w:pPr>
        <w:pStyle w:val="Default"/>
        <w:rPr>
          <w:rFonts w:asciiTheme="minorHAnsi" w:hAnsiTheme="minorHAnsi" w:cstheme="minorHAnsi"/>
        </w:rPr>
      </w:pPr>
    </w:p>
    <w:p w14:paraId="674073D0" w14:textId="77777777" w:rsidR="00984485" w:rsidRPr="003F67AA" w:rsidRDefault="00984485" w:rsidP="00984485">
      <w:pPr>
        <w:pStyle w:val="Default"/>
        <w:rPr>
          <w:rFonts w:asciiTheme="minorHAnsi" w:hAnsiTheme="minorHAnsi" w:cstheme="minorHAnsi"/>
          <w:b/>
          <w:u w:val="single"/>
        </w:rPr>
      </w:pPr>
      <w:r w:rsidRPr="003F67AA">
        <w:rPr>
          <w:rFonts w:asciiTheme="minorHAnsi" w:hAnsiTheme="minorHAnsi" w:cstheme="minorHAnsi"/>
          <w:b/>
          <w:color w:val="auto"/>
        </w:rPr>
        <w:t>What is a Patient Safety Incident?</w:t>
      </w:r>
    </w:p>
    <w:p w14:paraId="674073D1" w14:textId="77777777" w:rsidR="00984485" w:rsidRPr="003F67AA" w:rsidRDefault="00984485" w:rsidP="00984485">
      <w:pPr>
        <w:pStyle w:val="Default"/>
        <w:rPr>
          <w:rFonts w:asciiTheme="minorHAnsi" w:hAnsiTheme="minorHAnsi" w:cstheme="minorHAnsi"/>
        </w:rPr>
      </w:pPr>
    </w:p>
    <w:p w14:paraId="674073D2"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The National Patient Safety Agency defines a Patient Safety Incident as: “Any unintended or unexpected incident which could have or did lead to harm for one or more patients receiving NHS care”.</w:t>
      </w:r>
    </w:p>
    <w:p w14:paraId="674073D3" w14:textId="77777777" w:rsidR="00984485" w:rsidRPr="003F67AA" w:rsidRDefault="00984485" w:rsidP="00984485">
      <w:pPr>
        <w:pStyle w:val="Default"/>
        <w:rPr>
          <w:rFonts w:asciiTheme="minorHAnsi" w:hAnsiTheme="minorHAnsi" w:cstheme="minorHAnsi"/>
        </w:rPr>
      </w:pPr>
    </w:p>
    <w:p w14:paraId="674073D4" w14:textId="0A05B32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 xml:space="preserve">“Being open” and “Duty of </w:t>
      </w:r>
      <w:r w:rsidR="004F6871" w:rsidRPr="003F67AA">
        <w:rPr>
          <w:rFonts w:asciiTheme="minorHAnsi" w:hAnsiTheme="minorHAnsi" w:cstheme="minorHAnsi"/>
          <w:b/>
          <w:color w:val="auto"/>
        </w:rPr>
        <w:t>Candour”.</w:t>
      </w:r>
    </w:p>
    <w:p w14:paraId="674073D5" w14:textId="77777777" w:rsidR="00984485" w:rsidRPr="003F67AA" w:rsidRDefault="00984485" w:rsidP="00984485">
      <w:pPr>
        <w:pStyle w:val="Default"/>
        <w:rPr>
          <w:rFonts w:asciiTheme="minorHAnsi" w:hAnsiTheme="minorHAnsi" w:cstheme="minorHAnsi"/>
        </w:rPr>
      </w:pPr>
    </w:p>
    <w:p w14:paraId="674073D6"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Practices must:</w:t>
      </w:r>
    </w:p>
    <w:p w14:paraId="674073D7" w14:textId="77777777" w:rsidR="00984485" w:rsidRPr="003F67AA" w:rsidRDefault="00984485" w:rsidP="00984485">
      <w:pPr>
        <w:pStyle w:val="Default"/>
        <w:rPr>
          <w:rFonts w:asciiTheme="minorHAnsi" w:hAnsiTheme="minorHAnsi" w:cstheme="minorHAnsi"/>
        </w:rPr>
      </w:pPr>
    </w:p>
    <w:p w14:paraId="674073D8" w14:textId="11A6778C" w:rsidR="00984485" w:rsidRPr="003F67AA" w:rsidRDefault="00984485" w:rsidP="00984485">
      <w:pPr>
        <w:pStyle w:val="Default"/>
        <w:numPr>
          <w:ilvl w:val="0"/>
          <w:numId w:val="2"/>
        </w:numPr>
        <w:rPr>
          <w:rFonts w:asciiTheme="minorHAnsi" w:hAnsiTheme="minorHAnsi" w:cstheme="minorHAnsi"/>
        </w:rPr>
      </w:pPr>
      <w:r w:rsidRPr="003F67AA">
        <w:rPr>
          <w:rFonts w:asciiTheme="minorHAnsi" w:hAnsiTheme="minorHAnsi" w:cstheme="minorHAnsi"/>
        </w:rPr>
        <w:t xml:space="preserve">Acknowledge, </w:t>
      </w:r>
      <w:r w:rsidR="003F67AA" w:rsidRPr="003F67AA">
        <w:rPr>
          <w:rFonts w:asciiTheme="minorHAnsi" w:hAnsiTheme="minorHAnsi" w:cstheme="minorHAnsi"/>
        </w:rPr>
        <w:t>apologise,</w:t>
      </w:r>
      <w:r w:rsidRPr="003F67AA">
        <w:rPr>
          <w:rFonts w:asciiTheme="minorHAnsi" w:hAnsiTheme="minorHAnsi" w:cstheme="minorHAnsi"/>
        </w:rPr>
        <w:t xml:space="preserve"> and explain when things go </w:t>
      </w:r>
      <w:r w:rsidR="003F67AA" w:rsidRPr="003F67AA">
        <w:rPr>
          <w:rFonts w:asciiTheme="minorHAnsi" w:hAnsiTheme="minorHAnsi" w:cstheme="minorHAnsi"/>
        </w:rPr>
        <w:t>wrong.</w:t>
      </w:r>
    </w:p>
    <w:p w14:paraId="674073D9" w14:textId="2949F879" w:rsidR="00984485" w:rsidRPr="003F67AA" w:rsidRDefault="00984485" w:rsidP="00984485">
      <w:pPr>
        <w:pStyle w:val="Default"/>
        <w:numPr>
          <w:ilvl w:val="0"/>
          <w:numId w:val="2"/>
        </w:numPr>
        <w:rPr>
          <w:rFonts w:asciiTheme="minorHAnsi" w:hAnsiTheme="minorHAnsi" w:cstheme="minorHAnsi"/>
        </w:rPr>
      </w:pPr>
      <w:r w:rsidRPr="003F67AA">
        <w:rPr>
          <w:rFonts w:asciiTheme="minorHAnsi" w:hAnsiTheme="minorHAnsi" w:cstheme="minorHAnsi"/>
        </w:rPr>
        <w:t xml:space="preserve">Carry out investigations into incidents affecting Patient </w:t>
      </w:r>
      <w:r w:rsidR="003F67AA" w:rsidRPr="003F67AA">
        <w:rPr>
          <w:rFonts w:asciiTheme="minorHAnsi" w:hAnsiTheme="minorHAnsi" w:cstheme="minorHAnsi"/>
        </w:rPr>
        <w:t>Safety.</w:t>
      </w:r>
    </w:p>
    <w:p w14:paraId="674073DA" w14:textId="77777777" w:rsidR="00984485" w:rsidRPr="003F67AA" w:rsidRDefault="00984485" w:rsidP="00984485">
      <w:pPr>
        <w:pStyle w:val="Default"/>
        <w:numPr>
          <w:ilvl w:val="0"/>
          <w:numId w:val="2"/>
        </w:numPr>
        <w:rPr>
          <w:rFonts w:asciiTheme="minorHAnsi" w:hAnsiTheme="minorHAnsi" w:cstheme="minorHAnsi"/>
        </w:rPr>
      </w:pPr>
      <w:r w:rsidRPr="003F67AA">
        <w:rPr>
          <w:rFonts w:asciiTheme="minorHAnsi" w:hAnsiTheme="minorHAnsi" w:cstheme="minorHAnsi"/>
        </w:rPr>
        <w:t>Provide support for those involved in the incident (patients and staff) to cope with the physical and emotional impact.</w:t>
      </w:r>
    </w:p>
    <w:p w14:paraId="674073DB" w14:textId="23289D4F" w:rsidR="00984485" w:rsidRPr="003F67AA" w:rsidRDefault="00984485" w:rsidP="00984485">
      <w:pPr>
        <w:pStyle w:val="Default"/>
        <w:numPr>
          <w:ilvl w:val="0"/>
          <w:numId w:val="2"/>
        </w:numPr>
        <w:rPr>
          <w:rFonts w:asciiTheme="minorHAnsi" w:hAnsiTheme="minorHAnsi" w:cstheme="minorHAnsi"/>
        </w:rPr>
      </w:pPr>
      <w:r w:rsidRPr="003F67AA">
        <w:rPr>
          <w:rFonts w:asciiTheme="minorHAnsi" w:hAnsiTheme="minorHAnsi" w:cstheme="minorHAnsi"/>
        </w:rPr>
        <w:t xml:space="preserve">Reassuring patients, </w:t>
      </w:r>
      <w:r w:rsidR="004F6871" w:rsidRPr="003F67AA">
        <w:rPr>
          <w:rFonts w:asciiTheme="minorHAnsi" w:hAnsiTheme="minorHAnsi" w:cstheme="minorHAnsi"/>
        </w:rPr>
        <w:t>families,</w:t>
      </w:r>
      <w:r w:rsidRPr="003F67AA">
        <w:rPr>
          <w:rFonts w:asciiTheme="minorHAnsi" w:hAnsiTheme="minorHAnsi" w:cstheme="minorHAnsi"/>
        </w:rPr>
        <w:t xml:space="preserve"> and carers that lessons learned will prevent any patient safety incidents happening in </w:t>
      </w:r>
      <w:r w:rsidR="003F67AA" w:rsidRPr="003F67AA">
        <w:rPr>
          <w:rFonts w:asciiTheme="minorHAnsi" w:hAnsiTheme="minorHAnsi" w:cstheme="minorHAnsi"/>
        </w:rPr>
        <w:t>future.</w:t>
      </w:r>
    </w:p>
    <w:p w14:paraId="674073DC" w14:textId="77777777" w:rsidR="00984485" w:rsidRPr="003F67AA" w:rsidRDefault="00984485" w:rsidP="00984485">
      <w:pPr>
        <w:pStyle w:val="Default"/>
        <w:rPr>
          <w:rFonts w:asciiTheme="minorHAnsi" w:hAnsiTheme="minorHAnsi" w:cstheme="minorHAnsi"/>
        </w:rPr>
      </w:pPr>
    </w:p>
    <w:p w14:paraId="674073DD" w14:textId="7777777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Definition of “Levels of Harm”</w:t>
      </w:r>
    </w:p>
    <w:p w14:paraId="674073DE" w14:textId="77777777" w:rsidR="00984485" w:rsidRPr="003F67AA" w:rsidRDefault="00984485" w:rsidP="00984485">
      <w:pPr>
        <w:pStyle w:val="Default"/>
        <w:rPr>
          <w:rFonts w:asciiTheme="minorHAnsi" w:hAnsiTheme="minorHAnsi" w:cstheme="minorHAnsi"/>
        </w:rPr>
      </w:pPr>
    </w:p>
    <w:p w14:paraId="674073DF" w14:textId="77777777" w:rsidR="00984485" w:rsidRPr="003F67AA" w:rsidRDefault="00984485" w:rsidP="00984485">
      <w:pPr>
        <w:pStyle w:val="Default"/>
        <w:rPr>
          <w:rFonts w:asciiTheme="minorHAnsi" w:hAnsiTheme="minorHAnsi" w:cstheme="minorHAnsi"/>
          <w:b/>
          <w:bCs/>
        </w:rPr>
      </w:pPr>
      <w:r w:rsidRPr="003F67AA">
        <w:rPr>
          <w:rFonts w:asciiTheme="minorHAnsi" w:hAnsiTheme="minorHAnsi" w:cstheme="minorHAnsi"/>
          <w:b/>
          <w:bCs/>
        </w:rPr>
        <w:t>No harm</w:t>
      </w:r>
    </w:p>
    <w:p w14:paraId="674073E0" w14:textId="77777777" w:rsidR="00984485" w:rsidRPr="003F67AA" w:rsidRDefault="00984485" w:rsidP="00984485">
      <w:pPr>
        <w:pStyle w:val="Default"/>
        <w:numPr>
          <w:ilvl w:val="0"/>
          <w:numId w:val="3"/>
        </w:numPr>
        <w:rPr>
          <w:rFonts w:asciiTheme="minorHAnsi" w:hAnsiTheme="minorHAnsi" w:cstheme="minorHAnsi"/>
        </w:rPr>
      </w:pPr>
      <w:r w:rsidRPr="003F67AA">
        <w:rPr>
          <w:rFonts w:asciiTheme="minorHAnsi" w:hAnsiTheme="minorHAnsi" w:cstheme="minorHAnsi"/>
        </w:rPr>
        <w:t xml:space="preserve">Impact prevented – any incident that had the </w:t>
      </w:r>
      <w:r w:rsidRPr="003F67AA">
        <w:rPr>
          <w:rFonts w:asciiTheme="minorHAnsi" w:hAnsiTheme="minorHAnsi" w:cstheme="minorHAnsi"/>
          <w:b/>
        </w:rPr>
        <w:t>potential</w:t>
      </w:r>
      <w:r w:rsidRPr="003F67AA">
        <w:rPr>
          <w:rFonts w:asciiTheme="minorHAnsi" w:hAnsiTheme="minorHAnsi" w:cstheme="minorHAnsi"/>
        </w:rPr>
        <w:t xml:space="preserve"> to cause harm but was prevented and resulted in no harm to staff or patients. </w:t>
      </w:r>
    </w:p>
    <w:p w14:paraId="674073E1" w14:textId="336CB23A" w:rsidR="00984485" w:rsidRPr="003F67AA" w:rsidRDefault="00984485" w:rsidP="00984485">
      <w:pPr>
        <w:pStyle w:val="Default"/>
        <w:numPr>
          <w:ilvl w:val="0"/>
          <w:numId w:val="3"/>
        </w:numPr>
        <w:rPr>
          <w:rFonts w:asciiTheme="minorHAnsi" w:hAnsiTheme="minorHAnsi" w:cstheme="minorHAnsi"/>
        </w:rPr>
      </w:pPr>
      <w:r w:rsidRPr="003F67AA">
        <w:rPr>
          <w:rFonts w:asciiTheme="minorHAnsi" w:hAnsiTheme="minorHAnsi" w:cstheme="minorHAnsi"/>
        </w:rPr>
        <w:t xml:space="preserve">Impact not prevented - any incident that has </w:t>
      </w:r>
      <w:r w:rsidR="003F67AA" w:rsidRPr="003F67AA">
        <w:rPr>
          <w:rFonts w:asciiTheme="minorHAnsi" w:hAnsiTheme="minorHAnsi" w:cstheme="minorHAnsi"/>
        </w:rPr>
        <w:t>occurred but</w:t>
      </w:r>
      <w:r w:rsidRPr="003F67AA">
        <w:rPr>
          <w:rFonts w:asciiTheme="minorHAnsi" w:hAnsiTheme="minorHAnsi" w:cstheme="minorHAnsi"/>
        </w:rPr>
        <w:t xml:space="preserve"> resulted in </w:t>
      </w:r>
      <w:r w:rsidRPr="003F67AA">
        <w:rPr>
          <w:rFonts w:asciiTheme="minorHAnsi" w:hAnsiTheme="minorHAnsi" w:cstheme="minorHAnsi"/>
          <w:b/>
        </w:rPr>
        <w:t>no harm</w:t>
      </w:r>
      <w:r w:rsidRPr="003F67AA">
        <w:rPr>
          <w:rFonts w:asciiTheme="minorHAnsi" w:hAnsiTheme="minorHAnsi" w:cstheme="minorHAnsi"/>
        </w:rPr>
        <w:t xml:space="preserve"> to people receiving care. </w:t>
      </w:r>
    </w:p>
    <w:p w14:paraId="674073E2" w14:textId="77777777" w:rsidR="00984485" w:rsidRPr="003F67AA" w:rsidRDefault="00984485" w:rsidP="00984485">
      <w:pPr>
        <w:pStyle w:val="Default"/>
        <w:rPr>
          <w:rFonts w:asciiTheme="minorHAnsi" w:hAnsiTheme="minorHAnsi" w:cstheme="minorHAnsi"/>
          <w:b/>
          <w:bCs/>
        </w:rPr>
      </w:pPr>
    </w:p>
    <w:p w14:paraId="674073E3" w14:textId="77777777" w:rsidR="00984485" w:rsidRPr="003F67AA" w:rsidRDefault="00984485" w:rsidP="00984485">
      <w:pPr>
        <w:pStyle w:val="Default"/>
        <w:rPr>
          <w:rFonts w:asciiTheme="minorHAnsi" w:hAnsiTheme="minorHAnsi" w:cstheme="minorHAnsi"/>
          <w:b/>
          <w:bCs/>
        </w:rPr>
      </w:pPr>
      <w:r w:rsidRPr="003F67AA">
        <w:rPr>
          <w:rFonts w:asciiTheme="minorHAnsi" w:hAnsiTheme="minorHAnsi" w:cstheme="minorHAnsi"/>
          <w:b/>
          <w:bCs/>
        </w:rPr>
        <w:t>Low</w:t>
      </w:r>
    </w:p>
    <w:p w14:paraId="674073E4" w14:textId="2A556A18"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An incident that required extra observation or minor treatment and caused </w:t>
      </w:r>
      <w:r w:rsidRPr="003F67AA">
        <w:rPr>
          <w:rFonts w:asciiTheme="minorHAnsi" w:hAnsiTheme="minorHAnsi" w:cstheme="minorHAnsi"/>
          <w:b/>
        </w:rPr>
        <w:t>minimal harm</w:t>
      </w:r>
      <w:r w:rsidRPr="003F67AA">
        <w:rPr>
          <w:rFonts w:asciiTheme="minorHAnsi" w:hAnsiTheme="minorHAnsi" w:cstheme="minorHAnsi"/>
        </w:rPr>
        <w:t xml:space="preserve">, to one or more </w:t>
      </w:r>
      <w:r w:rsidR="00DA7D76" w:rsidRPr="003F67AA">
        <w:rPr>
          <w:rFonts w:asciiTheme="minorHAnsi" w:hAnsiTheme="minorHAnsi" w:cstheme="minorHAnsi"/>
        </w:rPr>
        <w:t>person’s</w:t>
      </w:r>
      <w:r w:rsidRPr="003F67AA">
        <w:rPr>
          <w:rFonts w:asciiTheme="minorHAnsi" w:hAnsiTheme="minorHAnsi" w:cstheme="minorHAnsi"/>
        </w:rPr>
        <w:t xml:space="preserve"> receiving care. </w:t>
      </w:r>
    </w:p>
    <w:p w14:paraId="674073E5" w14:textId="77777777" w:rsidR="00984485" w:rsidRPr="003F67AA" w:rsidRDefault="00984485" w:rsidP="00984485">
      <w:pPr>
        <w:pStyle w:val="Default"/>
        <w:rPr>
          <w:rFonts w:asciiTheme="minorHAnsi" w:hAnsiTheme="minorHAnsi" w:cstheme="minorHAnsi"/>
          <w:b/>
          <w:bCs/>
        </w:rPr>
      </w:pPr>
    </w:p>
    <w:p w14:paraId="674073E6" w14:textId="77777777" w:rsidR="00984485" w:rsidRPr="003F67AA" w:rsidRDefault="00984485" w:rsidP="00984485">
      <w:pPr>
        <w:pStyle w:val="Default"/>
        <w:rPr>
          <w:rFonts w:asciiTheme="minorHAnsi" w:hAnsiTheme="minorHAnsi" w:cstheme="minorHAnsi"/>
          <w:b/>
          <w:bCs/>
        </w:rPr>
      </w:pPr>
      <w:r w:rsidRPr="003F67AA">
        <w:rPr>
          <w:rFonts w:asciiTheme="minorHAnsi" w:hAnsiTheme="minorHAnsi" w:cstheme="minorHAnsi"/>
          <w:b/>
          <w:bCs/>
        </w:rPr>
        <w:t>Moderate</w:t>
      </w:r>
    </w:p>
    <w:p w14:paraId="674073E7"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An incident that resulted in a moderate increase in treatment (e.g. increase in length of hospital stay by 4-15 days) and which caused </w:t>
      </w:r>
      <w:r w:rsidRPr="003F67AA">
        <w:rPr>
          <w:rFonts w:asciiTheme="minorHAnsi" w:hAnsiTheme="minorHAnsi" w:cstheme="minorHAnsi"/>
          <w:b/>
        </w:rPr>
        <w:t>significant but not permanent harm</w:t>
      </w:r>
      <w:r w:rsidRPr="003F67AA">
        <w:rPr>
          <w:rFonts w:asciiTheme="minorHAnsi" w:hAnsiTheme="minorHAnsi" w:cstheme="minorHAnsi"/>
        </w:rPr>
        <w:t xml:space="preserve">, to one or more persons receiving NHS-funded care. </w:t>
      </w:r>
    </w:p>
    <w:p w14:paraId="674073E8" w14:textId="77777777" w:rsidR="00984485" w:rsidRPr="003F67AA" w:rsidRDefault="00984485" w:rsidP="00984485">
      <w:pPr>
        <w:pStyle w:val="Default"/>
        <w:rPr>
          <w:rFonts w:asciiTheme="minorHAnsi" w:hAnsiTheme="minorHAnsi" w:cstheme="minorHAnsi"/>
          <w:b/>
          <w:bCs/>
        </w:rPr>
      </w:pPr>
    </w:p>
    <w:p w14:paraId="674073E9" w14:textId="77777777" w:rsidR="00984485" w:rsidRPr="003F67AA" w:rsidRDefault="00984485" w:rsidP="00984485">
      <w:pPr>
        <w:pStyle w:val="Default"/>
        <w:rPr>
          <w:rFonts w:asciiTheme="minorHAnsi" w:hAnsiTheme="minorHAnsi" w:cstheme="minorHAnsi"/>
          <w:b/>
          <w:bCs/>
        </w:rPr>
      </w:pPr>
      <w:r w:rsidRPr="003F67AA">
        <w:rPr>
          <w:rFonts w:asciiTheme="minorHAnsi" w:hAnsiTheme="minorHAnsi" w:cstheme="minorHAnsi"/>
          <w:b/>
          <w:bCs/>
        </w:rPr>
        <w:t>Severe</w:t>
      </w:r>
    </w:p>
    <w:p w14:paraId="674073EA" w14:textId="13F4C914"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An incident that appears to have resulted in </w:t>
      </w:r>
      <w:r w:rsidRPr="003F67AA">
        <w:rPr>
          <w:rFonts w:asciiTheme="minorHAnsi" w:hAnsiTheme="minorHAnsi" w:cstheme="minorHAnsi"/>
          <w:b/>
        </w:rPr>
        <w:t>permanent harm</w:t>
      </w:r>
      <w:r w:rsidRPr="003F67AA">
        <w:rPr>
          <w:rFonts w:asciiTheme="minorHAnsi" w:hAnsiTheme="minorHAnsi" w:cstheme="minorHAnsi"/>
        </w:rPr>
        <w:t xml:space="preserve"> to one or more </w:t>
      </w:r>
      <w:r w:rsidR="00DA7D76" w:rsidRPr="003F67AA">
        <w:rPr>
          <w:rFonts w:asciiTheme="minorHAnsi" w:hAnsiTheme="minorHAnsi" w:cstheme="minorHAnsi"/>
        </w:rPr>
        <w:t>person’s</w:t>
      </w:r>
      <w:r w:rsidRPr="003F67AA">
        <w:rPr>
          <w:rFonts w:asciiTheme="minorHAnsi" w:hAnsiTheme="minorHAnsi" w:cstheme="minorHAnsi"/>
        </w:rPr>
        <w:t xml:space="preserve"> receiving care. </w:t>
      </w:r>
    </w:p>
    <w:p w14:paraId="674073EB" w14:textId="77777777" w:rsidR="00984485" w:rsidRPr="003F67AA" w:rsidRDefault="00984485" w:rsidP="00984485">
      <w:pPr>
        <w:pStyle w:val="Default"/>
        <w:rPr>
          <w:rFonts w:asciiTheme="minorHAnsi" w:hAnsiTheme="minorHAnsi" w:cstheme="minorHAnsi"/>
          <w:b/>
          <w:bCs/>
        </w:rPr>
      </w:pPr>
    </w:p>
    <w:p w14:paraId="674073EC" w14:textId="77777777" w:rsidR="00984485" w:rsidRPr="003F67AA" w:rsidRDefault="00984485" w:rsidP="00984485">
      <w:pPr>
        <w:pStyle w:val="Default"/>
        <w:rPr>
          <w:rFonts w:asciiTheme="minorHAnsi" w:hAnsiTheme="minorHAnsi" w:cstheme="minorHAnsi"/>
          <w:b/>
          <w:bCs/>
        </w:rPr>
      </w:pPr>
      <w:r w:rsidRPr="003F67AA">
        <w:rPr>
          <w:rFonts w:asciiTheme="minorHAnsi" w:hAnsiTheme="minorHAnsi" w:cstheme="minorHAnsi"/>
          <w:b/>
          <w:bCs/>
        </w:rPr>
        <w:t>Death</w:t>
      </w:r>
    </w:p>
    <w:p w14:paraId="674073ED" w14:textId="3B0F1141"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An incident that directly resulted in the death of one or more </w:t>
      </w:r>
      <w:r w:rsidR="00DA7D76" w:rsidRPr="003F67AA">
        <w:rPr>
          <w:rFonts w:asciiTheme="minorHAnsi" w:hAnsiTheme="minorHAnsi" w:cstheme="minorHAnsi"/>
        </w:rPr>
        <w:t>person’s</w:t>
      </w:r>
      <w:r w:rsidRPr="003F67AA">
        <w:rPr>
          <w:rFonts w:asciiTheme="minorHAnsi" w:hAnsiTheme="minorHAnsi" w:cstheme="minorHAnsi"/>
        </w:rPr>
        <w:t xml:space="preserve"> receiving care.</w:t>
      </w:r>
    </w:p>
    <w:p w14:paraId="674073F0" w14:textId="77777777" w:rsidR="00984485" w:rsidRPr="003F67AA" w:rsidRDefault="00984485" w:rsidP="00984485">
      <w:pPr>
        <w:pStyle w:val="Default"/>
        <w:rPr>
          <w:rFonts w:asciiTheme="minorHAnsi" w:hAnsiTheme="minorHAnsi" w:cstheme="minorHAnsi"/>
          <w:b/>
          <w:color w:val="auto"/>
        </w:rPr>
      </w:pPr>
    </w:p>
    <w:p w14:paraId="674073F1" w14:textId="7777777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A “Sincere Apology”</w:t>
      </w:r>
    </w:p>
    <w:p w14:paraId="674073F2" w14:textId="77777777" w:rsidR="00984485" w:rsidRPr="003F67AA" w:rsidRDefault="00984485" w:rsidP="00984485">
      <w:pPr>
        <w:pStyle w:val="Default"/>
        <w:rPr>
          <w:rFonts w:asciiTheme="minorHAnsi" w:hAnsiTheme="minorHAnsi" w:cstheme="minorHAnsi"/>
        </w:rPr>
      </w:pPr>
    </w:p>
    <w:p w14:paraId="674073F3" w14:textId="131B167E"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The Francis Report indicated the importance of affected parties receiving a sincere apology for the impact that any incident can have on the patient, their families, next of kin and their </w:t>
      </w:r>
      <w:proofErr w:type="spellStart"/>
      <w:r w:rsidRPr="003F67AA">
        <w:rPr>
          <w:rFonts w:asciiTheme="minorHAnsi" w:hAnsiTheme="minorHAnsi" w:cstheme="minorHAnsi"/>
        </w:rPr>
        <w:t>carers</w:t>
      </w:r>
      <w:proofErr w:type="spellEnd"/>
      <w:r w:rsidRPr="003F67AA">
        <w:rPr>
          <w:rFonts w:asciiTheme="minorHAnsi" w:hAnsiTheme="minorHAnsi" w:cstheme="minorHAnsi"/>
        </w:rPr>
        <w:t xml:space="preserve">, especially in incidents that cause severe harm or the loss of life. A meaningful apology for the incident or the circumstances that have led to the incident is an important part of coping with the effect that it has </w:t>
      </w:r>
      <w:r w:rsidR="003F67AA" w:rsidRPr="003F67AA">
        <w:rPr>
          <w:rFonts w:asciiTheme="minorHAnsi" w:hAnsiTheme="minorHAnsi" w:cstheme="minorHAnsi"/>
        </w:rPr>
        <w:t>caused and</w:t>
      </w:r>
      <w:r w:rsidRPr="003F67AA">
        <w:rPr>
          <w:rFonts w:asciiTheme="minorHAnsi" w:hAnsiTheme="minorHAnsi" w:cstheme="minorHAnsi"/>
        </w:rPr>
        <w:t xml:space="preserve"> means that the Practice has taken these events (major or minor) seriously.</w:t>
      </w:r>
    </w:p>
    <w:p w14:paraId="674073F4" w14:textId="77777777" w:rsidR="00984485" w:rsidRPr="003F67AA" w:rsidRDefault="00984485" w:rsidP="00984485">
      <w:pPr>
        <w:pStyle w:val="Default"/>
        <w:rPr>
          <w:rFonts w:asciiTheme="minorHAnsi" w:hAnsiTheme="minorHAnsi" w:cstheme="minorHAnsi"/>
        </w:rPr>
      </w:pPr>
    </w:p>
    <w:p w14:paraId="674073F5" w14:textId="0E32DB4E"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However, the Duty of Candour also states that an apology does not constitute an admission of liability. Patients and relatives will request detailed explanations of what led to the incident(s) occurring (and their adverse outcomes), and an apology and acknowledgement of the impact it </w:t>
      </w:r>
      <w:r w:rsidR="003F67AA" w:rsidRPr="003F67AA">
        <w:rPr>
          <w:rFonts w:asciiTheme="minorHAnsi" w:hAnsiTheme="minorHAnsi" w:cstheme="minorHAnsi"/>
        </w:rPr>
        <w:t>has on</w:t>
      </w:r>
      <w:r w:rsidRPr="003F67AA">
        <w:rPr>
          <w:rFonts w:asciiTheme="minorHAnsi" w:hAnsiTheme="minorHAnsi" w:cstheme="minorHAnsi"/>
        </w:rPr>
        <w:t xml:space="preserve"> them helps to understand that there are lessons that the Practice can learn to ensure this does not happen again in the future.</w:t>
      </w:r>
    </w:p>
    <w:p w14:paraId="674073F6" w14:textId="77777777" w:rsidR="00984485" w:rsidRPr="003F67AA" w:rsidRDefault="00984485" w:rsidP="00984485">
      <w:pPr>
        <w:pStyle w:val="Default"/>
        <w:rPr>
          <w:rFonts w:asciiTheme="minorHAnsi" w:hAnsiTheme="minorHAnsi" w:cstheme="minorHAnsi"/>
        </w:rPr>
      </w:pPr>
    </w:p>
    <w:p w14:paraId="674073F7"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To meet the requirements of </w:t>
      </w:r>
      <w:r w:rsidRPr="003F67AA">
        <w:rPr>
          <w:rFonts w:asciiTheme="minorHAnsi" w:hAnsiTheme="minorHAnsi" w:cstheme="minorHAnsi"/>
          <w:b/>
          <w:color w:val="000000"/>
        </w:rPr>
        <w:t>CQC Regulation 20</w:t>
      </w:r>
      <w:r w:rsidRPr="003F67AA">
        <w:rPr>
          <w:rFonts w:asciiTheme="minorHAnsi" w:hAnsiTheme="minorHAnsi" w:cstheme="minorHAnsi"/>
          <w:color w:val="000000"/>
        </w:rPr>
        <w:t xml:space="preserve">, a Practice must be: </w:t>
      </w:r>
    </w:p>
    <w:p w14:paraId="674073F8" w14:textId="77777777" w:rsidR="00984485" w:rsidRPr="003F67AA" w:rsidRDefault="00984485" w:rsidP="00984485">
      <w:pPr>
        <w:autoSpaceDE w:val="0"/>
        <w:autoSpaceDN w:val="0"/>
        <w:adjustRightInd w:val="0"/>
        <w:rPr>
          <w:rFonts w:asciiTheme="minorHAnsi" w:hAnsiTheme="minorHAnsi" w:cstheme="minorHAnsi"/>
          <w:color w:val="000000"/>
        </w:rPr>
      </w:pPr>
    </w:p>
    <w:p w14:paraId="674073F9" w14:textId="77777777" w:rsidR="00984485" w:rsidRPr="003F67AA" w:rsidRDefault="00984485" w:rsidP="00984485">
      <w:pPr>
        <w:numPr>
          <w:ilvl w:val="0"/>
          <w:numId w:val="4"/>
        </w:num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Open and transparent way with relevant persons in relation to care and treatment provided to people who use services in carrying on a regulated activity. </w:t>
      </w:r>
    </w:p>
    <w:p w14:paraId="674073FA" w14:textId="2AE08A02" w:rsidR="00984485" w:rsidRPr="003F67AA" w:rsidRDefault="00984485" w:rsidP="00984485">
      <w:pPr>
        <w:numPr>
          <w:ilvl w:val="0"/>
          <w:numId w:val="4"/>
        </w:numPr>
        <w:autoSpaceDE w:val="0"/>
        <w:autoSpaceDN w:val="0"/>
        <w:adjustRightInd w:val="0"/>
        <w:spacing w:after="70"/>
        <w:rPr>
          <w:rFonts w:asciiTheme="minorHAnsi" w:hAnsiTheme="minorHAnsi" w:cstheme="minorHAnsi"/>
          <w:color w:val="000000"/>
        </w:rPr>
      </w:pPr>
      <w:r w:rsidRPr="003F67AA">
        <w:rPr>
          <w:rFonts w:asciiTheme="minorHAnsi" w:hAnsiTheme="minorHAnsi" w:cstheme="minorHAnsi"/>
          <w:color w:val="000000"/>
        </w:rPr>
        <w:t xml:space="preserve">Tell the relevant person (in person) as soon as reasonably practicable after becoming aware that a safety incident has </w:t>
      </w:r>
      <w:r w:rsidR="003F67AA" w:rsidRPr="003F67AA">
        <w:rPr>
          <w:rFonts w:asciiTheme="minorHAnsi" w:hAnsiTheme="minorHAnsi" w:cstheme="minorHAnsi"/>
          <w:color w:val="000000"/>
        </w:rPr>
        <w:t>occurred and</w:t>
      </w:r>
      <w:r w:rsidRPr="003F67AA">
        <w:rPr>
          <w:rFonts w:asciiTheme="minorHAnsi" w:hAnsiTheme="minorHAnsi" w:cstheme="minorHAnsi"/>
          <w:color w:val="000000"/>
        </w:rPr>
        <w:t xml:space="preserve"> provide support to them in relation to the incident, including when giving the notification.</w:t>
      </w:r>
    </w:p>
    <w:p w14:paraId="674073FB" w14:textId="77777777" w:rsidR="00984485" w:rsidRPr="003F67AA" w:rsidRDefault="00984485" w:rsidP="00984485">
      <w:pPr>
        <w:numPr>
          <w:ilvl w:val="0"/>
          <w:numId w:val="4"/>
        </w:numPr>
        <w:autoSpaceDE w:val="0"/>
        <w:autoSpaceDN w:val="0"/>
        <w:adjustRightInd w:val="0"/>
        <w:spacing w:after="70"/>
        <w:rPr>
          <w:rFonts w:asciiTheme="minorHAnsi" w:hAnsiTheme="minorHAnsi" w:cstheme="minorHAnsi"/>
          <w:color w:val="000000"/>
        </w:rPr>
      </w:pPr>
      <w:r w:rsidRPr="003F67AA">
        <w:rPr>
          <w:rFonts w:asciiTheme="minorHAnsi" w:hAnsiTheme="minorHAnsi" w:cstheme="minorHAnsi"/>
          <w:color w:val="000000"/>
        </w:rPr>
        <w:t>Provide an account of the incident which, to the best of the Practice’s knowledge, is true of all the facts the Practice knows about the incident as at the date of the notification.</w:t>
      </w:r>
    </w:p>
    <w:p w14:paraId="674073FC" w14:textId="77777777" w:rsidR="00984485" w:rsidRPr="003F67AA" w:rsidRDefault="00984485" w:rsidP="00984485">
      <w:pPr>
        <w:numPr>
          <w:ilvl w:val="0"/>
          <w:numId w:val="4"/>
        </w:numPr>
        <w:autoSpaceDE w:val="0"/>
        <w:autoSpaceDN w:val="0"/>
        <w:adjustRightInd w:val="0"/>
        <w:spacing w:after="70"/>
        <w:rPr>
          <w:rFonts w:asciiTheme="minorHAnsi" w:hAnsiTheme="minorHAnsi" w:cstheme="minorHAnsi"/>
          <w:color w:val="000000"/>
        </w:rPr>
      </w:pPr>
      <w:r w:rsidRPr="003F67AA">
        <w:rPr>
          <w:rFonts w:asciiTheme="minorHAnsi" w:hAnsiTheme="minorHAnsi" w:cstheme="minorHAnsi"/>
          <w:color w:val="000000"/>
        </w:rPr>
        <w:t xml:space="preserve">Advise the relevant person what further enquiries the Practice believes are appropriate. </w:t>
      </w:r>
    </w:p>
    <w:p w14:paraId="674073FD" w14:textId="77777777" w:rsidR="00984485" w:rsidRPr="003F67AA" w:rsidRDefault="00984485" w:rsidP="00984485">
      <w:pPr>
        <w:numPr>
          <w:ilvl w:val="0"/>
          <w:numId w:val="4"/>
        </w:numPr>
        <w:autoSpaceDE w:val="0"/>
        <w:autoSpaceDN w:val="0"/>
        <w:adjustRightInd w:val="0"/>
        <w:spacing w:after="70"/>
        <w:rPr>
          <w:rFonts w:asciiTheme="minorHAnsi" w:hAnsiTheme="minorHAnsi" w:cstheme="minorHAnsi"/>
          <w:color w:val="000000"/>
        </w:rPr>
      </w:pPr>
      <w:r w:rsidRPr="003F67AA">
        <w:rPr>
          <w:rFonts w:asciiTheme="minorHAnsi" w:hAnsiTheme="minorHAnsi" w:cstheme="minorHAnsi"/>
          <w:color w:val="000000"/>
        </w:rPr>
        <w:t xml:space="preserve">Offer an apology. </w:t>
      </w:r>
    </w:p>
    <w:p w14:paraId="674073FE" w14:textId="77777777" w:rsidR="00984485" w:rsidRPr="003F67AA" w:rsidRDefault="00984485" w:rsidP="00984485">
      <w:pPr>
        <w:numPr>
          <w:ilvl w:val="0"/>
          <w:numId w:val="4"/>
        </w:numPr>
        <w:autoSpaceDE w:val="0"/>
        <w:autoSpaceDN w:val="0"/>
        <w:adjustRightInd w:val="0"/>
        <w:spacing w:after="70"/>
        <w:rPr>
          <w:rFonts w:asciiTheme="minorHAnsi" w:hAnsiTheme="minorHAnsi" w:cstheme="minorHAnsi"/>
          <w:color w:val="000000"/>
        </w:rPr>
      </w:pPr>
      <w:r w:rsidRPr="003F67AA">
        <w:rPr>
          <w:rFonts w:asciiTheme="minorHAnsi" w:hAnsiTheme="minorHAnsi" w:cstheme="minorHAnsi"/>
          <w:color w:val="000000"/>
        </w:rPr>
        <w:t xml:space="preserve">Follow up by providing the same information in writing, and any update on the investigations. </w:t>
      </w:r>
    </w:p>
    <w:p w14:paraId="674073FF" w14:textId="77777777" w:rsidR="00984485" w:rsidRPr="003F67AA" w:rsidRDefault="00984485" w:rsidP="00984485">
      <w:pPr>
        <w:numPr>
          <w:ilvl w:val="0"/>
          <w:numId w:val="4"/>
        </w:num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Keep a written record of all communication with the relevant person. </w:t>
      </w:r>
    </w:p>
    <w:p w14:paraId="67407400" w14:textId="77777777" w:rsidR="00984485" w:rsidRPr="003F67AA" w:rsidRDefault="00984485" w:rsidP="00984485">
      <w:pPr>
        <w:pStyle w:val="Default"/>
        <w:rPr>
          <w:rFonts w:asciiTheme="minorHAnsi" w:hAnsiTheme="minorHAnsi" w:cstheme="minorHAnsi"/>
        </w:rPr>
      </w:pPr>
    </w:p>
    <w:p w14:paraId="67407401" w14:textId="7777777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CQC Key Lines of Enquiry relevant to Being Open and Duty of Candour</w:t>
      </w:r>
    </w:p>
    <w:p w14:paraId="67407402" w14:textId="77777777" w:rsidR="00984485" w:rsidRPr="003F67AA" w:rsidRDefault="00984485" w:rsidP="00984485">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33"/>
        <w:gridCol w:w="6387"/>
      </w:tblGrid>
      <w:tr w:rsidR="00984485" w:rsidRPr="003F67AA" w14:paraId="67407406" w14:textId="77777777" w:rsidTr="00E83A47">
        <w:tc>
          <w:tcPr>
            <w:tcW w:w="1632" w:type="dxa"/>
            <w:shd w:val="clear" w:color="auto" w:fill="BFBFBF"/>
          </w:tcPr>
          <w:p w14:paraId="67407403"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Key Question</w:t>
            </w:r>
          </w:p>
        </w:tc>
        <w:tc>
          <w:tcPr>
            <w:tcW w:w="1056" w:type="dxa"/>
            <w:shd w:val="clear" w:color="auto" w:fill="BFBFBF"/>
          </w:tcPr>
          <w:p w14:paraId="67407404"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KLOE</w:t>
            </w:r>
            <w:r w:rsidRPr="003F67AA">
              <w:rPr>
                <w:rFonts w:asciiTheme="minorHAnsi" w:hAnsiTheme="minorHAnsi" w:cstheme="minorHAnsi"/>
                <w:b/>
              </w:rPr>
              <w:tab/>
            </w:r>
          </w:p>
        </w:tc>
        <w:tc>
          <w:tcPr>
            <w:tcW w:w="6776" w:type="dxa"/>
            <w:shd w:val="clear" w:color="auto" w:fill="BFBFBF"/>
          </w:tcPr>
          <w:p w14:paraId="67407405" w14:textId="77777777" w:rsidR="00984485" w:rsidRPr="003F67AA" w:rsidRDefault="00984485" w:rsidP="00E83A47">
            <w:pPr>
              <w:pStyle w:val="Default"/>
              <w:jc w:val="center"/>
              <w:rPr>
                <w:rFonts w:asciiTheme="minorHAnsi" w:hAnsiTheme="minorHAnsi" w:cstheme="minorHAnsi"/>
                <w:b/>
              </w:rPr>
            </w:pPr>
            <w:r w:rsidRPr="003F67AA">
              <w:rPr>
                <w:rFonts w:asciiTheme="minorHAnsi" w:hAnsiTheme="minorHAnsi" w:cstheme="minorHAnsi"/>
                <w:b/>
              </w:rPr>
              <w:t>Prompt</w:t>
            </w:r>
          </w:p>
        </w:tc>
      </w:tr>
      <w:tr w:rsidR="00984485" w:rsidRPr="003F67AA" w14:paraId="6740740A" w14:textId="77777777" w:rsidTr="00E83A47">
        <w:trPr>
          <w:trHeight w:val="1048"/>
        </w:trPr>
        <w:tc>
          <w:tcPr>
            <w:tcW w:w="1632" w:type="dxa"/>
            <w:shd w:val="clear" w:color="auto" w:fill="auto"/>
            <w:vAlign w:val="center"/>
          </w:tcPr>
          <w:p w14:paraId="67407407"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Is it Safe?</w:t>
            </w:r>
          </w:p>
        </w:tc>
        <w:tc>
          <w:tcPr>
            <w:tcW w:w="1056" w:type="dxa"/>
            <w:shd w:val="clear" w:color="auto" w:fill="auto"/>
            <w:vAlign w:val="center"/>
          </w:tcPr>
          <w:p w14:paraId="67407408"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S2</w:t>
            </w:r>
          </w:p>
        </w:tc>
        <w:tc>
          <w:tcPr>
            <w:tcW w:w="6776" w:type="dxa"/>
            <w:shd w:val="clear" w:color="auto" w:fill="auto"/>
            <w:vAlign w:val="center"/>
          </w:tcPr>
          <w:p w14:paraId="67407409" w14:textId="77777777" w:rsidR="00984485" w:rsidRPr="003F67AA" w:rsidRDefault="00984485" w:rsidP="00E83A47">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Are people who use services told when they are affected by something that goes wrong, given an apology and informed of any actions taken as a result?</w:t>
            </w:r>
          </w:p>
        </w:tc>
      </w:tr>
      <w:tr w:rsidR="00984485" w:rsidRPr="003F67AA" w14:paraId="6740740E" w14:textId="77777777" w:rsidTr="00E83A47">
        <w:trPr>
          <w:trHeight w:val="693"/>
        </w:trPr>
        <w:tc>
          <w:tcPr>
            <w:tcW w:w="1632" w:type="dxa"/>
            <w:shd w:val="clear" w:color="auto" w:fill="auto"/>
            <w:vAlign w:val="center"/>
          </w:tcPr>
          <w:p w14:paraId="6740740B"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Is it Well Led?</w:t>
            </w:r>
          </w:p>
        </w:tc>
        <w:tc>
          <w:tcPr>
            <w:tcW w:w="1056" w:type="dxa"/>
            <w:shd w:val="clear" w:color="auto" w:fill="auto"/>
            <w:vAlign w:val="center"/>
          </w:tcPr>
          <w:p w14:paraId="6740740C" w14:textId="77777777" w:rsidR="00984485" w:rsidRPr="003F67AA" w:rsidRDefault="00984485" w:rsidP="00E83A47">
            <w:pPr>
              <w:pStyle w:val="Default"/>
              <w:rPr>
                <w:rFonts w:asciiTheme="minorHAnsi" w:hAnsiTheme="minorHAnsi" w:cstheme="minorHAnsi"/>
                <w:b/>
              </w:rPr>
            </w:pPr>
            <w:r w:rsidRPr="003F67AA">
              <w:rPr>
                <w:rFonts w:asciiTheme="minorHAnsi" w:hAnsiTheme="minorHAnsi" w:cstheme="minorHAnsi"/>
                <w:b/>
              </w:rPr>
              <w:t>W3</w:t>
            </w:r>
          </w:p>
        </w:tc>
        <w:tc>
          <w:tcPr>
            <w:tcW w:w="6776" w:type="dxa"/>
            <w:shd w:val="clear" w:color="auto" w:fill="auto"/>
            <w:vAlign w:val="center"/>
          </w:tcPr>
          <w:p w14:paraId="6740740D" w14:textId="234D5BE8" w:rsidR="00984485" w:rsidRPr="003F67AA" w:rsidRDefault="00984485" w:rsidP="00E83A47">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Does the culture encourage candour, </w:t>
            </w:r>
            <w:r w:rsidR="003F67AA" w:rsidRPr="003F67AA">
              <w:rPr>
                <w:rFonts w:asciiTheme="minorHAnsi" w:hAnsiTheme="minorHAnsi" w:cstheme="minorHAnsi"/>
                <w:color w:val="000000"/>
              </w:rPr>
              <w:t>openness,</w:t>
            </w:r>
            <w:r w:rsidRPr="003F67AA">
              <w:rPr>
                <w:rFonts w:asciiTheme="minorHAnsi" w:hAnsiTheme="minorHAnsi" w:cstheme="minorHAnsi"/>
                <w:color w:val="000000"/>
              </w:rPr>
              <w:t xml:space="preserve"> and honesty?</w:t>
            </w:r>
          </w:p>
        </w:tc>
      </w:tr>
    </w:tbl>
    <w:p w14:paraId="6740740F" w14:textId="77777777" w:rsidR="00984485" w:rsidRPr="003F67AA" w:rsidRDefault="00984485" w:rsidP="00984485">
      <w:pPr>
        <w:pStyle w:val="Default"/>
        <w:rPr>
          <w:rFonts w:asciiTheme="minorHAnsi" w:hAnsiTheme="minorHAnsi" w:cstheme="minorHAnsi"/>
        </w:rPr>
      </w:pPr>
    </w:p>
    <w:p w14:paraId="67407410"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CQC Inspections </w:t>
      </w:r>
      <w:proofErr w:type="gramStart"/>
      <w:r w:rsidRPr="003F67AA">
        <w:rPr>
          <w:rFonts w:asciiTheme="minorHAnsi" w:hAnsiTheme="minorHAnsi" w:cstheme="minorHAnsi"/>
        </w:rPr>
        <w:t>will</w:t>
      </w:r>
      <w:proofErr w:type="gramEnd"/>
      <w:r w:rsidRPr="003F67AA">
        <w:rPr>
          <w:rFonts w:asciiTheme="minorHAnsi" w:hAnsiTheme="minorHAnsi" w:cstheme="minorHAnsi"/>
        </w:rPr>
        <w:t xml:space="preserve"> report on “Duty of Candour” under the Key Question of Safety – if the care provided does not reflect the required characteristics of “Good” (as defined in the CQC Provider Handbook), then inspections are recommended to assess whether the service </w:t>
      </w:r>
      <w:r w:rsidRPr="003F67AA">
        <w:rPr>
          <w:rFonts w:asciiTheme="minorHAnsi" w:hAnsiTheme="minorHAnsi" w:cstheme="minorHAnsi"/>
        </w:rPr>
        <w:lastRenderedPageBreak/>
        <w:t>“Requires Improvement” or “Inadequate”, and whether there has been a breach of the regulation.</w:t>
      </w:r>
    </w:p>
    <w:p w14:paraId="67407411" w14:textId="77777777" w:rsidR="00984485" w:rsidRPr="003F67AA" w:rsidRDefault="00984485" w:rsidP="00984485">
      <w:pPr>
        <w:pStyle w:val="Default"/>
        <w:rPr>
          <w:rFonts w:asciiTheme="minorHAnsi" w:hAnsiTheme="minorHAnsi" w:cstheme="minorHAnsi"/>
        </w:rPr>
      </w:pPr>
    </w:p>
    <w:p w14:paraId="67407412"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As this is an issue that affects patient safety, any information received from a member of the public or Practice staff relating to Duty of Candour will be investigated in line with the CQC’s Safeguarding and Whistleblowing protocols where relevant.</w:t>
      </w:r>
    </w:p>
    <w:p w14:paraId="67407413" w14:textId="77777777" w:rsidR="00984485" w:rsidRPr="003F67AA" w:rsidRDefault="00984485" w:rsidP="00984485">
      <w:pPr>
        <w:pStyle w:val="Default"/>
        <w:rPr>
          <w:rFonts w:asciiTheme="minorHAnsi" w:hAnsiTheme="minorHAnsi" w:cstheme="minorHAnsi"/>
        </w:rPr>
      </w:pPr>
    </w:p>
    <w:p w14:paraId="67407414" w14:textId="77777777" w:rsidR="00984485" w:rsidRPr="003F67AA" w:rsidRDefault="00984485" w:rsidP="00984485">
      <w:pPr>
        <w:pStyle w:val="Default"/>
        <w:rPr>
          <w:rFonts w:asciiTheme="minorHAnsi" w:hAnsiTheme="minorHAnsi" w:cstheme="minorHAnsi"/>
          <w:b/>
          <w:color w:val="auto"/>
        </w:rPr>
      </w:pPr>
      <w:r w:rsidRPr="003F67AA">
        <w:rPr>
          <w:rFonts w:asciiTheme="minorHAnsi" w:hAnsiTheme="minorHAnsi" w:cstheme="minorHAnsi"/>
          <w:b/>
          <w:color w:val="auto"/>
        </w:rPr>
        <w:t>Recognising an Incident</w:t>
      </w:r>
    </w:p>
    <w:p w14:paraId="67407415" w14:textId="77777777" w:rsidR="00984485" w:rsidRPr="003F67AA" w:rsidRDefault="00984485" w:rsidP="00984485">
      <w:pPr>
        <w:pStyle w:val="Default"/>
        <w:rPr>
          <w:rFonts w:asciiTheme="minorHAnsi" w:hAnsiTheme="minorHAnsi" w:cstheme="minorHAnsi"/>
        </w:rPr>
      </w:pPr>
    </w:p>
    <w:p w14:paraId="67407416" w14:textId="77777777"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The relevance of the Duty of Candour begins with an acknowledgement that as the result of a safety incident, a patient has suffered moderate or major harm, or has died.</w:t>
      </w:r>
    </w:p>
    <w:p w14:paraId="67407417" w14:textId="77777777" w:rsidR="00984485" w:rsidRPr="003F67AA" w:rsidRDefault="00984485" w:rsidP="00984485">
      <w:pPr>
        <w:pStyle w:val="Default"/>
        <w:rPr>
          <w:rFonts w:asciiTheme="minorHAnsi" w:hAnsiTheme="minorHAnsi" w:cstheme="minorHAnsi"/>
        </w:rPr>
      </w:pPr>
    </w:p>
    <w:p w14:paraId="67407418" w14:textId="5F4F8CE2" w:rsidR="00984485" w:rsidRPr="003F67AA" w:rsidRDefault="00984485" w:rsidP="00984485">
      <w:pPr>
        <w:pStyle w:val="Default"/>
        <w:rPr>
          <w:rFonts w:asciiTheme="minorHAnsi" w:hAnsiTheme="minorHAnsi" w:cstheme="minorHAnsi"/>
        </w:rPr>
      </w:pPr>
      <w:r w:rsidRPr="003F67AA">
        <w:rPr>
          <w:rFonts w:asciiTheme="minorHAnsi" w:hAnsiTheme="minorHAnsi" w:cstheme="minorHAnsi"/>
        </w:rPr>
        <w:t xml:space="preserve">As soon as an incident has occurred or been </w:t>
      </w:r>
      <w:r w:rsidR="00344C01" w:rsidRPr="003F67AA">
        <w:rPr>
          <w:rFonts w:asciiTheme="minorHAnsi" w:hAnsiTheme="minorHAnsi" w:cstheme="minorHAnsi"/>
        </w:rPr>
        <w:t>identified.</w:t>
      </w:r>
      <w:r w:rsidRPr="003F67AA">
        <w:rPr>
          <w:rFonts w:asciiTheme="minorHAnsi" w:hAnsiTheme="minorHAnsi" w:cstheme="minorHAnsi"/>
        </w:rPr>
        <w:t xml:space="preserve"> </w:t>
      </w:r>
    </w:p>
    <w:p w14:paraId="67407419" w14:textId="77777777" w:rsidR="00984485" w:rsidRPr="003F67AA" w:rsidRDefault="00984485" w:rsidP="00984485">
      <w:pPr>
        <w:pStyle w:val="Default"/>
        <w:rPr>
          <w:rFonts w:asciiTheme="minorHAnsi" w:hAnsiTheme="minorHAnsi" w:cstheme="minorHAnsi"/>
        </w:rPr>
      </w:pPr>
    </w:p>
    <w:p w14:paraId="6740741A" w14:textId="77777777" w:rsidR="00984485" w:rsidRPr="003F67AA" w:rsidRDefault="00984485" w:rsidP="00984485">
      <w:pPr>
        <w:pStyle w:val="Default"/>
        <w:numPr>
          <w:ilvl w:val="0"/>
          <w:numId w:val="7"/>
        </w:numPr>
        <w:rPr>
          <w:rFonts w:asciiTheme="minorHAnsi" w:hAnsiTheme="minorHAnsi" w:cstheme="minorHAnsi"/>
        </w:rPr>
      </w:pPr>
      <w:r w:rsidRPr="003F67AA">
        <w:rPr>
          <w:rFonts w:asciiTheme="minorHAnsi" w:hAnsiTheme="minorHAnsi" w:cstheme="minorHAnsi"/>
        </w:rPr>
        <w:t xml:space="preserve">Clinical care must be administered to prevent further harm. </w:t>
      </w:r>
    </w:p>
    <w:p w14:paraId="6740741B" w14:textId="77777777" w:rsidR="00984485" w:rsidRPr="003F67AA" w:rsidRDefault="00984485" w:rsidP="00984485">
      <w:pPr>
        <w:pStyle w:val="Default"/>
        <w:rPr>
          <w:rFonts w:asciiTheme="minorHAnsi" w:hAnsiTheme="minorHAnsi" w:cstheme="minorHAnsi"/>
        </w:rPr>
      </w:pPr>
    </w:p>
    <w:p w14:paraId="6740741C" w14:textId="77777777" w:rsidR="00984485" w:rsidRPr="003F67AA" w:rsidRDefault="00984485" w:rsidP="00984485">
      <w:pPr>
        <w:pStyle w:val="Default"/>
        <w:numPr>
          <w:ilvl w:val="0"/>
          <w:numId w:val="7"/>
        </w:numPr>
        <w:rPr>
          <w:rFonts w:asciiTheme="minorHAnsi" w:hAnsiTheme="minorHAnsi" w:cstheme="minorHAnsi"/>
        </w:rPr>
      </w:pPr>
      <w:r w:rsidRPr="003F67AA">
        <w:rPr>
          <w:rFonts w:asciiTheme="minorHAnsi" w:hAnsiTheme="minorHAnsi" w:cstheme="minorHAnsi"/>
        </w:rPr>
        <w:t>If any additional treatment is necessary, it should happen as soon as reasonably practicable after discussing with the patient (or carer if the patient is unable to participate in discussion) and with the appropriate consent.</w:t>
      </w:r>
    </w:p>
    <w:p w14:paraId="6740741D" w14:textId="77777777" w:rsidR="00984485" w:rsidRPr="003F67AA" w:rsidRDefault="00984485" w:rsidP="00984485">
      <w:pPr>
        <w:pStyle w:val="Default"/>
        <w:rPr>
          <w:rFonts w:asciiTheme="minorHAnsi" w:hAnsiTheme="minorHAnsi" w:cstheme="minorHAnsi"/>
        </w:rPr>
      </w:pPr>
    </w:p>
    <w:p w14:paraId="6740741E"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Moderate / severe incidents, or any incidents that result in the death of a patient, must be reported to the patient or next of kin (with the appropriate consent) within a maximum of 10 working days from the incident being reported.</w:t>
      </w:r>
    </w:p>
    <w:p w14:paraId="6740741F" w14:textId="77777777" w:rsidR="00984485" w:rsidRPr="003F67AA" w:rsidRDefault="00984485" w:rsidP="00984485">
      <w:pPr>
        <w:pStyle w:val="Default"/>
        <w:rPr>
          <w:rFonts w:asciiTheme="minorHAnsi" w:hAnsiTheme="minorHAnsi" w:cstheme="minorHAnsi"/>
          <w:color w:val="auto"/>
        </w:rPr>
      </w:pPr>
    </w:p>
    <w:p w14:paraId="67407420" w14:textId="70FB9580"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initial notification of the incident must be verbal (face to face where possible</w:t>
      </w:r>
      <w:r w:rsidR="00344C01" w:rsidRPr="003F67AA">
        <w:rPr>
          <w:rFonts w:asciiTheme="minorHAnsi" w:hAnsiTheme="minorHAnsi" w:cstheme="minorHAnsi"/>
          <w:color w:val="auto"/>
        </w:rPr>
        <w:t>) unless</w:t>
      </w:r>
      <w:r w:rsidRPr="003F67AA">
        <w:rPr>
          <w:rFonts w:asciiTheme="minorHAnsi" w:hAnsiTheme="minorHAnsi" w:cstheme="minorHAnsi"/>
          <w:color w:val="auto"/>
        </w:rPr>
        <w:t xml:space="preserve"> the patient/carer/family cannot be contacted or decline notification.</w:t>
      </w:r>
    </w:p>
    <w:p w14:paraId="67407421" w14:textId="77777777" w:rsidR="00984485" w:rsidRPr="003F67AA" w:rsidRDefault="00984485" w:rsidP="00984485">
      <w:pPr>
        <w:pStyle w:val="Default"/>
        <w:rPr>
          <w:rFonts w:asciiTheme="minorHAnsi" w:hAnsiTheme="minorHAnsi" w:cstheme="minorHAnsi"/>
          <w:color w:val="auto"/>
        </w:rPr>
      </w:pPr>
    </w:p>
    <w:p w14:paraId="67407422"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An explanation and a sincere expression of apology must be provided verbally and recorded. At the time of the incident, an initial apology and explanation must be given.</w:t>
      </w:r>
    </w:p>
    <w:p w14:paraId="67407423" w14:textId="77777777" w:rsidR="00984485" w:rsidRPr="003F67AA" w:rsidRDefault="00984485" w:rsidP="00984485">
      <w:pPr>
        <w:pStyle w:val="Default"/>
        <w:rPr>
          <w:rFonts w:asciiTheme="minorHAnsi" w:hAnsiTheme="minorHAnsi" w:cstheme="minorHAnsi"/>
          <w:color w:val="auto"/>
        </w:rPr>
      </w:pPr>
    </w:p>
    <w:p w14:paraId="67407424"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Patient/Carer must be offered a written notification of the incident along with a sincere apology.</w:t>
      </w:r>
    </w:p>
    <w:p w14:paraId="67407425" w14:textId="77777777" w:rsidR="00984485" w:rsidRPr="003F67AA" w:rsidRDefault="00984485" w:rsidP="00984485">
      <w:pPr>
        <w:pStyle w:val="Default"/>
        <w:rPr>
          <w:rFonts w:asciiTheme="minorHAnsi" w:hAnsiTheme="minorHAnsi" w:cstheme="minorHAnsi"/>
          <w:color w:val="auto"/>
        </w:rPr>
      </w:pPr>
    </w:p>
    <w:p w14:paraId="67407426" w14:textId="591EAAC1"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A </w:t>
      </w:r>
      <w:r w:rsidR="00344C01" w:rsidRPr="003F67AA">
        <w:rPr>
          <w:rFonts w:asciiTheme="minorHAnsi" w:hAnsiTheme="minorHAnsi" w:cstheme="minorHAnsi"/>
          <w:color w:val="auto"/>
        </w:rPr>
        <w:t>step-by-step</w:t>
      </w:r>
      <w:r w:rsidRPr="003F67AA">
        <w:rPr>
          <w:rFonts w:asciiTheme="minorHAnsi" w:hAnsiTheme="minorHAnsi" w:cstheme="minorHAnsi"/>
          <w:color w:val="auto"/>
        </w:rPr>
        <w:t xml:space="preserve"> explanation of the incident must be offered as soon as it is practicably possible, even if this is an initial view pending investigation of the incident.</w:t>
      </w:r>
    </w:p>
    <w:p w14:paraId="67407427" w14:textId="77777777" w:rsidR="00984485" w:rsidRPr="003F67AA" w:rsidRDefault="00984485" w:rsidP="00984485">
      <w:pPr>
        <w:pStyle w:val="Default"/>
        <w:rPr>
          <w:rFonts w:asciiTheme="minorHAnsi" w:hAnsiTheme="minorHAnsi" w:cstheme="minorHAnsi"/>
          <w:color w:val="auto"/>
        </w:rPr>
      </w:pPr>
    </w:p>
    <w:p w14:paraId="67407428"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Practice must maintain full written documentation of any letters, discussions, meetings during this investigation, including the response from any of the patients/carers. If any meetings or interviews are offered and declined, then there must be a record of this.</w:t>
      </w:r>
    </w:p>
    <w:p w14:paraId="67407429" w14:textId="77777777" w:rsidR="00984485" w:rsidRPr="003F67AA" w:rsidRDefault="00984485" w:rsidP="00984485">
      <w:pPr>
        <w:pStyle w:val="Default"/>
        <w:rPr>
          <w:rFonts w:asciiTheme="minorHAnsi" w:hAnsiTheme="minorHAnsi" w:cstheme="minorHAnsi"/>
          <w:color w:val="auto"/>
        </w:rPr>
      </w:pPr>
    </w:p>
    <w:p w14:paraId="6740742A"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Once the investigation has been completed and a final report has been made, the results should be shared with patient/relatives/carers within 10 working days.</w:t>
      </w:r>
    </w:p>
    <w:p w14:paraId="6740742B" w14:textId="77777777" w:rsidR="00984485" w:rsidRPr="003F67AA" w:rsidRDefault="00984485" w:rsidP="00984485">
      <w:pPr>
        <w:pStyle w:val="Default"/>
        <w:rPr>
          <w:rFonts w:asciiTheme="minorHAnsi" w:hAnsiTheme="minorHAnsi" w:cstheme="minorHAnsi"/>
          <w:b/>
          <w:color w:val="auto"/>
          <w:u w:val="single"/>
        </w:rPr>
      </w:pPr>
      <w:r w:rsidRPr="003F67AA">
        <w:rPr>
          <w:rFonts w:asciiTheme="minorHAnsi" w:hAnsiTheme="minorHAnsi" w:cstheme="minorHAnsi"/>
          <w:b/>
          <w:color w:val="auto"/>
          <w:u w:val="single"/>
        </w:rPr>
        <w:br w:type="page"/>
      </w:r>
      <w:r w:rsidRPr="003F67AA">
        <w:rPr>
          <w:rFonts w:asciiTheme="minorHAnsi" w:hAnsiTheme="minorHAnsi" w:cstheme="minorHAnsi"/>
          <w:b/>
          <w:color w:val="auto"/>
        </w:rPr>
        <w:lastRenderedPageBreak/>
        <w:t xml:space="preserve">Summary of CQC Regulation </w:t>
      </w:r>
      <w:proofErr w:type="gramStart"/>
      <w:r w:rsidRPr="003F67AA">
        <w:rPr>
          <w:rFonts w:asciiTheme="minorHAnsi" w:hAnsiTheme="minorHAnsi" w:cstheme="minorHAnsi"/>
          <w:b/>
          <w:color w:val="auto"/>
        </w:rPr>
        <w:t>20 :</w:t>
      </w:r>
      <w:proofErr w:type="gramEnd"/>
      <w:r w:rsidRPr="003F67AA">
        <w:rPr>
          <w:rFonts w:asciiTheme="minorHAnsi" w:hAnsiTheme="minorHAnsi" w:cstheme="minorHAnsi"/>
          <w:b/>
          <w:color w:val="auto"/>
        </w:rPr>
        <w:t xml:space="preserve"> Duty of Candour</w:t>
      </w:r>
    </w:p>
    <w:p w14:paraId="6740742C" w14:textId="77777777" w:rsidR="00984485" w:rsidRPr="003F67AA" w:rsidRDefault="00984485" w:rsidP="00984485">
      <w:pPr>
        <w:pStyle w:val="Default"/>
        <w:rPr>
          <w:rFonts w:asciiTheme="minorHAnsi" w:hAnsiTheme="minorHAnsi" w:cstheme="minorHAnsi"/>
          <w:color w:val="FF0000"/>
        </w:rPr>
      </w:pPr>
    </w:p>
    <w:p w14:paraId="6740742D"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When a notifiable safety incident has occurred, the relevant person must be informed as soon as reasonably practicable after the incident has been identified, </w:t>
      </w:r>
      <w:r w:rsidRPr="003F67AA">
        <w:rPr>
          <w:rFonts w:asciiTheme="minorHAnsi" w:hAnsiTheme="minorHAnsi" w:cstheme="minorHAnsi"/>
          <w:b/>
          <w:color w:val="auto"/>
        </w:rPr>
        <w:t>up to a maximum of 10 working days (as per the NHS Standard Contract)</w:t>
      </w:r>
      <w:r w:rsidRPr="003F67AA">
        <w:rPr>
          <w:rFonts w:asciiTheme="minorHAnsi" w:hAnsiTheme="minorHAnsi" w:cstheme="minorHAnsi"/>
          <w:color w:val="auto"/>
        </w:rPr>
        <w:t xml:space="preserve">. </w:t>
      </w:r>
    </w:p>
    <w:p w14:paraId="6740742E" w14:textId="77777777" w:rsidR="00984485" w:rsidRPr="003F67AA" w:rsidRDefault="00984485" w:rsidP="00984485">
      <w:pPr>
        <w:pStyle w:val="Default"/>
        <w:rPr>
          <w:rFonts w:asciiTheme="minorHAnsi" w:hAnsiTheme="minorHAnsi" w:cstheme="minorHAnsi"/>
          <w:color w:val="auto"/>
        </w:rPr>
      </w:pPr>
    </w:p>
    <w:p w14:paraId="6740742F"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All staff must have responsibility to adhere to that organisation’s policies and procedures around duty of candour, regardless of their level of seniority or whether they are permanent, temporary/casual members of staff.</w:t>
      </w:r>
    </w:p>
    <w:p w14:paraId="67407430" w14:textId="77777777" w:rsidR="00984485" w:rsidRPr="003F67AA" w:rsidRDefault="00984485" w:rsidP="00984485">
      <w:pPr>
        <w:pStyle w:val="Default"/>
        <w:rPr>
          <w:rFonts w:asciiTheme="minorHAnsi" w:hAnsiTheme="minorHAnsi" w:cstheme="minorHAnsi"/>
          <w:color w:val="auto"/>
        </w:rPr>
      </w:pPr>
    </w:p>
    <w:p w14:paraId="67407431" w14:textId="5B273C2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The ‘Being Open Framework’ provides guidance on how to ensure good communication with the patient, their </w:t>
      </w:r>
      <w:r w:rsidR="00344C01" w:rsidRPr="003F67AA">
        <w:rPr>
          <w:rFonts w:asciiTheme="minorHAnsi" w:hAnsiTheme="minorHAnsi" w:cstheme="minorHAnsi"/>
          <w:color w:val="auto"/>
        </w:rPr>
        <w:t>families,</w:t>
      </w:r>
      <w:r w:rsidRPr="003F67AA">
        <w:rPr>
          <w:rFonts w:asciiTheme="minorHAnsi" w:hAnsiTheme="minorHAnsi" w:cstheme="minorHAnsi"/>
          <w:color w:val="auto"/>
        </w:rPr>
        <w:t xml:space="preserve"> and carers.</w:t>
      </w:r>
    </w:p>
    <w:p w14:paraId="67407432" w14:textId="77777777" w:rsidR="00984485" w:rsidRPr="003F67AA" w:rsidRDefault="00984485" w:rsidP="00984485">
      <w:pPr>
        <w:pStyle w:val="Default"/>
        <w:rPr>
          <w:rFonts w:asciiTheme="minorHAnsi" w:hAnsiTheme="minorHAnsi" w:cstheme="minorHAnsi"/>
          <w:color w:val="auto"/>
        </w:rPr>
      </w:pPr>
    </w:p>
    <w:p w14:paraId="67407433"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b/>
          <w:color w:val="auto"/>
        </w:rPr>
        <w:t>Regulation 20</w:t>
      </w:r>
      <w:r w:rsidRPr="003F67AA">
        <w:rPr>
          <w:rFonts w:asciiTheme="minorHAnsi" w:hAnsiTheme="minorHAnsi" w:cstheme="minorHAnsi"/>
          <w:color w:val="auto"/>
        </w:rPr>
        <w:t xml:space="preserve"> defines what constitutes a notifiable safety incident. It includes incidents that could result in, or appear to have resulted in, the death of the person using the service or severe harm, moderate harm, or prolonged psychological harm.</w:t>
      </w:r>
    </w:p>
    <w:p w14:paraId="67407434" w14:textId="77777777" w:rsidR="00984485" w:rsidRPr="003F67AA" w:rsidRDefault="00984485" w:rsidP="00984485">
      <w:pPr>
        <w:pStyle w:val="Default"/>
        <w:rPr>
          <w:rFonts w:asciiTheme="minorHAnsi" w:hAnsiTheme="minorHAnsi" w:cstheme="minorHAnsi"/>
          <w:color w:val="auto"/>
        </w:rPr>
      </w:pPr>
    </w:p>
    <w:p w14:paraId="67407435"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Where the degree of harm is not yet clear, the relevant person must be informed of the notifiable safety incident in line with the requirements of the regulation.</w:t>
      </w:r>
    </w:p>
    <w:p w14:paraId="67407436" w14:textId="77777777" w:rsidR="00984485" w:rsidRPr="003F67AA" w:rsidRDefault="00984485" w:rsidP="00984485">
      <w:pPr>
        <w:pStyle w:val="Default"/>
        <w:rPr>
          <w:rFonts w:asciiTheme="minorHAnsi" w:hAnsiTheme="minorHAnsi" w:cstheme="minorHAnsi"/>
          <w:color w:val="auto"/>
        </w:rPr>
      </w:pPr>
    </w:p>
    <w:p w14:paraId="67407437"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Practice is not required by the regulation to inform a person using the service when a ‘near miss’ has occurred, and the incident has resulted in no harm to that person.</w:t>
      </w:r>
    </w:p>
    <w:p w14:paraId="67407438" w14:textId="77777777" w:rsidR="00984485" w:rsidRPr="003F67AA" w:rsidRDefault="00984485" w:rsidP="00984485">
      <w:pPr>
        <w:pStyle w:val="Default"/>
        <w:rPr>
          <w:rFonts w:asciiTheme="minorHAnsi" w:hAnsiTheme="minorHAnsi" w:cstheme="minorHAnsi"/>
          <w:color w:val="auto"/>
        </w:rPr>
      </w:pPr>
    </w:p>
    <w:p w14:paraId="67407439"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There must be appropriate arrangements place to notify the person using the service who is affected by an incident if they </w:t>
      </w:r>
      <w:proofErr w:type="gramStart"/>
      <w:r w:rsidRPr="003F67AA">
        <w:rPr>
          <w:rFonts w:asciiTheme="minorHAnsi" w:hAnsiTheme="minorHAnsi" w:cstheme="minorHAnsi"/>
          <w:color w:val="auto"/>
        </w:rPr>
        <w:t>are;</w:t>
      </w:r>
      <w:proofErr w:type="gramEnd"/>
    </w:p>
    <w:p w14:paraId="6740743A" w14:textId="77777777" w:rsidR="00984485" w:rsidRPr="003F67AA" w:rsidRDefault="00984485" w:rsidP="00984485">
      <w:pPr>
        <w:pStyle w:val="Default"/>
        <w:numPr>
          <w:ilvl w:val="0"/>
          <w:numId w:val="6"/>
        </w:numPr>
        <w:rPr>
          <w:rFonts w:asciiTheme="minorHAnsi" w:hAnsiTheme="minorHAnsi" w:cstheme="minorHAnsi"/>
          <w:color w:val="auto"/>
        </w:rPr>
      </w:pPr>
      <w:r w:rsidRPr="003F67AA">
        <w:rPr>
          <w:rFonts w:asciiTheme="minorHAnsi" w:hAnsiTheme="minorHAnsi" w:cstheme="minorHAnsi"/>
          <w:b/>
          <w:color w:val="auto"/>
        </w:rPr>
        <w:t>16 years and over</w:t>
      </w:r>
      <w:r w:rsidRPr="003F67AA">
        <w:rPr>
          <w:rFonts w:asciiTheme="minorHAnsi" w:hAnsiTheme="minorHAnsi" w:cstheme="minorHAnsi"/>
          <w:color w:val="auto"/>
        </w:rPr>
        <w:t xml:space="preserve"> and </w:t>
      </w:r>
    </w:p>
    <w:p w14:paraId="6740743B" w14:textId="77777777" w:rsidR="00984485" w:rsidRPr="003F67AA" w:rsidRDefault="00984485" w:rsidP="00984485">
      <w:pPr>
        <w:pStyle w:val="Default"/>
        <w:numPr>
          <w:ilvl w:val="0"/>
          <w:numId w:val="6"/>
        </w:numPr>
        <w:rPr>
          <w:rFonts w:asciiTheme="minorHAnsi" w:hAnsiTheme="minorHAnsi" w:cstheme="minorHAnsi"/>
          <w:color w:val="auto"/>
        </w:rPr>
      </w:pPr>
      <w:r w:rsidRPr="003F67AA">
        <w:rPr>
          <w:rFonts w:asciiTheme="minorHAnsi" w:hAnsiTheme="minorHAnsi" w:cstheme="minorHAnsi"/>
          <w:b/>
          <w:color w:val="auto"/>
        </w:rPr>
        <w:t xml:space="preserve">lack capacity to </w:t>
      </w:r>
      <w:proofErr w:type="gramStart"/>
      <w:r w:rsidRPr="003F67AA">
        <w:rPr>
          <w:rFonts w:asciiTheme="minorHAnsi" w:hAnsiTheme="minorHAnsi" w:cstheme="minorHAnsi"/>
          <w:b/>
          <w:color w:val="auto"/>
        </w:rPr>
        <w:t>make a decision</w:t>
      </w:r>
      <w:proofErr w:type="gramEnd"/>
      <w:r w:rsidRPr="003F67AA">
        <w:rPr>
          <w:rFonts w:asciiTheme="minorHAnsi" w:hAnsiTheme="minorHAnsi" w:cstheme="minorHAnsi"/>
          <w:b/>
          <w:color w:val="auto"/>
        </w:rPr>
        <w:t xml:space="preserve"> regarding their care or treatment</w:t>
      </w:r>
      <w:r w:rsidRPr="003F67AA">
        <w:rPr>
          <w:rFonts w:asciiTheme="minorHAnsi" w:hAnsiTheme="minorHAnsi" w:cstheme="minorHAnsi"/>
          <w:color w:val="auto"/>
        </w:rPr>
        <w:t xml:space="preserve"> (as determined in accordance with sections 2 and 3 of the 2005 Mental Capacity Act)</w:t>
      </w:r>
    </w:p>
    <w:p w14:paraId="6740743C"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this includes ensuring that a person acting lawfully on their behalf (e.g. persons acting as Carer) is notified as the relevant person.</w:t>
      </w:r>
    </w:p>
    <w:p w14:paraId="6740743D" w14:textId="77777777" w:rsidR="00984485" w:rsidRPr="003F67AA" w:rsidRDefault="00984485" w:rsidP="00984485">
      <w:pPr>
        <w:pStyle w:val="Default"/>
        <w:rPr>
          <w:rFonts w:asciiTheme="minorHAnsi" w:hAnsiTheme="minorHAnsi" w:cstheme="minorHAnsi"/>
          <w:color w:val="auto"/>
        </w:rPr>
      </w:pPr>
    </w:p>
    <w:p w14:paraId="6740743E"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A person acting lawfully on behalf of the person (e.g. persons acting as Carer) using the service must be notified as the relevant person where the person using the service is under 16 and not competent to </w:t>
      </w:r>
      <w:proofErr w:type="gramStart"/>
      <w:r w:rsidRPr="003F67AA">
        <w:rPr>
          <w:rFonts w:asciiTheme="minorHAnsi" w:hAnsiTheme="minorHAnsi" w:cstheme="minorHAnsi"/>
          <w:color w:val="auto"/>
        </w:rPr>
        <w:t>make a decision</w:t>
      </w:r>
      <w:proofErr w:type="gramEnd"/>
      <w:r w:rsidRPr="003F67AA">
        <w:rPr>
          <w:rFonts w:asciiTheme="minorHAnsi" w:hAnsiTheme="minorHAnsi" w:cstheme="minorHAnsi"/>
          <w:color w:val="auto"/>
        </w:rPr>
        <w:t xml:space="preserve"> regarding their care or treatment.</w:t>
      </w:r>
    </w:p>
    <w:p w14:paraId="6740743F" w14:textId="77777777" w:rsidR="00984485" w:rsidRPr="003F67AA" w:rsidRDefault="00984485" w:rsidP="00984485">
      <w:pPr>
        <w:pStyle w:val="Default"/>
        <w:rPr>
          <w:rFonts w:asciiTheme="minorHAnsi" w:hAnsiTheme="minorHAnsi" w:cstheme="minorHAnsi"/>
          <w:color w:val="auto"/>
        </w:rPr>
      </w:pPr>
    </w:p>
    <w:p w14:paraId="67407440"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A person acting lawfully on behalf of the person (e.g. persons acting as Carer) using the service must be notified as the relevant person, upon the death of the person using the service.</w:t>
      </w:r>
    </w:p>
    <w:p w14:paraId="67407441" w14:textId="77777777" w:rsidR="00984485" w:rsidRPr="003F67AA" w:rsidRDefault="00984485" w:rsidP="00984485">
      <w:pPr>
        <w:autoSpaceDE w:val="0"/>
        <w:autoSpaceDN w:val="0"/>
        <w:adjustRightInd w:val="0"/>
        <w:rPr>
          <w:rFonts w:asciiTheme="minorHAnsi" w:hAnsiTheme="minorHAnsi" w:cstheme="minorHAnsi"/>
        </w:rPr>
      </w:pPr>
    </w:p>
    <w:p w14:paraId="67407442"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Other than the situations outlined above, information should only be disclosed to family members or carers where the person using the service has given their express or implied consent. </w:t>
      </w:r>
    </w:p>
    <w:p w14:paraId="67407443" w14:textId="77777777" w:rsidR="00984485" w:rsidRPr="003F67AA" w:rsidRDefault="00984485" w:rsidP="00984485">
      <w:pPr>
        <w:autoSpaceDE w:val="0"/>
        <w:autoSpaceDN w:val="0"/>
        <w:adjustRightInd w:val="0"/>
        <w:rPr>
          <w:rFonts w:asciiTheme="minorHAnsi" w:hAnsiTheme="minorHAnsi" w:cstheme="minorHAnsi"/>
          <w:color w:val="000000"/>
        </w:rPr>
      </w:pPr>
    </w:p>
    <w:p w14:paraId="67407444"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A step-by-step account of all relevant facts known about the incident at the time must be given, in person, by one or more appropriate representatives of the Practice. This should </w:t>
      </w:r>
      <w:r w:rsidRPr="003F67AA">
        <w:rPr>
          <w:rFonts w:asciiTheme="minorHAnsi" w:hAnsiTheme="minorHAnsi" w:cstheme="minorHAnsi"/>
          <w:color w:val="000000"/>
        </w:rPr>
        <w:lastRenderedPageBreak/>
        <w:t xml:space="preserve">include as much or as little information as the relevant person wants to know, be jargon free and explain any complicated terms. </w:t>
      </w:r>
    </w:p>
    <w:p w14:paraId="67407445" w14:textId="77777777" w:rsidR="00984485" w:rsidRPr="003F67AA" w:rsidRDefault="00984485" w:rsidP="00984485">
      <w:pPr>
        <w:autoSpaceDE w:val="0"/>
        <w:autoSpaceDN w:val="0"/>
        <w:adjustRightInd w:val="0"/>
        <w:rPr>
          <w:rFonts w:asciiTheme="minorHAnsi" w:hAnsiTheme="minorHAnsi" w:cstheme="minorHAnsi"/>
          <w:color w:val="000000"/>
        </w:rPr>
      </w:pPr>
    </w:p>
    <w:p w14:paraId="67407446"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The account of the facts must be given in a manner that the relevant person can understand. For example, the Practice should consider whether interpreters, advocates, communication aids etc. should be used, while being conscious of any potential breaches of confidentiality in doing so. </w:t>
      </w:r>
    </w:p>
    <w:p w14:paraId="67407447" w14:textId="77777777" w:rsidR="00984485" w:rsidRPr="003F67AA" w:rsidRDefault="00984485" w:rsidP="00984485">
      <w:pPr>
        <w:autoSpaceDE w:val="0"/>
        <w:autoSpaceDN w:val="0"/>
        <w:adjustRightInd w:val="0"/>
        <w:rPr>
          <w:rFonts w:asciiTheme="minorHAnsi" w:hAnsiTheme="minorHAnsi" w:cstheme="minorHAnsi"/>
          <w:color w:val="000000"/>
        </w:rPr>
      </w:pPr>
    </w:p>
    <w:p w14:paraId="67407448"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The Practice must also explain to the relevant person what further enquiries they will make. </w:t>
      </w:r>
    </w:p>
    <w:p w14:paraId="67407449" w14:textId="77777777" w:rsidR="00984485" w:rsidRPr="003F67AA" w:rsidRDefault="00984485" w:rsidP="00984485">
      <w:pPr>
        <w:autoSpaceDE w:val="0"/>
        <w:autoSpaceDN w:val="0"/>
        <w:adjustRightInd w:val="0"/>
        <w:rPr>
          <w:rFonts w:asciiTheme="minorHAnsi" w:hAnsiTheme="minorHAnsi" w:cstheme="minorHAnsi"/>
          <w:color w:val="000000"/>
        </w:rPr>
      </w:pPr>
    </w:p>
    <w:p w14:paraId="6740744A" w14:textId="3F431322"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The Practice must ensure that a meaningful apology is given, in person, by one or more appropriate representatives of the Practice to relevant persons. An apology is defined in the regulation as an expression of sorrow or regret. </w:t>
      </w:r>
    </w:p>
    <w:p w14:paraId="6740744B" w14:textId="77777777" w:rsidR="00984485" w:rsidRPr="003F67AA" w:rsidRDefault="00984485" w:rsidP="00984485">
      <w:pPr>
        <w:autoSpaceDE w:val="0"/>
        <w:autoSpaceDN w:val="0"/>
        <w:adjustRightInd w:val="0"/>
        <w:rPr>
          <w:rFonts w:asciiTheme="minorHAnsi" w:hAnsiTheme="minorHAnsi" w:cstheme="minorHAnsi"/>
          <w:color w:val="000000"/>
        </w:rPr>
      </w:pPr>
    </w:p>
    <w:p w14:paraId="6740744C"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In </w:t>
      </w:r>
      <w:proofErr w:type="gramStart"/>
      <w:r w:rsidRPr="003F67AA">
        <w:rPr>
          <w:rFonts w:asciiTheme="minorHAnsi" w:hAnsiTheme="minorHAnsi" w:cstheme="minorHAnsi"/>
          <w:color w:val="000000"/>
        </w:rPr>
        <w:t>making a decision</w:t>
      </w:r>
      <w:proofErr w:type="gramEnd"/>
      <w:r w:rsidRPr="003F67AA">
        <w:rPr>
          <w:rFonts w:asciiTheme="minorHAnsi" w:hAnsiTheme="minorHAnsi" w:cstheme="minorHAnsi"/>
          <w:color w:val="000000"/>
        </w:rPr>
        <w:t xml:space="preserve"> about who is most appropriate to provide the notification and/or apology, the Practice should consider seniority, relationship to the person using the service, and experience and expertise in the type of notifiable incident that has occurred. The Being Open Framework referenced below provides guidance on this. </w:t>
      </w:r>
    </w:p>
    <w:p w14:paraId="6740744D" w14:textId="77777777" w:rsidR="00984485" w:rsidRPr="003F67AA" w:rsidRDefault="00984485" w:rsidP="00984485">
      <w:pPr>
        <w:pStyle w:val="Default"/>
        <w:rPr>
          <w:rFonts w:asciiTheme="minorHAnsi" w:hAnsiTheme="minorHAnsi" w:cstheme="minorHAnsi"/>
          <w:color w:val="auto"/>
        </w:rPr>
      </w:pPr>
    </w:p>
    <w:p w14:paraId="6740744E" w14:textId="1E8D80D9"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The </w:t>
      </w:r>
      <w:r w:rsidRPr="003F67AA">
        <w:rPr>
          <w:rFonts w:asciiTheme="minorHAnsi" w:hAnsiTheme="minorHAnsi" w:cstheme="minorHAnsi"/>
        </w:rPr>
        <w:t xml:space="preserve">Practice </w:t>
      </w:r>
      <w:r w:rsidRPr="003F67AA">
        <w:rPr>
          <w:rFonts w:asciiTheme="minorHAnsi" w:hAnsiTheme="minorHAnsi" w:cstheme="minorHAnsi"/>
          <w:color w:val="auto"/>
        </w:rPr>
        <w:t xml:space="preserve">must give the relevant person all reasonable support necessary to help overcome the physical, </w:t>
      </w:r>
      <w:r w:rsidR="00344C01" w:rsidRPr="003F67AA">
        <w:rPr>
          <w:rFonts w:asciiTheme="minorHAnsi" w:hAnsiTheme="minorHAnsi" w:cstheme="minorHAnsi"/>
          <w:color w:val="auto"/>
        </w:rPr>
        <w:t>psychological,</w:t>
      </w:r>
      <w:r w:rsidRPr="003F67AA">
        <w:rPr>
          <w:rFonts w:asciiTheme="minorHAnsi" w:hAnsiTheme="minorHAnsi" w:cstheme="minorHAnsi"/>
          <w:color w:val="auto"/>
        </w:rPr>
        <w:t xml:space="preserve"> and emotional impact of the incident.</w:t>
      </w:r>
    </w:p>
    <w:p w14:paraId="6740744F" w14:textId="77777777" w:rsidR="00984485" w:rsidRPr="003F67AA" w:rsidRDefault="00984485" w:rsidP="00984485">
      <w:pPr>
        <w:pStyle w:val="Default"/>
        <w:rPr>
          <w:rFonts w:asciiTheme="minorHAnsi" w:hAnsiTheme="minorHAnsi" w:cstheme="minorHAnsi"/>
          <w:color w:val="auto"/>
        </w:rPr>
      </w:pPr>
    </w:p>
    <w:p w14:paraId="67407450"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This could include all or some of the following:</w:t>
      </w:r>
    </w:p>
    <w:p w14:paraId="67407451" w14:textId="17196388" w:rsidR="00984485" w:rsidRPr="003F67AA" w:rsidRDefault="00984485" w:rsidP="003F67AA">
      <w:pPr>
        <w:pStyle w:val="Default"/>
        <w:numPr>
          <w:ilvl w:val="0"/>
          <w:numId w:val="8"/>
        </w:numPr>
        <w:rPr>
          <w:rFonts w:asciiTheme="minorHAnsi" w:hAnsiTheme="minorHAnsi" w:cstheme="minorHAnsi"/>
          <w:color w:val="auto"/>
        </w:rPr>
      </w:pPr>
      <w:r w:rsidRPr="003F67AA">
        <w:rPr>
          <w:rFonts w:asciiTheme="minorHAnsi" w:hAnsiTheme="minorHAnsi" w:cstheme="minorHAnsi"/>
          <w:color w:val="auto"/>
        </w:rPr>
        <w:t xml:space="preserve">Treating them with respect, </w:t>
      </w:r>
      <w:r w:rsidR="003F67AA" w:rsidRPr="003F67AA">
        <w:rPr>
          <w:rFonts w:asciiTheme="minorHAnsi" w:hAnsiTheme="minorHAnsi" w:cstheme="minorHAnsi"/>
          <w:color w:val="auto"/>
        </w:rPr>
        <w:t>consideration,</w:t>
      </w:r>
      <w:r w:rsidRPr="003F67AA">
        <w:rPr>
          <w:rFonts w:asciiTheme="minorHAnsi" w:hAnsiTheme="minorHAnsi" w:cstheme="minorHAnsi"/>
          <w:color w:val="auto"/>
        </w:rPr>
        <w:t xml:space="preserve"> and empathy.</w:t>
      </w:r>
    </w:p>
    <w:p w14:paraId="67407452" w14:textId="3746362C"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 xml:space="preserve">Offering the option of direct emotional support during the notifications, for example from a family member, a friend, a care </w:t>
      </w:r>
      <w:r w:rsidR="003F67AA" w:rsidRPr="003F67AA">
        <w:rPr>
          <w:rFonts w:asciiTheme="minorHAnsi" w:hAnsiTheme="minorHAnsi" w:cstheme="minorHAnsi"/>
          <w:color w:val="auto"/>
        </w:rPr>
        <w:t>professional,</w:t>
      </w:r>
      <w:r w:rsidRPr="003F67AA">
        <w:rPr>
          <w:rFonts w:asciiTheme="minorHAnsi" w:hAnsiTheme="minorHAnsi" w:cstheme="minorHAnsi"/>
          <w:color w:val="auto"/>
        </w:rPr>
        <w:t xml:space="preserve"> or a trained advocate.</w:t>
      </w:r>
    </w:p>
    <w:p w14:paraId="67407453"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Offering access to assistance with understanding what is being said e.g. via interpretative services, non-verbal communication aids, written information, Braille etc.</w:t>
      </w:r>
    </w:p>
    <w:p w14:paraId="67407454"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Providing access to any necessary treatment and care to recover from or minimise the harm caused where appropriate.</w:t>
      </w:r>
    </w:p>
    <w:p w14:paraId="67407455"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Providing the relevant person with details of specialist independent sources of practical advice and support or emotional support/counselling.</w:t>
      </w:r>
    </w:p>
    <w:p w14:paraId="67407456"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 xml:space="preserve">Providing the relevant person with information about available impartial advocacy and support services, their local </w:t>
      </w:r>
      <w:r w:rsidRPr="003F67AA">
        <w:rPr>
          <w:rFonts w:asciiTheme="minorHAnsi" w:hAnsiTheme="minorHAnsi" w:cstheme="minorHAnsi"/>
          <w:b/>
          <w:color w:val="auto"/>
        </w:rPr>
        <w:t>Healthwatch</w:t>
      </w:r>
      <w:r w:rsidRPr="003F67AA">
        <w:rPr>
          <w:rFonts w:asciiTheme="minorHAnsi" w:hAnsiTheme="minorHAnsi" w:cstheme="minorHAnsi"/>
          <w:color w:val="auto"/>
        </w:rPr>
        <w:t xml:space="preserve"> and other relevant support groups, for example </w:t>
      </w:r>
      <w:r w:rsidRPr="003F67AA">
        <w:rPr>
          <w:rFonts w:asciiTheme="minorHAnsi" w:hAnsiTheme="minorHAnsi" w:cstheme="minorHAnsi"/>
          <w:b/>
          <w:color w:val="auto"/>
        </w:rPr>
        <w:t>Cruse Bereavement Care and Action against Medical Accidents (</w:t>
      </w:r>
      <w:proofErr w:type="spellStart"/>
      <w:r w:rsidRPr="003F67AA">
        <w:rPr>
          <w:rFonts w:asciiTheme="minorHAnsi" w:hAnsiTheme="minorHAnsi" w:cstheme="minorHAnsi"/>
          <w:b/>
          <w:color w:val="auto"/>
        </w:rPr>
        <w:t>AvMA</w:t>
      </w:r>
      <w:proofErr w:type="spellEnd"/>
      <w:r w:rsidRPr="003F67AA">
        <w:rPr>
          <w:rFonts w:asciiTheme="minorHAnsi" w:hAnsiTheme="minorHAnsi" w:cstheme="minorHAnsi"/>
          <w:b/>
          <w:color w:val="auto"/>
        </w:rPr>
        <w:t>)</w:t>
      </w:r>
      <w:r w:rsidRPr="003F67AA">
        <w:rPr>
          <w:rFonts w:asciiTheme="minorHAnsi" w:hAnsiTheme="minorHAnsi" w:cstheme="minorHAnsi"/>
          <w:color w:val="auto"/>
        </w:rPr>
        <w:t>, to help them deal with the outcome of the incident.</w:t>
      </w:r>
    </w:p>
    <w:p w14:paraId="67407457"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Arranging for care and treatment to be delivered by another professional, team or provider if this is possible, should the relevant person wish.</w:t>
      </w:r>
    </w:p>
    <w:p w14:paraId="67407458" w14:textId="77777777" w:rsidR="00984485" w:rsidRPr="003F67AA" w:rsidRDefault="00984485" w:rsidP="00984485">
      <w:pPr>
        <w:pStyle w:val="Default"/>
        <w:numPr>
          <w:ilvl w:val="0"/>
          <w:numId w:val="5"/>
        </w:numPr>
        <w:ind w:left="709" w:hanging="283"/>
        <w:rPr>
          <w:rFonts w:asciiTheme="minorHAnsi" w:hAnsiTheme="minorHAnsi" w:cstheme="minorHAnsi"/>
          <w:color w:val="auto"/>
        </w:rPr>
      </w:pPr>
      <w:r w:rsidRPr="003F67AA">
        <w:rPr>
          <w:rFonts w:asciiTheme="minorHAnsi" w:hAnsiTheme="minorHAnsi" w:cstheme="minorHAnsi"/>
          <w:color w:val="auto"/>
        </w:rPr>
        <w:t>Providing support to access its complaints procedure.</w:t>
      </w:r>
    </w:p>
    <w:p w14:paraId="67407459" w14:textId="77777777" w:rsidR="00984485" w:rsidRPr="003F67AA" w:rsidRDefault="00984485" w:rsidP="00984485">
      <w:pPr>
        <w:pStyle w:val="Default"/>
        <w:numPr>
          <w:ilvl w:val="0"/>
          <w:numId w:val="5"/>
        </w:numPr>
        <w:ind w:left="709" w:hanging="283"/>
        <w:rPr>
          <w:rFonts w:asciiTheme="minorHAnsi" w:hAnsiTheme="minorHAnsi" w:cstheme="minorHAnsi"/>
          <w:color w:val="FF0000"/>
        </w:rPr>
      </w:pPr>
      <w:r w:rsidRPr="003F67AA">
        <w:rPr>
          <w:rFonts w:asciiTheme="minorHAnsi" w:hAnsiTheme="minorHAnsi" w:cstheme="minorHAnsi"/>
          <w:color w:val="auto"/>
        </w:rPr>
        <w:t xml:space="preserve">The Being Open Framework referenced below provides guidance on how to support patients, their </w:t>
      </w:r>
      <w:proofErr w:type="gramStart"/>
      <w:r w:rsidRPr="003F67AA">
        <w:rPr>
          <w:rFonts w:asciiTheme="minorHAnsi" w:hAnsiTheme="minorHAnsi" w:cstheme="minorHAnsi"/>
          <w:color w:val="auto"/>
        </w:rPr>
        <w:t>families</w:t>
      </w:r>
      <w:proofErr w:type="gramEnd"/>
      <w:r w:rsidRPr="003F67AA">
        <w:rPr>
          <w:rFonts w:asciiTheme="minorHAnsi" w:hAnsiTheme="minorHAnsi" w:cstheme="minorHAnsi"/>
          <w:color w:val="auto"/>
        </w:rPr>
        <w:t xml:space="preserve"> and carers when a patient safety incident has occurred.</w:t>
      </w:r>
    </w:p>
    <w:p w14:paraId="6740745A" w14:textId="77777777" w:rsidR="00984485" w:rsidRPr="003F67AA" w:rsidRDefault="00984485" w:rsidP="00984485">
      <w:pPr>
        <w:pStyle w:val="Default"/>
        <w:rPr>
          <w:rFonts w:asciiTheme="minorHAnsi" w:hAnsiTheme="minorHAnsi" w:cstheme="minorHAnsi"/>
          <w:color w:val="auto"/>
        </w:rPr>
      </w:pPr>
    </w:p>
    <w:p w14:paraId="6740745B"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t xml:space="preserve">The Practice must ensure that written notification is given to the relevant person following the notification that was given in person, even though enquiries may not yet be complete. </w:t>
      </w:r>
    </w:p>
    <w:p w14:paraId="6740745C" w14:textId="77777777" w:rsidR="00984485" w:rsidRPr="003F67AA" w:rsidRDefault="00984485" w:rsidP="00984485">
      <w:pPr>
        <w:autoSpaceDE w:val="0"/>
        <w:autoSpaceDN w:val="0"/>
        <w:adjustRightInd w:val="0"/>
        <w:rPr>
          <w:rFonts w:asciiTheme="minorHAnsi" w:hAnsiTheme="minorHAnsi" w:cstheme="minorHAnsi"/>
          <w:color w:val="000000"/>
        </w:rPr>
      </w:pPr>
    </w:p>
    <w:p w14:paraId="6740745D" w14:textId="77777777" w:rsidR="00984485" w:rsidRPr="003F67AA" w:rsidRDefault="00984485" w:rsidP="00984485">
      <w:pPr>
        <w:autoSpaceDE w:val="0"/>
        <w:autoSpaceDN w:val="0"/>
        <w:adjustRightInd w:val="0"/>
        <w:rPr>
          <w:rFonts w:asciiTheme="minorHAnsi" w:hAnsiTheme="minorHAnsi" w:cstheme="minorHAnsi"/>
          <w:color w:val="000000"/>
        </w:rPr>
      </w:pPr>
      <w:r w:rsidRPr="003F67AA">
        <w:rPr>
          <w:rFonts w:asciiTheme="minorHAnsi" w:hAnsiTheme="minorHAnsi" w:cstheme="minorHAnsi"/>
          <w:color w:val="000000"/>
        </w:rPr>
        <w:lastRenderedPageBreak/>
        <w:t>The written notification must contain all the information that was provided in person including an apology, as well as the results of any enquiries that have been made since the notification in person.</w:t>
      </w:r>
    </w:p>
    <w:p w14:paraId="6740745E" w14:textId="77777777" w:rsidR="00984485" w:rsidRPr="003F67AA" w:rsidRDefault="00984485" w:rsidP="00984485">
      <w:pPr>
        <w:pStyle w:val="Default"/>
        <w:rPr>
          <w:rFonts w:asciiTheme="minorHAnsi" w:hAnsiTheme="minorHAnsi" w:cstheme="minorHAnsi"/>
          <w:color w:val="auto"/>
        </w:rPr>
      </w:pPr>
    </w:p>
    <w:p w14:paraId="6740745F"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outcomes or results of any further enquiries and investigations must also be provided in writing to the relevant person through further written notifications, should they wish to receive them.</w:t>
      </w:r>
    </w:p>
    <w:p w14:paraId="67407460" w14:textId="77777777" w:rsidR="00984485" w:rsidRPr="003F67AA" w:rsidRDefault="00984485" w:rsidP="00984485">
      <w:pPr>
        <w:pStyle w:val="Default"/>
        <w:rPr>
          <w:rFonts w:asciiTheme="minorHAnsi" w:hAnsiTheme="minorHAnsi" w:cstheme="minorHAnsi"/>
          <w:color w:val="auto"/>
        </w:rPr>
      </w:pPr>
    </w:p>
    <w:p w14:paraId="67407461"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The Practice must make every reasonable attempt to contact the relevant person through all available communication means. All attempts to contact the relevant person must be documented.</w:t>
      </w:r>
    </w:p>
    <w:p w14:paraId="67407462"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 xml:space="preserve">If the relevant person does not wish to communicate with the </w:t>
      </w:r>
      <w:r w:rsidRPr="003F67AA">
        <w:rPr>
          <w:rFonts w:asciiTheme="minorHAnsi" w:hAnsiTheme="minorHAnsi" w:cstheme="minorHAnsi"/>
        </w:rPr>
        <w:t>Practice</w:t>
      </w:r>
      <w:r w:rsidRPr="003F67AA">
        <w:rPr>
          <w:rFonts w:asciiTheme="minorHAnsi" w:hAnsiTheme="minorHAnsi" w:cstheme="minorHAnsi"/>
          <w:color w:val="auto"/>
        </w:rPr>
        <w:t>, their wishes must be respected and a record of this must be kept.</w:t>
      </w:r>
    </w:p>
    <w:p w14:paraId="67407463" w14:textId="77777777" w:rsidR="00984485" w:rsidRPr="003F67AA" w:rsidRDefault="00984485" w:rsidP="00984485">
      <w:pPr>
        <w:pStyle w:val="Default"/>
        <w:rPr>
          <w:rFonts w:asciiTheme="minorHAnsi" w:hAnsiTheme="minorHAnsi" w:cstheme="minorHAnsi"/>
          <w:color w:val="auto"/>
        </w:rPr>
      </w:pPr>
      <w:r w:rsidRPr="003F67AA">
        <w:rPr>
          <w:rFonts w:asciiTheme="minorHAnsi" w:hAnsiTheme="minorHAnsi" w:cstheme="minorHAnsi"/>
          <w:color w:val="auto"/>
        </w:rPr>
        <w:t>If the relevant person has died and there is nobody who can lawfully act on their behalf, a record of this should be kept.</w:t>
      </w:r>
    </w:p>
    <w:p w14:paraId="67407464" w14:textId="77777777" w:rsidR="00984485" w:rsidRPr="006B0B95" w:rsidRDefault="00984485" w:rsidP="00984485">
      <w:pPr>
        <w:pStyle w:val="Default"/>
        <w:rPr>
          <w:b/>
          <w:color w:val="auto"/>
          <w:sz w:val="28"/>
          <w:szCs w:val="28"/>
        </w:rPr>
      </w:pPr>
      <w:r w:rsidRPr="00984485">
        <w:rPr>
          <w:color w:val="auto"/>
          <w:sz w:val="22"/>
          <w:szCs w:val="22"/>
        </w:rPr>
        <w:br w:type="page"/>
      </w:r>
      <w:r w:rsidRPr="00984485">
        <w:rPr>
          <w:rFonts w:cs="Tahoma"/>
          <w:b/>
          <w:color w:val="auto"/>
          <w:sz w:val="28"/>
          <w:szCs w:val="28"/>
        </w:rPr>
        <w:lastRenderedPageBreak/>
        <w:t xml:space="preserve">Appendix </w:t>
      </w:r>
      <w:proofErr w:type="gramStart"/>
      <w:r w:rsidRPr="00984485">
        <w:rPr>
          <w:rFonts w:cs="Tahoma"/>
          <w:b/>
          <w:color w:val="auto"/>
          <w:sz w:val="28"/>
          <w:szCs w:val="28"/>
        </w:rPr>
        <w:t>1 :</w:t>
      </w:r>
      <w:proofErr w:type="gramEnd"/>
      <w:r w:rsidRPr="00984485">
        <w:rPr>
          <w:rFonts w:cs="Tahoma"/>
          <w:b/>
          <w:color w:val="auto"/>
          <w:sz w:val="28"/>
          <w:szCs w:val="28"/>
        </w:rPr>
        <w:t xml:space="preserve"> Actions and Timescales for Duty of Candour requirements</w:t>
      </w:r>
    </w:p>
    <w:p w14:paraId="67407465" w14:textId="77777777" w:rsidR="00984485" w:rsidRPr="00B56E7D" w:rsidRDefault="00984485" w:rsidP="00984485">
      <w:pPr>
        <w:pStyle w:val="Default"/>
        <w:rPr>
          <w:color w:val="aut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536"/>
      </w:tblGrid>
      <w:tr w:rsidR="00984485" w:rsidRPr="00984485" w14:paraId="67407468" w14:textId="77777777" w:rsidTr="00E83A47">
        <w:trPr>
          <w:trHeight w:val="266"/>
        </w:trPr>
        <w:tc>
          <w:tcPr>
            <w:tcW w:w="4819" w:type="dxa"/>
            <w:shd w:val="clear" w:color="auto" w:fill="BFBFBF"/>
          </w:tcPr>
          <w:p w14:paraId="67407466" w14:textId="77777777" w:rsidR="00984485" w:rsidRPr="00984485" w:rsidRDefault="00984485" w:rsidP="00E83A47">
            <w:pPr>
              <w:pStyle w:val="Default"/>
              <w:rPr>
                <w:sz w:val="22"/>
              </w:rPr>
            </w:pPr>
            <w:r w:rsidRPr="00984485">
              <w:rPr>
                <w:b/>
                <w:bCs/>
                <w:sz w:val="22"/>
              </w:rPr>
              <w:t>Requirement under Duty of Candour</w:t>
            </w:r>
          </w:p>
        </w:tc>
        <w:tc>
          <w:tcPr>
            <w:tcW w:w="4536" w:type="dxa"/>
            <w:shd w:val="clear" w:color="auto" w:fill="BFBFBF"/>
          </w:tcPr>
          <w:p w14:paraId="67407467" w14:textId="77777777" w:rsidR="00984485" w:rsidRPr="00984485" w:rsidRDefault="00984485" w:rsidP="00E83A47">
            <w:pPr>
              <w:pStyle w:val="Default"/>
              <w:rPr>
                <w:sz w:val="22"/>
              </w:rPr>
            </w:pPr>
            <w:r w:rsidRPr="00984485">
              <w:rPr>
                <w:b/>
                <w:bCs/>
                <w:sz w:val="22"/>
              </w:rPr>
              <w:t xml:space="preserve">Timeframe </w:t>
            </w:r>
          </w:p>
        </w:tc>
      </w:tr>
      <w:tr w:rsidR="00984485" w:rsidRPr="00984485" w14:paraId="6740746B" w14:textId="77777777" w:rsidTr="00E83A47">
        <w:trPr>
          <w:trHeight w:val="856"/>
        </w:trPr>
        <w:tc>
          <w:tcPr>
            <w:tcW w:w="4819" w:type="dxa"/>
          </w:tcPr>
          <w:p w14:paraId="67407469" w14:textId="77777777" w:rsidR="00984485" w:rsidRPr="00984485" w:rsidRDefault="00984485" w:rsidP="00E83A47">
            <w:pPr>
              <w:pStyle w:val="Default"/>
              <w:rPr>
                <w:sz w:val="22"/>
              </w:rPr>
            </w:pPr>
            <w:r w:rsidRPr="00984485">
              <w:rPr>
                <w:sz w:val="22"/>
              </w:rPr>
              <w:t>Patient or their family/carer informed that incident has occurred (moderate harm, severe harm or death)</w:t>
            </w:r>
          </w:p>
        </w:tc>
        <w:tc>
          <w:tcPr>
            <w:tcW w:w="4536" w:type="dxa"/>
          </w:tcPr>
          <w:p w14:paraId="6740746A" w14:textId="77777777"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tc>
      </w:tr>
      <w:tr w:rsidR="00984485" w:rsidRPr="00984485" w14:paraId="67407470" w14:textId="77777777" w:rsidTr="00E83A47">
        <w:trPr>
          <w:trHeight w:val="1335"/>
        </w:trPr>
        <w:tc>
          <w:tcPr>
            <w:tcW w:w="4819" w:type="dxa"/>
          </w:tcPr>
          <w:p w14:paraId="6740746C" w14:textId="77777777" w:rsidR="00984485" w:rsidRPr="00984485" w:rsidRDefault="00984485" w:rsidP="00E83A47">
            <w:pPr>
              <w:pStyle w:val="Default"/>
              <w:rPr>
                <w:sz w:val="22"/>
              </w:rPr>
            </w:pPr>
            <w:r w:rsidRPr="00984485">
              <w:rPr>
                <w:sz w:val="22"/>
              </w:rPr>
              <w:t>A verbal notification of incident (preferably face-to-face where possible) unless patient or their family/carer decline notification or cannot be contacted in person.</w:t>
            </w:r>
          </w:p>
          <w:p w14:paraId="6740746D" w14:textId="77777777" w:rsidR="00984485" w:rsidRPr="00984485" w:rsidRDefault="00984485" w:rsidP="00E83A47">
            <w:pPr>
              <w:pStyle w:val="Default"/>
              <w:rPr>
                <w:sz w:val="22"/>
              </w:rPr>
            </w:pPr>
          </w:p>
          <w:p w14:paraId="6740746E" w14:textId="77777777" w:rsidR="00984485" w:rsidRPr="00984485" w:rsidRDefault="00984485" w:rsidP="00E83A47">
            <w:pPr>
              <w:pStyle w:val="Default"/>
              <w:rPr>
                <w:sz w:val="22"/>
              </w:rPr>
            </w:pPr>
            <w:r w:rsidRPr="00984485">
              <w:rPr>
                <w:sz w:val="22"/>
              </w:rPr>
              <w:t>A Sincere expression of apology must be provided verbally as part of this notification.</w:t>
            </w:r>
          </w:p>
        </w:tc>
        <w:tc>
          <w:tcPr>
            <w:tcW w:w="4536" w:type="dxa"/>
          </w:tcPr>
          <w:p w14:paraId="6740746F" w14:textId="77777777"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tc>
      </w:tr>
      <w:tr w:rsidR="00984485" w:rsidRPr="00984485" w14:paraId="67407478" w14:textId="77777777" w:rsidTr="00E83A47">
        <w:trPr>
          <w:trHeight w:val="1003"/>
        </w:trPr>
        <w:tc>
          <w:tcPr>
            <w:tcW w:w="4819" w:type="dxa"/>
          </w:tcPr>
          <w:p w14:paraId="67407471" w14:textId="77777777" w:rsidR="00984485" w:rsidRPr="00984485" w:rsidRDefault="00984485" w:rsidP="00E83A47">
            <w:pPr>
              <w:pStyle w:val="Default"/>
              <w:rPr>
                <w:sz w:val="22"/>
              </w:rPr>
            </w:pPr>
            <w:r w:rsidRPr="00984485">
              <w:rPr>
                <w:sz w:val="22"/>
              </w:rPr>
              <w:t xml:space="preserve">Offer of written notification made. </w:t>
            </w:r>
          </w:p>
          <w:p w14:paraId="67407472" w14:textId="77777777" w:rsidR="00984485" w:rsidRPr="00984485" w:rsidRDefault="00984485" w:rsidP="00E83A47">
            <w:pPr>
              <w:pStyle w:val="Default"/>
              <w:rPr>
                <w:sz w:val="22"/>
              </w:rPr>
            </w:pPr>
            <w:r w:rsidRPr="00984485">
              <w:rPr>
                <w:sz w:val="22"/>
              </w:rPr>
              <w:t xml:space="preserve">This must include a written sincere apology. </w:t>
            </w:r>
          </w:p>
          <w:p w14:paraId="67407473" w14:textId="77777777" w:rsidR="00984485" w:rsidRPr="00984485" w:rsidRDefault="00984485" w:rsidP="00E83A47">
            <w:pPr>
              <w:pStyle w:val="Default"/>
              <w:rPr>
                <w:sz w:val="22"/>
              </w:rPr>
            </w:pPr>
          </w:p>
          <w:p w14:paraId="67407474" w14:textId="77777777" w:rsidR="00984485" w:rsidRPr="00984485" w:rsidRDefault="00984485" w:rsidP="00E83A47">
            <w:pPr>
              <w:pStyle w:val="Default"/>
              <w:rPr>
                <w:sz w:val="22"/>
              </w:rPr>
            </w:pPr>
          </w:p>
        </w:tc>
        <w:tc>
          <w:tcPr>
            <w:tcW w:w="4536" w:type="dxa"/>
          </w:tcPr>
          <w:p w14:paraId="67407475" w14:textId="77777777" w:rsidR="00984485" w:rsidRPr="00984485" w:rsidRDefault="00984485" w:rsidP="00E83A47">
            <w:pPr>
              <w:pStyle w:val="Default"/>
              <w:rPr>
                <w:sz w:val="22"/>
              </w:rPr>
            </w:pPr>
            <w:r w:rsidRPr="00984485">
              <w:rPr>
                <w:b/>
                <w:sz w:val="22"/>
              </w:rPr>
              <w:t>Maximum 10 working days</w:t>
            </w:r>
            <w:r w:rsidRPr="00984485">
              <w:rPr>
                <w:sz w:val="22"/>
              </w:rPr>
              <w:t xml:space="preserve"> from incident being reported</w:t>
            </w:r>
          </w:p>
          <w:p w14:paraId="67407476" w14:textId="77777777" w:rsidR="00984485" w:rsidRPr="00984485" w:rsidRDefault="00984485" w:rsidP="00E83A47">
            <w:pPr>
              <w:pStyle w:val="Default"/>
              <w:rPr>
                <w:sz w:val="22"/>
              </w:rPr>
            </w:pPr>
          </w:p>
          <w:p w14:paraId="67407477" w14:textId="77777777" w:rsidR="00984485" w:rsidRPr="00984485" w:rsidRDefault="00984485" w:rsidP="00E83A47">
            <w:pPr>
              <w:pStyle w:val="Default"/>
              <w:rPr>
                <w:sz w:val="22"/>
              </w:rPr>
            </w:pPr>
            <w:r w:rsidRPr="00984485">
              <w:rPr>
                <w:sz w:val="22"/>
              </w:rPr>
              <w:t>A record of this offer and apology must be made (regardless if it has been accepted or not)</w:t>
            </w:r>
          </w:p>
        </w:tc>
      </w:tr>
      <w:tr w:rsidR="00984485" w:rsidRPr="00984485" w14:paraId="6740747E" w14:textId="77777777" w:rsidTr="00E83A47">
        <w:trPr>
          <w:trHeight w:val="705"/>
        </w:trPr>
        <w:tc>
          <w:tcPr>
            <w:tcW w:w="4819" w:type="dxa"/>
          </w:tcPr>
          <w:p w14:paraId="67407479" w14:textId="77777777" w:rsidR="00984485" w:rsidRPr="00984485" w:rsidRDefault="00984485" w:rsidP="00E83A47">
            <w:pPr>
              <w:pStyle w:val="Default"/>
              <w:rPr>
                <w:sz w:val="22"/>
              </w:rPr>
            </w:pPr>
            <w:r w:rsidRPr="00984485">
              <w:rPr>
                <w:sz w:val="22"/>
              </w:rPr>
              <w:t xml:space="preserve">Step-by-step explanation of the facts (in plain English) must be offered. </w:t>
            </w:r>
          </w:p>
          <w:p w14:paraId="6740747A" w14:textId="77777777" w:rsidR="00984485" w:rsidRPr="00984485" w:rsidRDefault="00984485" w:rsidP="00E83A47">
            <w:pPr>
              <w:pStyle w:val="Default"/>
              <w:rPr>
                <w:sz w:val="22"/>
              </w:rPr>
            </w:pPr>
          </w:p>
        </w:tc>
        <w:tc>
          <w:tcPr>
            <w:tcW w:w="4536" w:type="dxa"/>
          </w:tcPr>
          <w:p w14:paraId="6740747B" w14:textId="77777777" w:rsidR="00984485" w:rsidRPr="00984485" w:rsidRDefault="00984485" w:rsidP="00E83A47">
            <w:pPr>
              <w:pStyle w:val="Default"/>
              <w:rPr>
                <w:sz w:val="22"/>
              </w:rPr>
            </w:pPr>
            <w:r w:rsidRPr="00984485">
              <w:rPr>
                <w:sz w:val="22"/>
              </w:rPr>
              <w:t>As soon as practicable</w:t>
            </w:r>
          </w:p>
          <w:p w14:paraId="6740747C" w14:textId="77777777" w:rsidR="00984485" w:rsidRPr="00984485" w:rsidRDefault="00984485" w:rsidP="00E83A47">
            <w:pPr>
              <w:pStyle w:val="Default"/>
              <w:rPr>
                <w:sz w:val="22"/>
              </w:rPr>
            </w:pPr>
          </w:p>
          <w:p w14:paraId="6740747D" w14:textId="77777777" w:rsidR="00984485" w:rsidRPr="00984485" w:rsidRDefault="00984485" w:rsidP="00E83A47">
            <w:pPr>
              <w:pStyle w:val="Default"/>
              <w:rPr>
                <w:sz w:val="22"/>
              </w:rPr>
            </w:pPr>
            <w:r w:rsidRPr="00984485">
              <w:rPr>
                <w:sz w:val="22"/>
              </w:rPr>
              <w:t>This can be an initial view, pending investigation, and stated as such to the receiver of the explanation.</w:t>
            </w:r>
          </w:p>
        </w:tc>
      </w:tr>
      <w:tr w:rsidR="00984485" w:rsidRPr="00984485" w14:paraId="67407483" w14:textId="77777777" w:rsidTr="00E83A47">
        <w:trPr>
          <w:trHeight w:val="712"/>
        </w:trPr>
        <w:tc>
          <w:tcPr>
            <w:tcW w:w="4819" w:type="dxa"/>
          </w:tcPr>
          <w:p w14:paraId="6740747F" w14:textId="77777777" w:rsidR="00984485" w:rsidRPr="00984485" w:rsidRDefault="00984485" w:rsidP="00E83A47">
            <w:pPr>
              <w:pStyle w:val="Default"/>
              <w:rPr>
                <w:sz w:val="22"/>
              </w:rPr>
            </w:pPr>
            <w:r w:rsidRPr="00984485">
              <w:rPr>
                <w:sz w:val="22"/>
              </w:rPr>
              <w:t xml:space="preserve">Maintain full written documentation of any meetings. </w:t>
            </w:r>
          </w:p>
        </w:tc>
        <w:tc>
          <w:tcPr>
            <w:tcW w:w="4536" w:type="dxa"/>
          </w:tcPr>
          <w:p w14:paraId="67407480" w14:textId="77777777" w:rsidR="00984485" w:rsidRPr="00984485" w:rsidRDefault="00984485" w:rsidP="00E83A47">
            <w:pPr>
              <w:pStyle w:val="Default"/>
              <w:rPr>
                <w:sz w:val="22"/>
              </w:rPr>
            </w:pPr>
            <w:r w:rsidRPr="00984485">
              <w:rPr>
                <w:sz w:val="22"/>
              </w:rPr>
              <w:t xml:space="preserve">No timeframe </w:t>
            </w:r>
          </w:p>
          <w:p w14:paraId="67407481" w14:textId="77777777" w:rsidR="00984485" w:rsidRPr="00984485" w:rsidRDefault="00984485" w:rsidP="00E83A47">
            <w:pPr>
              <w:pStyle w:val="Default"/>
              <w:rPr>
                <w:sz w:val="22"/>
              </w:rPr>
            </w:pPr>
          </w:p>
          <w:p w14:paraId="67407482" w14:textId="77777777" w:rsidR="00984485" w:rsidRPr="00984485" w:rsidRDefault="00984485" w:rsidP="00E83A47">
            <w:pPr>
              <w:pStyle w:val="Default"/>
              <w:rPr>
                <w:sz w:val="22"/>
              </w:rPr>
            </w:pPr>
            <w:r w:rsidRPr="00984485">
              <w:rPr>
                <w:sz w:val="22"/>
              </w:rPr>
              <w:t>If meetings are offered but declined this must be recorded.</w:t>
            </w:r>
          </w:p>
        </w:tc>
      </w:tr>
      <w:tr w:rsidR="00984485" w:rsidRPr="00984485" w14:paraId="67407486" w14:textId="77777777" w:rsidTr="00E83A47">
        <w:trPr>
          <w:trHeight w:val="705"/>
        </w:trPr>
        <w:tc>
          <w:tcPr>
            <w:tcW w:w="4819" w:type="dxa"/>
          </w:tcPr>
          <w:p w14:paraId="67407484" w14:textId="77777777" w:rsidR="00984485" w:rsidRPr="00984485" w:rsidRDefault="00984485" w:rsidP="00E83A47">
            <w:pPr>
              <w:pStyle w:val="Default"/>
              <w:rPr>
                <w:sz w:val="22"/>
              </w:rPr>
            </w:pPr>
            <w:r w:rsidRPr="00984485">
              <w:rPr>
                <w:sz w:val="22"/>
              </w:rPr>
              <w:t xml:space="preserve">Any new information that has arisen (whether during or after investigation) must be offered. </w:t>
            </w:r>
          </w:p>
        </w:tc>
        <w:tc>
          <w:tcPr>
            <w:tcW w:w="4536" w:type="dxa"/>
          </w:tcPr>
          <w:p w14:paraId="67407485" w14:textId="77777777" w:rsidR="00984485" w:rsidRPr="00984485" w:rsidRDefault="00984485" w:rsidP="00E83A47">
            <w:pPr>
              <w:pStyle w:val="Default"/>
              <w:rPr>
                <w:sz w:val="22"/>
              </w:rPr>
            </w:pPr>
            <w:r w:rsidRPr="00984485">
              <w:rPr>
                <w:sz w:val="22"/>
              </w:rPr>
              <w:t>As soon as practicable</w:t>
            </w:r>
          </w:p>
        </w:tc>
      </w:tr>
      <w:tr w:rsidR="00984485" w:rsidRPr="00984485" w14:paraId="67407489" w14:textId="77777777" w:rsidTr="00E83A47">
        <w:trPr>
          <w:trHeight w:val="1149"/>
        </w:trPr>
        <w:tc>
          <w:tcPr>
            <w:tcW w:w="4819" w:type="dxa"/>
          </w:tcPr>
          <w:p w14:paraId="67407487" w14:textId="77777777" w:rsidR="00984485" w:rsidRPr="00984485" w:rsidRDefault="00984485" w:rsidP="00E83A47">
            <w:pPr>
              <w:pStyle w:val="Default"/>
              <w:rPr>
                <w:sz w:val="22"/>
              </w:rPr>
            </w:pPr>
            <w:r w:rsidRPr="00984485">
              <w:rPr>
                <w:sz w:val="22"/>
              </w:rPr>
              <w:t xml:space="preserve">Share any incident investigation report (including action plans) in the approved format (Plain English) </w:t>
            </w:r>
          </w:p>
        </w:tc>
        <w:tc>
          <w:tcPr>
            <w:tcW w:w="4536" w:type="dxa"/>
          </w:tcPr>
          <w:p w14:paraId="67407488" w14:textId="77777777" w:rsidR="00984485" w:rsidRPr="00984485" w:rsidRDefault="00984485" w:rsidP="00E83A47">
            <w:pPr>
              <w:pStyle w:val="Default"/>
              <w:rPr>
                <w:sz w:val="22"/>
              </w:rPr>
            </w:pPr>
            <w:r w:rsidRPr="00984485">
              <w:rPr>
                <w:b/>
                <w:sz w:val="22"/>
              </w:rPr>
              <w:t>Within 10 working days</w:t>
            </w:r>
            <w:r w:rsidRPr="00984485">
              <w:rPr>
                <w:sz w:val="22"/>
              </w:rPr>
              <w:t xml:space="preserve"> of report being signed off as complete and closed</w:t>
            </w:r>
          </w:p>
        </w:tc>
      </w:tr>
      <w:tr w:rsidR="00984485" w:rsidRPr="00984485" w14:paraId="6740748C" w14:textId="77777777" w:rsidTr="00E83A47">
        <w:trPr>
          <w:trHeight w:val="705"/>
        </w:trPr>
        <w:tc>
          <w:tcPr>
            <w:tcW w:w="4819" w:type="dxa"/>
          </w:tcPr>
          <w:p w14:paraId="6740748A" w14:textId="77777777" w:rsidR="00984485" w:rsidRPr="00984485" w:rsidRDefault="00984485" w:rsidP="00E83A47">
            <w:pPr>
              <w:pStyle w:val="Default"/>
              <w:rPr>
                <w:sz w:val="22"/>
              </w:rPr>
            </w:pPr>
            <w:r w:rsidRPr="00984485">
              <w:rPr>
                <w:sz w:val="22"/>
              </w:rPr>
              <w:t xml:space="preserve">Copies of any information shared with the patient to the commissioner, upon request. </w:t>
            </w:r>
          </w:p>
        </w:tc>
        <w:tc>
          <w:tcPr>
            <w:tcW w:w="4536" w:type="dxa"/>
          </w:tcPr>
          <w:p w14:paraId="6740748B" w14:textId="77777777" w:rsidR="00984485" w:rsidRPr="00984485" w:rsidRDefault="00984485" w:rsidP="00E83A47">
            <w:pPr>
              <w:pStyle w:val="Default"/>
              <w:rPr>
                <w:sz w:val="22"/>
              </w:rPr>
            </w:pPr>
            <w:r w:rsidRPr="00984485">
              <w:rPr>
                <w:sz w:val="22"/>
              </w:rPr>
              <w:t>As necessary</w:t>
            </w:r>
          </w:p>
        </w:tc>
      </w:tr>
    </w:tbl>
    <w:p w14:paraId="6740748D" w14:textId="77777777" w:rsidR="00984485" w:rsidRDefault="00984485" w:rsidP="00984485">
      <w:pPr>
        <w:pStyle w:val="Default"/>
        <w:rPr>
          <w:color w:val="auto"/>
        </w:rPr>
      </w:pPr>
      <w:r w:rsidRPr="00A97242">
        <w:rPr>
          <w:color w:val="auto"/>
        </w:rPr>
        <w:t xml:space="preserve"> </w:t>
      </w:r>
    </w:p>
    <w:p w14:paraId="6740748E" w14:textId="77777777" w:rsidR="00457D9C" w:rsidRPr="00457D9C" w:rsidRDefault="00457D9C" w:rsidP="00984485">
      <w:pPr>
        <w:pStyle w:val="Heading1"/>
        <w:jc w:val="left"/>
      </w:pPr>
    </w:p>
    <w:sectPr w:rsidR="00457D9C" w:rsidRPr="00457D9C" w:rsidSect="00FF2E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7493" w14:textId="77777777" w:rsidR="00B753B0" w:rsidRDefault="00B753B0" w:rsidP="007F48CE">
      <w:r>
        <w:separator/>
      </w:r>
    </w:p>
  </w:endnote>
  <w:endnote w:type="continuationSeparator" w:id="0">
    <w:p w14:paraId="67407494" w14:textId="77777777" w:rsidR="00B753B0" w:rsidRDefault="00B753B0" w:rsidP="007F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C2BD" w14:textId="34A3E153" w:rsidR="004F6871" w:rsidRPr="008C61DB" w:rsidRDefault="008C61DB">
    <w:pPr>
      <w:pStyle w:val="Footer"/>
      <w:rPr>
        <w:rFonts w:asciiTheme="minorHAnsi" w:hAnsiTheme="minorHAnsi" w:cstheme="minorHAnsi"/>
        <w:sz w:val="22"/>
        <w:szCs w:val="22"/>
      </w:rPr>
    </w:pPr>
    <w:r w:rsidRPr="008C61DB">
      <w:rPr>
        <w:rFonts w:asciiTheme="minorHAnsi" w:hAnsiTheme="minorHAnsi" w:cstheme="minorHAnsi"/>
        <w:sz w:val="22"/>
        <w:szCs w:val="22"/>
      </w:rPr>
      <w:t>Reviewed February 2023</w:t>
    </w:r>
  </w:p>
  <w:p w14:paraId="61E4D3C4" w14:textId="270E4C4C" w:rsidR="008C61DB" w:rsidRPr="008C61DB" w:rsidRDefault="008C61DB">
    <w:pPr>
      <w:pStyle w:val="Footer"/>
      <w:rPr>
        <w:rFonts w:asciiTheme="minorHAnsi" w:hAnsiTheme="minorHAnsi" w:cstheme="minorHAnsi"/>
        <w:sz w:val="22"/>
        <w:szCs w:val="22"/>
      </w:rPr>
    </w:pPr>
    <w:r w:rsidRPr="008C61DB">
      <w:rPr>
        <w:rFonts w:asciiTheme="minorHAnsi" w:hAnsiTheme="minorHAnsi" w:cstheme="minorHAnsi"/>
        <w:sz w:val="22"/>
        <w:szCs w:val="22"/>
      </w:rPr>
      <w:t>Due Review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7491" w14:textId="77777777" w:rsidR="00B753B0" w:rsidRDefault="00B753B0" w:rsidP="007F48CE">
      <w:r>
        <w:separator/>
      </w:r>
    </w:p>
  </w:footnote>
  <w:footnote w:type="continuationSeparator" w:id="0">
    <w:p w14:paraId="67407492" w14:textId="77777777" w:rsidR="00B753B0" w:rsidRDefault="00B753B0" w:rsidP="007F4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0226"/>
    <w:multiLevelType w:val="hybridMultilevel"/>
    <w:tmpl w:val="4A78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6FE2"/>
    <w:multiLevelType w:val="hybridMultilevel"/>
    <w:tmpl w:val="EC7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D2090"/>
    <w:multiLevelType w:val="hybridMultilevel"/>
    <w:tmpl w:val="C666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5696D"/>
    <w:multiLevelType w:val="hybridMultilevel"/>
    <w:tmpl w:val="941C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745F9"/>
    <w:multiLevelType w:val="hybridMultilevel"/>
    <w:tmpl w:val="5524C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F0D094E"/>
    <w:multiLevelType w:val="hybridMultilevel"/>
    <w:tmpl w:val="AA24B610"/>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8610871">
    <w:abstractNumId w:val="1"/>
  </w:num>
  <w:num w:numId="2" w16cid:durableId="1643581741">
    <w:abstractNumId w:val="2"/>
  </w:num>
  <w:num w:numId="3" w16cid:durableId="1318338387">
    <w:abstractNumId w:val="4"/>
  </w:num>
  <w:num w:numId="4" w16cid:durableId="1638683074">
    <w:abstractNumId w:val="3"/>
  </w:num>
  <w:num w:numId="5" w16cid:durableId="206529494">
    <w:abstractNumId w:val="7"/>
  </w:num>
  <w:num w:numId="6" w16cid:durableId="1377924284">
    <w:abstractNumId w:val="6"/>
  </w:num>
  <w:num w:numId="7" w16cid:durableId="1396318716">
    <w:abstractNumId w:val="5"/>
  </w:num>
  <w:num w:numId="8" w16cid:durableId="73500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CE"/>
    <w:rsid w:val="000229B9"/>
    <w:rsid w:val="00047827"/>
    <w:rsid w:val="00187FAC"/>
    <w:rsid w:val="001A6655"/>
    <w:rsid w:val="001F2BDB"/>
    <w:rsid w:val="00344C01"/>
    <w:rsid w:val="003F4C5D"/>
    <w:rsid w:val="003F67AA"/>
    <w:rsid w:val="00457D9C"/>
    <w:rsid w:val="00494485"/>
    <w:rsid w:val="004978E1"/>
    <w:rsid w:val="004F6871"/>
    <w:rsid w:val="00504BBA"/>
    <w:rsid w:val="00507E6B"/>
    <w:rsid w:val="005C6425"/>
    <w:rsid w:val="005F3292"/>
    <w:rsid w:val="0061285E"/>
    <w:rsid w:val="006437B6"/>
    <w:rsid w:val="0067703F"/>
    <w:rsid w:val="007F48CE"/>
    <w:rsid w:val="008C61DB"/>
    <w:rsid w:val="008D6500"/>
    <w:rsid w:val="00984485"/>
    <w:rsid w:val="009A4C47"/>
    <w:rsid w:val="00A3220B"/>
    <w:rsid w:val="00B753B0"/>
    <w:rsid w:val="00BA5A75"/>
    <w:rsid w:val="00C9153A"/>
    <w:rsid w:val="00D402D3"/>
    <w:rsid w:val="00D66388"/>
    <w:rsid w:val="00DA7D76"/>
    <w:rsid w:val="00DF5009"/>
    <w:rsid w:val="00E63EBE"/>
    <w:rsid w:val="00FF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73B8"/>
  <w15:docId w15:val="{2B96F0A9-9DCB-4520-A135-7DDC2D5C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C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7F48CE"/>
    <w:pPr>
      <w:keepNext/>
      <w:spacing w:before="100" w:beforeAutospacing="1" w:after="100" w:afterAutospacing="1"/>
      <w:jc w:val="center"/>
      <w:outlineLvl w:val="0"/>
    </w:pPr>
    <w:rPr>
      <w:rFonts w:ascii="Tahoma" w:eastAsia="Times New Roman"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8CE"/>
    <w:pPr>
      <w:tabs>
        <w:tab w:val="center" w:pos="4513"/>
        <w:tab w:val="right" w:pos="9026"/>
      </w:tabs>
    </w:pPr>
  </w:style>
  <w:style w:type="character" w:customStyle="1" w:styleId="HeaderChar">
    <w:name w:val="Header Char"/>
    <w:basedOn w:val="DefaultParagraphFont"/>
    <w:link w:val="Header"/>
    <w:uiPriority w:val="99"/>
    <w:rsid w:val="007F48CE"/>
    <w:rPr>
      <w:rFonts w:ascii="Times New Roman" w:hAnsi="Times New Roman" w:cs="Times New Roman"/>
      <w:sz w:val="24"/>
      <w:szCs w:val="24"/>
      <w:lang w:eastAsia="en-GB"/>
    </w:rPr>
  </w:style>
  <w:style w:type="paragraph" w:styleId="Footer">
    <w:name w:val="footer"/>
    <w:basedOn w:val="Normal"/>
    <w:link w:val="FooterChar"/>
    <w:unhideWhenUsed/>
    <w:rsid w:val="007F48CE"/>
    <w:pPr>
      <w:tabs>
        <w:tab w:val="center" w:pos="4513"/>
        <w:tab w:val="right" w:pos="9026"/>
      </w:tabs>
    </w:pPr>
  </w:style>
  <w:style w:type="character" w:customStyle="1" w:styleId="FooterChar">
    <w:name w:val="Footer Char"/>
    <w:basedOn w:val="DefaultParagraphFont"/>
    <w:link w:val="Footer"/>
    <w:rsid w:val="007F48CE"/>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48CE"/>
    <w:rPr>
      <w:rFonts w:ascii="Tahoma" w:hAnsi="Tahoma" w:cs="Tahoma"/>
      <w:sz w:val="16"/>
      <w:szCs w:val="16"/>
    </w:rPr>
  </w:style>
  <w:style w:type="character" w:customStyle="1" w:styleId="BalloonTextChar">
    <w:name w:val="Balloon Text Char"/>
    <w:basedOn w:val="DefaultParagraphFont"/>
    <w:link w:val="BalloonText"/>
    <w:uiPriority w:val="99"/>
    <w:semiHidden/>
    <w:rsid w:val="007F48CE"/>
    <w:rPr>
      <w:rFonts w:ascii="Tahoma" w:hAnsi="Tahoma" w:cs="Tahoma"/>
      <w:sz w:val="16"/>
      <w:szCs w:val="16"/>
      <w:lang w:eastAsia="en-GB"/>
    </w:rPr>
  </w:style>
  <w:style w:type="paragraph" w:customStyle="1" w:styleId="FPMredflyer">
    <w:name w:val="FPM red flyer"/>
    <w:basedOn w:val="Normal"/>
    <w:rsid w:val="007F48CE"/>
    <w:pPr>
      <w:jc w:val="center"/>
    </w:pPr>
    <w:rPr>
      <w:rFonts w:ascii="Tahoma" w:eastAsia="Times New Roman" w:hAnsi="Tahoma" w:cs="Tahoma"/>
      <w:b/>
      <w:bCs/>
      <w:color w:val="FF0000"/>
      <w:lang w:eastAsia="en-US"/>
    </w:rPr>
  </w:style>
  <w:style w:type="character" w:customStyle="1" w:styleId="Heading1Char">
    <w:name w:val="Heading 1 Char"/>
    <w:basedOn w:val="DefaultParagraphFont"/>
    <w:link w:val="Heading1"/>
    <w:rsid w:val="007F48CE"/>
    <w:rPr>
      <w:rFonts w:ascii="Tahoma" w:eastAsia="Times New Roman" w:hAnsi="Tahoma" w:cs="Tahoma"/>
      <w:b/>
      <w:bCs/>
      <w:sz w:val="24"/>
      <w:szCs w:val="24"/>
    </w:rPr>
  </w:style>
  <w:style w:type="paragraph" w:styleId="PlainText">
    <w:name w:val="Plain Text"/>
    <w:basedOn w:val="Normal"/>
    <w:link w:val="PlainTextChar"/>
    <w:rsid w:val="007F48CE"/>
    <w:rPr>
      <w:rFonts w:ascii="Courier New" w:eastAsia="Times New Roman" w:hAnsi="Courier New" w:cs="Courier New"/>
      <w:sz w:val="20"/>
      <w:szCs w:val="20"/>
    </w:rPr>
  </w:style>
  <w:style w:type="character" w:customStyle="1" w:styleId="PlainTextChar">
    <w:name w:val="Plain Text Char"/>
    <w:basedOn w:val="DefaultParagraphFont"/>
    <w:link w:val="PlainText"/>
    <w:rsid w:val="007F48CE"/>
    <w:rPr>
      <w:rFonts w:ascii="Courier New" w:eastAsia="Times New Roman" w:hAnsi="Courier New" w:cs="Courier New"/>
      <w:sz w:val="20"/>
      <w:szCs w:val="20"/>
      <w:lang w:eastAsia="en-GB"/>
    </w:rPr>
  </w:style>
  <w:style w:type="paragraph" w:customStyle="1" w:styleId="Default">
    <w:name w:val="Default"/>
    <w:rsid w:val="00984485"/>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984485"/>
    <w:rPr>
      <w:color w:val="0000FF"/>
      <w:u w:val="single"/>
    </w:rPr>
  </w:style>
  <w:style w:type="character" w:styleId="FollowedHyperlink">
    <w:name w:val="FollowedHyperlink"/>
    <w:basedOn w:val="DefaultParagraphFont"/>
    <w:uiPriority w:val="99"/>
    <w:semiHidden/>
    <w:unhideWhenUsed/>
    <w:rsid w:val="00187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D106E389A944F8F2AF625CA43328A" ma:contentTypeVersion="16" ma:contentTypeDescription="Create a new document." ma:contentTypeScope="" ma:versionID="ba9d44c6af47cccd822fb9eb49f0158a">
  <xsd:schema xmlns:xsd="http://www.w3.org/2001/XMLSchema" xmlns:xs="http://www.w3.org/2001/XMLSchema" xmlns:p="http://schemas.microsoft.com/office/2006/metadata/properties" xmlns:ns1="http://schemas.microsoft.com/sharepoint/v3" xmlns:ns2="cf7b20c8-4f48-4235-bfa0-7705583ae248" xmlns:ns3="8f2bf426-9341-49f1-9f64-685ae2f33847" targetNamespace="http://schemas.microsoft.com/office/2006/metadata/properties" ma:root="true" ma:fieldsID="607a8faa2dc76d6b9f30bf4ea8e7e53c" ns1:_="" ns2:_="" ns3:_="">
    <xsd:import namespace="http://schemas.microsoft.com/sharepoint/v3"/>
    <xsd:import namespace="cf7b20c8-4f48-4235-bfa0-7705583ae248"/>
    <xsd:import namespace="8f2bf426-9341-49f1-9f64-685ae2f338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b20c8-4f48-4235-bfa0-7705583ae2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bf426-9341-49f1-9f64-685ae2f33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c00cdbe-46ce-4408-9f1f-1864cfd02ace}" ma:internalName="TaxCatchAll" ma:showField="CatchAllData" ma:web="8f2bf426-9341-49f1-9f64-685ae2f33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2bf426-9341-49f1-9f64-685ae2f33847" xsi:nil="true"/>
    <lcf76f155ced4ddcb4097134ff3c332f xmlns="cf7b20c8-4f48-4235-bfa0-7705583ae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616142-440F-40D4-B660-51D0F0D5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7b20c8-4f48-4235-bfa0-7705583ae248"/>
    <ds:schemaRef ds:uri="8f2bf426-9341-49f1-9f64-685ae2f3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AC2EF-6BFF-44DE-BCA9-560CA5EF7E8A}">
  <ds:schemaRefs>
    <ds:schemaRef ds:uri="http://schemas.microsoft.com/sharepoint/v3/contenttype/forms"/>
  </ds:schemaRefs>
</ds:datastoreItem>
</file>

<file path=customXml/itemProps3.xml><?xml version="1.0" encoding="utf-8"?>
<ds:datastoreItem xmlns:ds="http://schemas.openxmlformats.org/officeDocument/2006/customXml" ds:itemID="{0070BA86-9A8A-402D-9358-8191482F0EFF}">
  <ds:schemaRefs>
    <ds:schemaRef ds:uri="http://schemas.microsoft.com/office/2006/metadata/properties"/>
    <ds:schemaRef ds:uri="http://schemas.microsoft.com/office/infopath/2007/PartnerControls"/>
    <ds:schemaRef ds:uri="http://schemas.microsoft.com/sharepoint/v3"/>
    <ds:schemaRef ds:uri="8f2bf426-9341-49f1-9f64-685ae2f33847"/>
    <ds:schemaRef ds:uri="cf7b20c8-4f48-4235-bfa0-7705583ae24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SRCL</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Samuel.cook</dc:creator>
  <cp:lastModifiedBy>BRETHERTON, Sinead (REGENT HOUSE SURGERY)</cp:lastModifiedBy>
  <cp:revision>2</cp:revision>
  <cp:lastPrinted>2015-06-08T11:41:00Z</cp:lastPrinted>
  <dcterms:created xsi:type="dcterms:W3CDTF">2024-05-21T11:01:00Z</dcterms:created>
  <dcterms:modified xsi:type="dcterms:W3CDTF">2024-05-21T11:01:00Z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0x0101009B7D106E389A944F8F2AF625CA43328A</vt:lpwstr>
  </property>
  <property fmtid="{D5CDD505-2E9C-101B-9397-08002B2CF9AE}" pid="3" name="Order">
    <vt:r8>100</vt:r8>
  </property>
  <property fmtid="{D5CDD505-2E9C-101B-9397-08002B2CF9AE}" pid="4" name="MediaServiceImageTags">
    <vt:lpwstr/>
  </property>
</Properties>
</file>