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ED8E" w14:textId="472059E5" w:rsidR="00AE7B9C" w:rsidRDefault="00AE7B9C" w:rsidP="001D481D">
      <w:pPr>
        <w:pStyle w:val="Heading2"/>
        <w:jc w:val="center"/>
        <w:rPr>
          <w:rFonts w:asciiTheme="minorHAnsi" w:hAnsiTheme="minorHAnsi"/>
          <w:color w:val="000000" w:themeColor="text1"/>
          <w:u w:val="single"/>
        </w:rPr>
      </w:pPr>
      <w:bookmarkStart w:id="0" w:name="_Toc509935813"/>
      <w:r>
        <w:rPr>
          <w:rFonts w:asciiTheme="minorHAnsi" w:hAnsiTheme="minorHAnsi"/>
          <w:color w:val="000000" w:themeColor="text1"/>
          <w:u w:val="single"/>
        </w:rPr>
        <w:t>MARPLE BRIDGE SURGERY</w:t>
      </w:r>
    </w:p>
    <w:p w14:paraId="0F97CEFF" w14:textId="3BDCD072" w:rsidR="001D481D" w:rsidRPr="0078165F" w:rsidRDefault="001D481D" w:rsidP="001D481D">
      <w:pPr>
        <w:pStyle w:val="Heading2"/>
        <w:jc w:val="center"/>
        <w:rPr>
          <w:rFonts w:asciiTheme="minorHAnsi" w:hAnsiTheme="minorHAnsi"/>
          <w:color w:val="000000" w:themeColor="text1"/>
          <w:u w:val="single"/>
        </w:rPr>
      </w:pPr>
      <w:r w:rsidRPr="00272F86">
        <w:rPr>
          <w:rFonts w:asciiTheme="minorHAnsi" w:hAnsiTheme="minorHAnsi"/>
          <w:color w:val="000000" w:themeColor="text1"/>
          <w:u w:val="single"/>
        </w:rPr>
        <w:t>Data Breach Notification Policy</w:t>
      </w:r>
      <w:r w:rsidR="00AE7B9C">
        <w:rPr>
          <w:rFonts w:asciiTheme="minorHAnsi" w:hAnsiTheme="minorHAnsi"/>
          <w:color w:val="000000" w:themeColor="text1"/>
          <w:u w:val="single"/>
        </w:rPr>
        <w:t xml:space="preserve"> </w:t>
      </w:r>
    </w:p>
    <w:p w14:paraId="4DECB399" w14:textId="77777777" w:rsidR="001D481D" w:rsidRPr="00272F86" w:rsidRDefault="001D481D" w:rsidP="001D481D">
      <w:pPr>
        <w:pStyle w:val="Heading2"/>
        <w:numPr>
          <w:ilvl w:val="1"/>
          <w:numId w:val="1"/>
        </w:numPr>
        <w:ind w:left="0" w:firstLine="0"/>
        <w:rPr>
          <w:rFonts w:asciiTheme="minorHAnsi" w:hAnsiTheme="minorHAnsi"/>
          <w:color w:val="000000" w:themeColor="text1"/>
          <w:sz w:val="28"/>
        </w:rPr>
      </w:pPr>
      <w:r w:rsidRPr="00272F86">
        <w:rPr>
          <w:rFonts w:asciiTheme="minorHAnsi" w:hAnsiTheme="minorHAnsi"/>
          <w:color w:val="000000" w:themeColor="text1"/>
          <w:sz w:val="28"/>
        </w:rPr>
        <w:t>Data breach definition</w:t>
      </w:r>
      <w:bookmarkEnd w:id="0"/>
    </w:p>
    <w:p w14:paraId="0CB2DFCF" w14:textId="77777777" w:rsidR="001D481D" w:rsidRDefault="001D481D" w:rsidP="001D481D">
      <w:pPr>
        <w:rPr>
          <w:rStyle w:val="SpecialCharTok"/>
          <w:rFonts w:asciiTheme="minorHAnsi" w:hAnsiTheme="minorHAnsi" w:cs="Arial"/>
          <w:sz w:val="21"/>
          <w:szCs w:val="22"/>
        </w:rPr>
      </w:pPr>
      <w:r w:rsidRPr="00F51F4B">
        <w:rPr>
          <w:rFonts w:asciiTheme="minorHAnsi" w:hAnsiTheme="minorHAnsi"/>
          <w:sz w:val="22"/>
        </w:rPr>
        <w:t>A data breach is defined as any incident that has affected the confidentiality, integrity or availability of personal data.</w:t>
      </w:r>
      <w:r w:rsidRPr="00F51F4B">
        <w:rPr>
          <w:rStyle w:val="SpecialCharTok"/>
          <w:rFonts w:asciiTheme="minorHAnsi" w:hAnsiTheme="minorHAnsi" w:cs="Arial"/>
          <w:sz w:val="21"/>
          <w:szCs w:val="22"/>
        </w:rPr>
        <w:t xml:space="preserve"> </w:t>
      </w:r>
      <w:r>
        <w:rPr>
          <w:rFonts w:asciiTheme="minorHAnsi" w:hAnsiTheme="minorHAnsi" w:cs="Arial"/>
          <w:sz w:val="22"/>
          <w:szCs w:val="22"/>
        </w:rPr>
        <w:t xml:space="preserve">The Information Commissioners Office (ICO) guidance is available via this </w:t>
      </w:r>
      <w:hyperlink r:id="rId7" w:history="1">
        <w:r w:rsidRPr="00272F86">
          <w:rPr>
            <w:rStyle w:val="Hyperlink"/>
            <w:rFonts w:asciiTheme="minorHAnsi" w:hAnsiTheme="minorHAnsi" w:cs="Arial"/>
            <w:sz w:val="22"/>
            <w:szCs w:val="22"/>
          </w:rPr>
          <w:t>link</w:t>
        </w:r>
      </w:hyperlink>
      <w:r>
        <w:rPr>
          <w:rFonts w:asciiTheme="minorHAnsi" w:hAnsiTheme="minorHAnsi" w:cs="Arial"/>
          <w:sz w:val="22"/>
          <w:szCs w:val="22"/>
        </w:rPr>
        <w:t>.</w:t>
      </w:r>
    </w:p>
    <w:p w14:paraId="4540B8E7" w14:textId="77777777" w:rsidR="001D481D" w:rsidRPr="00F51F4B" w:rsidRDefault="001D481D" w:rsidP="001D481D">
      <w:pPr>
        <w:rPr>
          <w:rFonts w:asciiTheme="minorHAnsi" w:hAnsiTheme="minorHAnsi"/>
          <w:sz w:val="22"/>
        </w:rPr>
      </w:pPr>
      <w:r w:rsidRPr="00F51F4B">
        <w:rPr>
          <w:rFonts w:asciiTheme="minorHAnsi" w:hAnsiTheme="minorHAnsi"/>
          <w:sz w:val="22"/>
        </w:rPr>
        <w:t>Examples of data breaches include:</w:t>
      </w:r>
    </w:p>
    <w:p w14:paraId="5F02524E" w14:textId="77777777" w:rsidR="001D481D" w:rsidRPr="00F51F4B" w:rsidRDefault="001D481D" w:rsidP="001D481D">
      <w:pPr>
        <w:pStyle w:val="ListParagraph"/>
        <w:numPr>
          <w:ilvl w:val="0"/>
          <w:numId w:val="2"/>
        </w:numPr>
        <w:rPr>
          <w:rFonts w:asciiTheme="minorHAnsi" w:hAnsiTheme="minorHAnsi"/>
          <w:sz w:val="22"/>
        </w:rPr>
      </w:pPr>
      <w:r w:rsidRPr="00F51F4B">
        <w:rPr>
          <w:rFonts w:asciiTheme="minorHAnsi" w:hAnsiTheme="minorHAnsi"/>
          <w:sz w:val="22"/>
        </w:rPr>
        <w:t>Unauthorized third-party access to data</w:t>
      </w:r>
    </w:p>
    <w:p w14:paraId="771C52C0" w14:textId="77777777" w:rsidR="001D481D" w:rsidRPr="00F51F4B" w:rsidRDefault="001D481D" w:rsidP="001D481D">
      <w:pPr>
        <w:pStyle w:val="ListParagraph"/>
        <w:numPr>
          <w:ilvl w:val="0"/>
          <w:numId w:val="2"/>
        </w:numPr>
        <w:rPr>
          <w:rFonts w:asciiTheme="minorHAnsi" w:hAnsiTheme="minorHAnsi"/>
          <w:sz w:val="22"/>
        </w:rPr>
      </w:pPr>
      <w:r w:rsidRPr="00F51F4B">
        <w:rPr>
          <w:rFonts w:asciiTheme="minorHAnsi" w:hAnsiTheme="minorHAnsi"/>
          <w:sz w:val="22"/>
        </w:rPr>
        <w:t>Loss of personal data</w:t>
      </w:r>
    </w:p>
    <w:p w14:paraId="149F767B" w14:textId="77777777" w:rsidR="001D481D" w:rsidRPr="00F51F4B" w:rsidRDefault="001D481D" w:rsidP="001D481D">
      <w:pPr>
        <w:pStyle w:val="ListParagraph"/>
        <w:numPr>
          <w:ilvl w:val="0"/>
          <w:numId w:val="2"/>
        </w:numPr>
        <w:rPr>
          <w:rFonts w:asciiTheme="minorHAnsi" w:hAnsiTheme="minorHAnsi"/>
          <w:sz w:val="22"/>
        </w:rPr>
      </w:pPr>
      <w:r w:rsidRPr="00F51F4B">
        <w:rPr>
          <w:rFonts w:asciiTheme="minorHAnsi" w:hAnsiTheme="minorHAnsi"/>
          <w:sz w:val="22"/>
        </w:rPr>
        <w:t>Amending personal data without data subject authorization</w:t>
      </w:r>
    </w:p>
    <w:p w14:paraId="4491015C" w14:textId="77777777" w:rsidR="001D481D" w:rsidRPr="00F51F4B" w:rsidRDefault="001D481D" w:rsidP="001D481D">
      <w:pPr>
        <w:pStyle w:val="ListParagraph"/>
        <w:numPr>
          <w:ilvl w:val="0"/>
          <w:numId w:val="2"/>
        </w:numPr>
        <w:rPr>
          <w:rFonts w:asciiTheme="minorHAnsi" w:hAnsiTheme="minorHAnsi"/>
          <w:sz w:val="22"/>
        </w:rPr>
      </w:pPr>
      <w:r w:rsidRPr="00F51F4B">
        <w:rPr>
          <w:rFonts w:asciiTheme="minorHAnsi" w:hAnsiTheme="minorHAnsi"/>
          <w:sz w:val="22"/>
        </w:rPr>
        <w:t>The loss or theft of IT equipment which contains personal data</w:t>
      </w:r>
    </w:p>
    <w:p w14:paraId="09EDF480" w14:textId="77777777" w:rsidR="001D481D" w:rsidRPr="00F51F4B" w:rsidRDefault="001D481D" w:rsidP="001D481D">
      <w:pPr>
        <w:pStyle w:val="ListParagraph"/>
        <w:numPr>
          <w:ilvl w:val="0"/>
          <w:numId w:val="2"/>
        </w:numPr>
        <w:rPr>
          <w:rFonts w:asciiTheme="minorHAnsi" w:hAnsiTheme="minorHAnsi"/>
          <w:sz w:val="22"/>
        </w:rPr>
      </w:pPr>
      <w:r w:rsidRPr="00F51F4B">
        <w:rPr>
          <w:rFonts w:asciiTheme="minorHAnsi" w:hAnsiTheme="minorHAnsi"/>
          <w:sz w:val="22"/>
        </w:rPr>
        <w:t>Personal data being sent to the incorrect recipient</w:t>
      </w:r>
    </w:p>
    <w:p w14:paraId="08C99052" w14:textId="77777777" w:rsidR="001D481D" w:rsidRPr="00272F86" w:rsidRDefault="001D481D" w:rsidP="001D481D">
      <w:pPr>
        <w:pStyle w:val="Heading2"/>
        <w:numPr>
          <w:ilvl w:val="1"/>
          <w:numId w:val="1"/>
        </w:numPr>
        <w:ind w:left="0" w:firstLine="0"/>
        <w:rPr>
          <w:rFonts w:asciiTheme="minorHAnsi" w:hAnsiTheme="minorHAnsi"/>
          <w:color w:val="000000" w:themeColor="text1"/>
          <w:sz w:val="28"/>
        </w:rPr>
      </w:pPr>
      <w:bookmarkStart w:id="1" w:name="_Toc509935814"/>
      <w:r w:rsidRPr="00272F86">
        <w:rPr>
          <w:rFonts w:asciiTheme="minorHAnsi" w:hAnsiTheme="minorHAnsi"/>
          <w:color w:val="000000" w:themeColor="text1"/>
          <w:sz w:val="28"/>
        </w:rPr>
        <w:t>Reporting the data breach</w:t>
      </w:r>
      <w:bookmarkEnd w:id="1"/>
    </w:p>
    <w:p w14:paraId="37B247A5" w14:textId="77777777" w:rsidR="001D481D" w:rsidRDefault="001D481D" w:rsidP="001D481D">
      <w:pPr>
        <w:rPr>
          <w:rFonts w:asciiTheme="minorHAnsi" w:hAnsiTheme="minorHAnsi"/>
          <w:sz w:val="22"/>
        </w:rPr>
      </w:pPr>
      <w:r w:rsidRPr="00F51F4B">
        <w:rPr>
          <w:rFonts w:asciiTheme="minorHAnsi" w:hAnsiTheme="minorHAnsi"/>
          <w:sz w:val="22"/>
        </w:rPr>
        <w:t>Any breach that is likely to have an adverse effect on an individual’s rights or freedoms must be reported. In order to determine the requirement to inform the ICO, to notify them of a breach, the da</w:t>
      </w:r>
      <w:r>
        <w:rPr>
          <w:rFonts w:asciiTheme="minorHAnsi" w:hAnsiTheme="minorHAnsi"/>
          <w:sz w:val="22"/>
        </w:rPr>
        <w:t>ta controller is to follow the flow chart in appendix 1.</w:t>
      </w:r>
    </w:p>
    <w:p w14:paraId="4D736513" w14:textId="77777777" w:rsidR="001D481D" w:rsidRPr="00F51F4B" w:rsidRDefault="001D481D" w:rsidP="001D481D">
      <w:pPr>
        <w:rPr>
          <w:rFonts w:asciiTheme="minorHAnsi" w:hAnsiTheme="minorHAnsi"/>
          <w:sz w:val="22"/>
        </w:rPr>
      </w:pPr>
      <w:r w:rsidRPr="00F51F4B">
        <w:rPr>
          <w:rFonts w:asciiTheme="minorHAnsi" w:hAnsiTheme="minorHAnsi"/>
          <w:sz w:val="22"/>
        </w:rPr>
        <w:t>Breaches must be reported without undue delay or within 72 hours of the breach being identified.</w:t>
      </w:r>
    </w:p>
    <w:p w14:paraId="5EF96577" w14:textId="77777777" w:rsidR="001D481D" w:rsidRPr="00F51F4B" w:rsidRDefault="001D481D" w:rsidP="001D481D">
      <w:pPr>
        <w:rPr>
          <w:rFonts w:asciiTheme="minorHAnsi" w:hAnsiTheme="minorHAnsi"/>
          <w:sz w:val="22"/>
        </w:rPr>
      </w:pPr>
      <w:r w:rsidRPr="00F51F4B">
        <w:rPr>
          <w:rFonts w:asciiTheme="minorHAnsi" w:hAnsiTheme="minorHAnsi"/>
          <w:sz w:val="22"/>
        </w:rPr>
        <w:t>When a breach is identified and it is necessary to report the breach, the report is to contain the following information:</w:t>
      </w:r>
    </w:p>
    <w:p w14:paraId="20B65EB9" w14:textId="77777777" w:rsidR="001D481D" w:rsidRPr="00F51F4B" w:rsidRDefault="001D481D" w:rsidP="001D481D">
      <w:pPr>
        <w:pStyle w:val="ListParagraph"/>
        <w:numPr>
          <w:ilvl w:val="0"/>
          <w:numId w:val="3"/>
        </w:numPr>
        <w:rPr>
          <w:rFonts w:asciiTheme="minorHAnsi" w:hAnsiTheme="minorHAnsi"/>
          <w:sz w:val="22"/>
        </w:rPr>
      </w:pPr>
      <w:r w:rsidRPr="00F51F4B">
        <w:rPr>
          <w:rFonts w:asciiTheme="minorHAnsi" w:hAnsiTheme="minorHAnsi"/>
          <w:sz w:val="22"/>
        </w:rPr>
        <w:t>Organizations details</w:t>
      </w:r>
    </w:p>
    <w:p w14:paraId="0F5CA68B" w14:textId="77777777" w:rsidR="001D481D" w:rsidRPr="00F51F4B" w:rsidRDefault="001D481D" w:rsidP="001D481D">
      <w:pPr>
        <w:pStyle w:val="ListParagraph"/>
        <w:numPr>
          <w:ilvl w:val="0"/>
          <w:numId w:val="3"/>
        </w:numPr>
        <w:rPr>
          <w:rFonts w:asciiTheme="minorHAnsi" w:hAnsiTheme="minorHAnsi"/>
          <w:sz w:val="22"/>
        </w:rPr>
      </w:pPr>
      <w:r w:rsidRPr="00F51F4B">
        <w:rPr>
          <w:rFonts w:asciiTheme="minorHAnsi" w:hAnsiTheme="minorHAnsi"/>
          <w:sz w:val="22"/>
        </w:rPr>
        <w:t>Details of the data protection breach</w:t>
      </w:r>
    </w:p>
    <w:p w14:paraId="706DD2F9" w14:textId="77777777" w:rsidR="001D481D" w:rsidRPr="00F51F4B" w:rsidRDefault="001D481D" w:rsidP="001D481D">
      <w:pPr>
        <w:pStyle w:val="ListParagraph"/>
        <w:numPr>
          <w:ilvl w:val="0"/>
          <w:numId w:val="3"/>
        </w:numPr>
        <w:rPr>
          <w:rFonts w:asciiTheme="minorHAnsi" w:hAnsiTheme="minorHAnsi"/>
          <w:sz w:val="22"/>
        </w:rPr>
      </w:pPr>
      <w:r w:rsidRPr="00F51F4B">
        <w:rPr>
          <w:rFonts w:asciiTheme="minorHAnsi" w:hAnsiTheme="minorHAnsi"/>
          <w:sz w:val="22"/>
        </w:rPr>
        <w:t>What personal data has been placed at risk</w:t>
      </w:r>
    </w:p>
    <w:p w14:paraId="4043884D" w14:textId="77777777" w:rsidR="001D481D" w:rsidRPr="00F51F4B" w:rsidRDefault="001D481D" w:rsidP="001D481D">
      <w:pPr>
        <w:pStyle w:val="ListParagraph"/>
        <w:numPr>
          <w:ilvl w:val="0"/>
          <w:numId w:val="3"/>
        </w:numPr>
        <w:rPr>
          <w:rFonts w:asciiTheme="minorHAnsi" w:hAnsiTheme="minorHAnsi"/>
          <w:sz w:val="22"/>
        </w:rPr>
      </w:pPr>
      <w:r w:rsidRPr="00F51F4B">
        <w:rPr>
          <w:rFonts w:asciiTheme="minorHAnsi" w:hAnsiTheme="minorHAnsi"/>
          <w:sz w:val="22"/>
        </w:rPr>
        <w:t>Actions taken to contain the breach and recover the data</w:t>
      </w:r>
    </w:p>
    <w:p w14:paraId="79D0D6E6" w14:textId="77777777" w:rsidR="001D481D" w:rsidRPr="00F51F4B" w:rsidRDefault="001D481D" w:rsidP="001D481D">
      <w:pPr>
        <w:pStyle w:val="ListParagraph"/>
        <w:numPr>
          <w:ilvl w:val="0"/>
          <w:numId w:val="3"/>
        </w:numPr>
        <w:rPr>
          <w:rFonts w:asciiTheme="minorHAnsi" w:hAnsiTheme="minorHAnsi"/>
          <w:sz w:val="22"/>
        </w:rPr>
      </w:pPr>
      <w:r w:rsidRPr="00F51F4B">
        <w:rPr>
          <w:rFonts w:asciiTheme="minorHAnsi" w:hAnsiTheme="minorHAnsi"/>
          <w:sz w:val="22"/>
        </w:rPr>
        <w:t>What training and guidance has been provided</w:t>
      </w:r>
    </w:p>
    <w:p w14:paraId="5BD12918" w14:textId="77777777" w:rsidR="001D481D" w:rsidRPr="00F51F4B" w:rsidRDefault="001D481D" w:rsidP="001D481D">
      <w:pPr>
        <w:pStyle w:val="ListParagraph"/>
        <w:numPr>
          <w:ilvl w:val="0"/>
          <w:numId w:val="3"/>
        </w:numPr>
        <w:rPr>
          <w:rFonts w:asciiTheme="minorHAnsi" w:hAnsiTheme="minorHAnsi"/>
          <w:sz w:val="22"/>
        </w:rPr>
      </w:pPr>
      <w:r w:rsidRPr="00F51F4B">
        <w:rPr>
          <w:rFonts w:asciiTheme="minorHAnsi" w:hAnsiTheme="minorHAnsi"/>
          <w:sz w:val="22"/>
        </w:rPr>
        <w:t>Any previous contact with the Information Commissioner’s Office (ICO)</w:t>
      </w:r>
    </w:p>
    <w:p w14:paraId="02225B29" w14:textId="77777777" w:rsidR="001D481D" w:rsidRPr="00F51F4B" w:rsidRDefault="001D481D" w:rsidP="001D481D">
      <w:pPr>
        <w:rPr>
          <w:rFonts w:asciiTheme="minorHAnsi" w:hAnsiTheme="minorHAnsi"/>
          <w:sz w:val="22"/>
        </w:rPr>
      </w:pPr>
      <w:r w:rsidRPr="00F51F4B">
        <w:rPr>
          <w:rFonts w:asciiTheme="minorHAnsi" w:hAnsiTheme="minorHAnsi"/>
          <w:sz w:val="22"/>
        </w:rPr>
        <w:t xml:space="preserve">The </w:t>
      </w:r>
      <w:hyperlink r:id="rId8" w:history="1">
        <w:r w:rsidRPr="00F51F4B">
          <w:rPr>
            <w:rStyle w:val="Hyperlink"/>
            <w:rFonts w:asciiTheme="minorHAnsi" w:hAnsiTheme="minorHAnsi"/>
            <w:sz w:val="22"/>
          </w:rPr>
          <w:t>ICO data protection breach notification form</w:t>
        </w:r>
      </w:hyperlink>
      <w:r w:rsidRPr="00F51F4B">
        <w:rPr>
          <w:rFonts w:asciiTheme="minorHAnsi" w:hAnsiTheme="minorHAnsi"/>
          <w:sz w:val="22"/>
        </w:rPr>
        <w:t xml:space="preserve"> should be used to report a breach. Failure to report a breach can result in a fine of up to </w:t>
      </w:r>
      <w:hyperlink r:id="rId9" w:history="1">
        <w:r w:rsidRPr="00272F86">
          <w:rPr>
            <w:rStyle w:val="Hyperlink"/>
            <w:rFonts w:asciiTheme="minorHAnsi" w:hAnsiTheme="minorHAnsi"/>
            <w:sz w:val="22"/>
          </w:rPr>
          <w:t>€10 million</w:t>
        </w:r>
      </w:hyperlink>
      <w:r w:rsidRPr="00F51F4B">
        <w:rPr>
          <w:rFonts w:asciiTheme="minorHAnsi" w:hAnsiTheme="minorHAnsi"/>
          <w:sz w:val="22"/>
        </w:rPr>
        <w:t>.</w:t>
      </w:r>
    </w:p>
    <w:p w14:paraId="7B0FD469" w14:textId="735DDBFD" w:rsidR="001D481D" w:rsidRPr="00F51F4B" w:rsidRDefault="001D481D" w:rsidP="001D481D">
      <w:pPr>
        <w:rPr>
          <w:rFonts w:asciiTheme="minorHAnsi" w:hAnsiTheme="minorHAnsi"/>
          <w:sz w:val="22"/>
        </w:rPr>
      </w:pPr>
      <w:r w:rsidRPr="00F51F4B">
        <w:rPr>
          <w:rFonts w:asciiTheme="minorHAnsi" w:hAnsiTheme="minorHAnsi"/>
          <w:sz w:val="22"/>
        </w:rPr>
        <w:t xml:space="preserve">The data controller is to ensure that all breaches at </w:t>
      </w:r>
      <w:r w:rsidR="00F5765B">
        <w:rPr>
          <w:rFonts w:asciiTheme="minorHAnsi" w:hAnsiTheme="minorHAnsi"/>
          <w:sz w:val="22"/>
        </w:rPr>
        <w:t>Marple Bridge Surgery</w:t>
      </w:r>
      <w:r w:rsidRPr="00F51F4B">
        <w:rPr>
          <w:rFonts w:asciiTheme="minorHAnsi" w:hAnsiTheme="minorHAnsi"/>
          <w:sz w:val="22"/>
        </w:rPr>
        <w:t xml:space="preserve"> are recorded; this includes:</w:t>
      </w:r>
    </w:p>
    <w:p w14:paraId="2954B9E8" w14:textId="77777777" w:rsidR="001D481D" w:rsidRPr="00F51F4B" w:rsidRDefault="001D481D" w:rsidP="001D481D">
      <w:pPr>
        <w:pStyle w:val="ListParagraph"/>
        <w:numPr>
          <w:ilvl w:val="0"/>
          <w:numId w:val="4"/>
        </w:numPr>
        <w:rPr>
          <w:rFonts w:asciiTheme="minorHAnsi" w:hAnsiTheme="minorHAnsi"/>
          <w:sz w:val="22"/>
        </w:rPr>
      </w:pPr>
      <w:r w:rsidRPr="00F51F4B">
        <w:rPr>
          <w:rFonts w:asciiTheme="minorHAnsi" w:hAnsiTheme="minorHAnsi"/>
          <w:sz w:val="22"/>
        </w:rPr>
        <w:t>Documenting the circumstances surrounding the breach</w:t>
      </w:r>
    </w:p>
    <w:p w14:paraId="326CCA21" w14:textId="77777777" w:rsidR="001D481D" w:rsidRPr="00F51F4B" w:rsidRDefault="001D481D" w:rsidP="001D481D">
      <w:pPr>
        <w:pStyle w:val="ListParagraph"/>
        <w:numPr>
          <w:ilvl w:val="0"/>
          <w:numId w:val="4"/>
        </w:numPr>
        <w:rPr>
          <w:rFonts w:asciiTheme="minorHAnsi" w:hAnsiTheme="minorHAnsi"/>
          <w:sz w:val="22"/>
        </w:rPr>
      </w:pPr>
      <w:r w:rsidRPr="00F51F4B">
        <w:rPr>
          <w:rFonts w:asciiTheme="minorHAnsi" w:hAnsiTheme="minorHAnsi"/>
          <w:sz w:val="22"/>
        </w:rPr>
        <w:t>The cause of the breach; was it human or a system error?</w:t>
      </w:r>
    </w:p>
    <w:p w14:paraId="12932D75" w14:textId="77777777" w:rsidR="001D481D" w:rsidRPr="00F51F4B" w:rsidRDefault="001D481D" w:rsidP="001D481D">
      <w:pPr>
        <w:pStyle w:val="ListParagraph"/>
        <w:numPr>
          <w:ilvl w:val="0"/>
          <w:numId w:val="4"/>
        </w:numPr>
        <w:rPr>
          <w:rFonts w:asciiTheme="minorHAnsi" w:hAnsiTheme="minorHAnsi"/>
          <w:sz w:val="22"/>
        </w:rPr>
      </w:pPr>
      <w:r w:rsidRPr="00F51F4B">
        <w:rPr>
          <w:rFonts w:asciiTheme="minorHAnsi" w:hAnsiTheme="minorHAnsi"/>
          <w:sz w:val="22"/>
        </w:rPr>
        <w:t>Identifying how future incidences can be prevented, such as training sessions or process improvements</w:t>
      </w:r>
    </w:p>
    <w:p w14:paraId="33439056" w14:textId="77777777" w:rsidR="001D481D" w:rsidRPr="00272F86" w:rsidRDefault="001D481D" w:rsidP="001D481D">
      <w:pPr>
        <w:pStyle w:val="Heading2"/>
        <w:numPr>
          <w:ilvl w:val="1"/>
          <w:numId w:val="1"/>
        </w:numPr>
        <w:ind w:left="0" w:firstLine="0"/>
        <w:rPr>
          <w:rFonts w:asciiTheme="minorHAnsi" w:hAnsiTheme="minorHAnsi"/>
          <w:color w:val="000000" w:themeColor="text1"/>
          <w:sz w:val="28"/>
        </w:rPr>
      </w:pPr>
      <w:bookmarkStart w:id="2" w:name="_Toc509935815"/>
      <w:r w:rsidRPr="00272F86">
        <w:rPr>
          <w:rFonts w:asciiTheme="minorHAnsi" w:hAnsiTheme="minorHAnsi"/>
          <w:color w:val="000000" w:themeColor="text1"/>
          <w:sz w:val="28"/>
        </w:rPr>
        <w:t>Notifying a Data Subject of a Breach</w:t>
      </w:r>
      <w:bookmarkEnd w:id="2"/>
    </w:p>
    <w:p w14:paraId="4204FAE0" w14:textId="77777777" w:rsidR="001D481D" w:rsidRPr="00F51F4B" w:rsidRDefault="001D481D" w:rsidP="001D481D">
      <w:pPr>
        <w:rPr>
          <w:rFonts w:asciiTheme="minorHAnsi" w:hAnsiTheme="minorHAnsi"/>
          <w:sz w:val="22"/>
        </w:rPr>
      </w:pPr>
      <w:r w:rsidRPr="00F51F4B">
        <w:rPr>
          <w:rFonts w:asciiTheme="minorHAnsi" w:hAnsiTheme="minorHAnsi"/>
          <w:sz w:val="22"/>
        </w:rPr>
        <w:t xml:space="preserve">The data controller must notify a data subject of a breach that has affected their personal data without undue delay. If the breach is high risk (i.e. a breach that is likely to have an adverse effect on an individual’s rights or freedoms), then the data controller is to notify the individual before they notify the ICO. </w:t>
      </w:r>
    </w:p>
    <w:p w14:paraId="54192FBA" w14:textId="77777777" w:rsidR="001D481D" w:rsidRPr="00F51F4B" w:rsidRDefault="001D481D" w:rsidP="001D481D">
      <w:pPr>
        <w:rPr>
          <w:rFonts w:asciiTheme="minorHAnsi" w:hAnsiTheme="minorHAnsi"/>
          <w:sz w:val="22"/>
        </w:rPr>
      </w:pPr>
      <w:r w:rsidRPr="00F51F4B">
        <w:rPr>
          <w:rFonts w:asciiTheme="minorHAnsi" w:hAnsiTheme="minorHAnsi"/>
          <w:sz w:val="22"/>
        </w:rPr>
        <w:t xml:space="preserve">The Primary reason for notifying a data subject is to afford them the opportunity to take the necessary steps in order to protect themselves from the effects of a breach. </w:t>
      </w:r>
    </w:p>
    <w:p w14:paraId="6548CFEE" w14:textId="13996417" w:rsidR="001D481D" w:rsidRPr="00F51F4B" w:rsidRDefault="001D481D" w:rsidP="001D481D">
      <w:pPr>
        <w:rPr>
          <w:rFonts w:asciiTheme="minorHAnsi" w:hAnsiTheme="minorHAnsi"/>
          <w:sz w:val="22"/>
        </w:rPr>
      </w:pPr>
      <w:r w:rsidRPr="00F51F4B">
        <w:rPr>
          <w:rFonts w:asciiTheme="minorHAnsi" w:hAnsiTheme="minorHAnsi"/>
          <w:sz w:val="22"/>
        </w:rPr>
        <w:t xml:space="preserve">When the decision has been made to notify a data subject of a breach, the data controller at </w:t>
      </w:r>
      <w:r w:rsidR="00AE7B9C">
        <w:rPr>
          <w:rFonts w:asciiTheme="minorHAnsi" w:hAnsiTheme="minorHAnsi"/>
          <w:b/>
          <w:i/>
          <w:color w:val="70AD47" w:themeColor="accent6"/>
          <w:sz w:val="22"/>
        </w:rPr>
        <w:t>Marple Bridge Surgery</w:t>
      </w:r>
      <w:r w:rsidRPr="00F51F4B">
        <w:rPr>
          <w:rFonts w:asciiTheme="minorHAnsi" w:hAnsiTheme="minorHAnsi"/>
          <w:sz w:val="22"/>
        </w:rPr>
        <w:t xml:space="preserve"> is to provide the data subject with the following information in a clear, comprehensible manner:</w:t>
      </w:r>
    </w:p>
    <w:p w14:paraId="355DC3BD" w14:textId="77777777" w:rsidR="001D481D" w:rsidRPr="00F51F4B" w:rsidRDefault="001D481D" w:rsidP="001D481D">
      <w:pPr>
        <w:pStyle w:val="ListParagraph"/>
        <w:numPr>
          <w:ilvl w:val="0"/>
          <w:numId w:val="5"/>
        </w:numPr>
        <w:rPr>
          <w:rFonts w:asciiTheme="minorHAnsi" w:hAnsiTheme="minorHAnsi"/>
          <w:sz w:val="22"/>
        </w:rPr>
      </w:pPr>
      <w:r w:rsidRPr="00F51F4B">
        <w:rPr>
          <w:rFonts w:asciiTheme="minorHAnsi" w:hAnsiTheme="minorHAnsi"/>
          <w:sz w:val="22"/>
        </w:rPr>
        <w:t>The circumstances surrounding the breach</w:t>
      </w:r>
    </w:p>
    <w:p w14:paraId="692B012D" w14:textId="77777777" w:rsidR="001D481D" w:rsidRPr="00F51F4B" w:rsidRDefault="001D481D" w:rsidP="001D481D">
      <w:pPr>
        <w:pStyle w:val="ListParagraph"/>
        <w:numPr>
          <w:ilvl w:val="0"/>
          <w:numId w:val="5"/>
        </w:numPr>
        <w:rPr>
          <w:rFonts w:asciiTheme="minorHAnsi" w:hAnsiTheme="minorHAnsi"/>
          <w:sz w:val="22"/>
        </w:rPr>
      </w:pPr>
      <w:r w:rsidRPr="00F51F4B">
        <w:rPr>
          <w:rFonts w:asciiTheme="minorHAnsi" w:hAnsiTheme="minorHAnsi"/>
          <w:sz w:val="22"/>
        </w:rPr>
        <w:lastRenderedPageBreak/>
        <w:t>The details of the person who will be managing the breach</w:t>
      </w:r>
    </w:p>
    <w:p w14:paraId="31D8FB2F" w14:textId="77777777" w:rsidR="001D481D" w:rsidRPr="00F51F4B" w:rsidRDefault="001D481D" w:rsidP="001D481D">
      <w:pPr>
        <w:pStyle w:val="ListParagraph"/>
        <w:numPr>
          <w:ilvl w:val="0"/>
          <w:numId w:val="5"/>
        </w:numPr>
        <w:rPr>
          <w:rFonts w:asciiTheme="minorHAnsi" w:hAnsiTheme="minorHAnsi"/>
          <w:sz w:val="22"/>
        </w:rPr>
      </w:pPr>
      <w:r w:rsidRPr="00F51F4B">
        <w:rPr>
          <w:rFonts w:asciiTheme="minorHAnsi" w:hAnsiTheme="minorHAnsi"/>
          <w:sz w:val="22"/>
        </w:rPr>
        <w:t>Any actions taken to contain and manage the breach</w:t>
      </w:r>
    </w:p>
    <w:p w14:paraId="6C28F9C3" w14:textId="77777777" w:rsidR="001D481D" w:rsidRPr="00F51F4B" w:rsidRDefault="001D481D" w:rsidP="001D481D">
      <w:pPr>
        <w:pStyle w:val="ListParagraph"/>
        <w:numPr>
          <w:ilvl w:val="0"/>
          <w:numId w:val="5"/>
        </w:numPr>
        <w:rPr>
          <w:rFonts w:asciiTheme="minorHAnsi" w:hAnsiTheme="minorHAnsi"/>
          <w:sz w:val="22"/>
        </w:rPr>
      </w:pPr>
      <w:r w:rsidRPr="00F51F4B">
        <w:rPr>
          <w:rFonts w:asciiTheme="minorHAnsi" w:hAnsiTheme="minorHAnsi"/>
          <w:sz w:val="22"/>
        </w:rPr>
        <w:t>Any other pertinent information to support the data subject</w:t>
      </w:r>
    </w:p>
    <w:p w14:paraId="7B0296D0" w14:textId="77777777" w:rsidR="001D481D" w:rsidRPr="00272F86" w:rsidRDefault="001D481D" w:rsidP="001D481D">
      <w:pPr>
        <w:pStyle w:val="Heading2"/>
        <w:numPr>
          <w:ilvl w:val="1"/>
          <w:numId w:val="1"/>
        </w:numPr>
        <w:ind w:left="0" w:firstLine="0"/>
        <w:rPr>
          <w:rFonts w:asciiTheme="minorHAnsi" w:hAnsiTheme="minorHAnsi"/>
          <w:color w:val="000000" w:themeColor="text1"/>
          <w:sz w:val="28"/>
        </w:rPr>
      </w:pPr>
      <w:r w:rsidRPr="00272F86">
        <w:rPr>
          <w:rFonts w:asciiTheme="minorHAnsi" w:hAnsiTheme="minorHAnsi"/>
          <w:color w:val="000000" w:themeColor="text1"/>
          <w:sz w:val="28"/>
        </w:rPr>
        <w:t>Recording a Data Breach</w:t>
      </w:r>
    </w:p>
    <w:p w14:paraId="1CCB9C1E" w14:textId="6E4FD86C" w:rsidR="001D481D" w:rsidRDefault="001D481D" w:rsidP="001D481D">
      <w:pPr>
        <w:rPr>
          <w:rFonts w:asciiTheme="minorHAnsi" w:hAnsiTheme="minorHAnsi"/>
          <w:sz w:val="22"/>
        </w:rPr>
      </w:pPr>
      <w:r w:rsidRPr="00272F86">
        <w:rPr>
          <w:rFonts w:asciiTheme="minorHAnsi" w:hAnsiTheme="minorHAnsi"/>
          <w:sz w:val="22"/>
        </w:rPr>
        <w:t xml:space="preserve">The </w:t>
      </w:r>
      <w:r>
        <w:rPr>
          <w:rFonts w:asciiTheme="minorHAnsi" w:hAnsiTheme="minorHAnsi"/>
          <w:sz w:val="22"/>
        </w:rPr>
        <w:t xml:space="preserve">Practice Data Protection Responsible Officer will record the details and the action taken in the Practice Data Processing, Breach and Staff Register. </w:t>
      </w:r>
    </w:p>
    <w:p w14:paraId="082E92D6" w14:textId="283BD92E" w:rsidR="001D481D" w:rsidRDefault="001D481D" w:rsidP="001D481D">
      <w:pPr>
        <w:rPr>
          <w:rFonts w:asciiTheme="minorHAnsi" w:hAnsiTheme="minorHAnsi"/>
          <w:sz w:val="22"/>
        </w:rPr>
      </w:pPr>
    </w:p>
    <w:p w14:paraId="65089354" w14:textId="77777777" w:rsidR="00F83B81" w:rsidRDefault="001D481D" w:rsidP="001D481D">
      <w:pPr>
        <w:rPr>
          <w:rFonts w:asciiTheme="minorHAnsi" w:hAnsiTheme="minorHAnsi"/>
          <w:b/>
          <w:sz w:val="22"/>
          <w:u w:val="single"/>
        </w:rPr>
      </w:pPr>
      <w:r w:rsidRPr="001D481D">
        <w:rPr>
          <w:rFonts w:asciiTheme="minorHAnsi" w:hAnsiTheme="minorHAnsi"/>
          <w:b/>
          <w:sz w:val="22"/>
          <w:u w:val="single"/>
        </w:rPr>
        <w:t>Appendix 1</w:t>
      </w:r>
    </w:p>
    <w:p w14:paraId="2D6095D6" w14:textId="6F81E3AF" w:rsidR="00F83B81" w:rsidRDefault="001D481D" w:rsidP="001D481D">
      <w:pPr>
        <w:rPr>
          <w:rFonts w:asciiTheme="minorHAnsi" w:hAnsiTheme="minorHAnsi"/>
          <w:b/>
          <w:sz w:val="22"/>
          <w:u w:val="single"/>
        </w:rPr>
      </w:pPr>
      <w:r w:rsidRPr="00F51F4B">
        <w:rPr>
          <w:rFonts w:asciiTheme="minorHAnsi" w:hAnsiTheme="minorHAnsi"/>
          <w:noProof/>
          <w:sz w:val="22"/>
          <w:lang w:val="en-GB" w:eastAsia="en-GB"/>
        </w:rPr>
        <w:drawing>
          <wp:inline distT="0" distB="0" distL="0" distR="0" wp14:anchorId="357E34BA" wp14:editId="3F043125">
            <wp:extent cx="6835620" cy="40217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57928" cy="4034895"/>
                    </a:xfrm>
                    <a:prstGeom prst="rect">
                      <a:avLst/>
                    </a:prstGeom>
                  </pic:spPr>
                </pic:pic>
              </a:graphicData>
            </a:graphic>
          </wp:inline>
        </w:drawing>
      </w:r>
    </w:p>
    <w:p w14:paraId="26923B0B" w14:textId="54E0380C" w:rsidR="00F83B81" w:rsidRDefault="00F83B81" w:rsidP="00F83B81">
      <w:pPr>
        <w:rPr>
          <w:rFonts w:asciiTheme="minorHAnsi" w:hAnsiTheme="minorHAnsi"/>
          <w:sz w:val="22"/>
        </w:rPr>
      </w:pPr>
    </w:p>
    <w:p w14:paraId="38D30DEF" w14:textId="13CA610B" w:rsidR="00F83B81" w:rsidRDefault="00F83B81" w:rsidP="00F83B81">
      <w:pPr>
        <w:rPr>
          <w:rFonts w:asciiTheme="minorHAnsi" w:hAnsiTheme="minorHAnsi"/>
          <w:sz w:val="22"/>
        </w:rPr>
      </w:pPr>
    </w:p>
    <w:p w14:paraId="6DE7A733" w14:textId="3BE06827" w:rsidR="00B36173" w:rsidRDefault="00F83B81" w:rsidP="00F83B81">
      <w:pPr>
        <w:tabs>
          <w:tab w:val="left" w:pos="1138"/>
        </w:tabs>
        <w:rPr>
          <w:rFonts w:asciiTheme="minorHAnsi" w:hAnsiTheme="minorHAnsi"/>
          <w:sz w:val="22"/>
        </w:rPr>
      </w:pPr>
      <w:r>
        <w:rPr>
          <w:rFonts w:asciiTheme="minorHAnsi" w:hAnsiTheme="minorHAnsi"/>
          <w:sz w:val="22"/>
        </w:rPr>
        <w:tab/>
      </w:r>
    </w:p>
    <w:p w14:paraId="52939767" w14:textId="77777777" w:rsidR="008A3DDE" w:rsidRDefault="008A3DDE" w:rsidP="00F83B81">
      <w:pPr>
        <w:tabs>
          <w:tab w:val="left" w:pos="1138"/>
        </w:tabs>
        <w:rPr>
          <w:rFonts w:asciiTheme="minorHAnsi" w:hAnsiTheme="minorHAnsi"/>
          <w:sz w:val="22"/>
        </w:rPr>
      </w:pPr>
    </w:p>
    <w:p w14:paraId="032433D9" w14:textId="77777777" w:rsidR="008A3DDE" w:rsidRDefault="008A3DDE" w:rsidP="00F83B81">
      <w:pPr>
        <w:tabs>
          <w:tab w:val="left" w:pos="1138"/>
        </w:tabs>
        <w:rPr>
          <w:rFonts w:asciiTheme="minorHAnsi" w:hAnsiTheme="minorHAnsi"/>
          <w:sz w:val="22"/>
        </w:rPr>
      </w:pPr>
    </w:p>
    <w:p w14:paraId="1EE5AEC0" w14:textId="77777777" w:rsidR="008A3DDE" w:rsidRDefault="008A3DDE" w:rsidP="00F83B81">
      <w:pPr>
        <w:tabs>
          <w:tab w:val="left" w:pos="1138"/>
        </w:tabs>
        <w:rPr>
          <w:rFonts w:asciiTheme="minorHAnsi" w:hAnsiTheme="minorHAnsi"/>
          <w:sz w:val="22"/>
        </w:rPr>
      </w:pPr>
    </w:p>
    <w:p w14:paraId="48D836F3" w14:textId="7A14DAED" w:rsidR="008A3DDE" w:rsidRDefault="0076090D" w:rsidP="00F83B81">
      <w:pPr>
        <w:tabs>
          <w:tab w:val="left" w:pos="1138"/>
        </w:tabs>
        <w:rPr>
          <w:rFonts w:asciiTheme="minorHAnsi" w:hAnsiTheme="minorHAnsi"/>
          <w:sz w:val="22"/>
        </w:rPr>
      </w:pPr>
      <w:r>
        <w:rPr>
          <w:rFonts w:asciiTheme="minorHAnsi" w:hAnsiTheme="minorHAnsi"/>
          <w:sz w:val="22"/>
        </w:rPr>
        <w:t>Sig</w:t>
      </w:r>
      <w:r w:rsidR="008A3DDE">
        <w:rPr>
          <w:rFonts w:asciiTheme="minorHAnsi" w:hAnsiTheme="minorHAnsi"/>
          <w:sz w:val="22"/>
        </w:rPr>
        <w:t>ned off by -----------------------------------------------------</w:t>
      </w:r>
    </w:p>
    <w:p w14:paraId="7FC35763" w14:textId="090C9221" w:rsidR="0094496B" w:rsidRDefault="00BC49A9" w:rsidP="00F83B81">
      <w:pPr>
        <w:tabs>
          <w:tab w:val="left" w:pos="1138"/>
        </w:tabs>
        <w:rPr>
          <w:rFonts w:asciiTheme="minorHAnsi" w:hAnsiTheme="minorHAnsi"/>
          <w:sz w:val="22"/>
        </w:rPr>
      </w:pPr>
      <w:r>
        <w:rPr>
          <w:rFonts w:asciiTheme="minorHAnsi" w:hAnsiTheme="minorHAnsi"/>
          <w:sz w:val="22"/>
        </w:rPr>
        <w:t>Reviewed May 202</w:t>
      </w:r>
      <w:r w:rsidR="000955B3">
        <w:rPr>
          <w:rFonts w:asciiTheme="minorHAnsi" w:hAnsiTheme="minorHAnsi"/>
          <w:sz w:val="22"/>
        </w:rPr>
        <w:t>3</w:t>
      </w:r>
    </w:p>
    <w:p w14:paraId="29C0EB1C" w14:textId="5E3E4A74" w:rsidR="008A3DDE" w:rsidRDefault="00BC49A9" w:rsidP="00F83B81">
      <w:pPr>
        <w:tabs>
          <w:tab w:val="left" w:pos="1138"/>
        </w:tabs>
      </w:pPr>
      <w:r>
        <w:rPr>
          <w:rFonts w:asciiTheme="minorHAnsi" w:hAnsiTheme="minorHAnsi"/>
          <w:sz w:val="22"/>
        </w:rPr>
        <w:t xml:space="preserve">Review </w:t>
      </w:r>
      <w:r w:rsidR="008A3DDE">
        <w:rPr>
          <w:rFonts w:asciiTheme="minorHAnsi" w:hAnsiTheme="minorHAnsi"/>
          <w:sz w:val="22"/>
        </w:rPr>
        <w:t xml:space="preserve">Date </w:t>
      </w:r>
      <w:r>
        <w:rPr>
          <w:rFonts w:asciiTheme="minorHAnsi" w:hAnsiTheme="minorHAnsi"/>
          <w:sz w:val="22"/>
        </w:rPr>
        <w:t>May 202</w:t>
      </w:r>
      <w:r w:rsidR="000955B3">
        <w:rPr>
          <w:rFonts w:asciiTheme="minorHAnsi" w:hAnsiTheme="minorHAnsi"/>
          <w:sz w:val="22"/>
        </w:rPr>
        <w:t>4</w:t>
      </w:r>
    </w:p>
    <w:sectPr w:rsidR="008A3DDE" w:rsidSect="00F83B81">
      <w:footerReference w:type="default" r:id="rId11"/>
      <w:foot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3CA3" w14:textId="77777777" w:rsidR="00AF58AA" w:rsidRDefault="004C13C0">
      <w:pPr>
        <w:spacing w:before="0" w:after="0"/>
      </w:pPr>
      <w:r>
        <w:separator/>
      </w:r>
    </w:p>
  </w:endnote>
  <w:endnote w:type="continuationSeparator" w:id="0">
    <w:p w14:paraId="4314554E" w14:textId="77777777" w:rsidR="00AF58AA" w:rsidRDefault="004C13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F859" w14:textId="4BFDC1BE" w:rsidR="00272F86" w:rsidRPr="0078165F" w:rsidRDefault="0076090D" w:rsidP="00272F86">
    <w:pPr>
      <w:pStyle w:val="Footer"/>
      <w:rPr>
        <w:rFonts w:asciiTheme="minorHAnsi" w:hAnsiTheme="minorHAnsi"/>
        <w:i/>
        <w:sz w:val="18"/>
      </w:rPr>
    </w:pPr>
    <w:r>
      <w:rPr>
        <w:rFonts w:asciiTheme="minorHAnsi" w:hAnsiTheme="minorHAnsi"/>
        <w:i/>
        <w:sz w:val="18"/>
      </w:rPr>
      <w:t>Reviewed: May 20</w:t>
    </w:r>
    <w:r w:rsidR="0094496B">
      <w:rPr>
        <w:rFonts w:asciiTheme="minorHAnsi" w:hAnsiTheme="minorHAnsi"/>
        <w:i/>
        <w:sz w:val="18"/>
      </w:rPr>
      <w:t>2</w:t>
    </w:r>
    <w:r w:rsidR="000955B3">
      <w:rPr>
        <w:rFonts w:asciiTheme="minorHAnsi" w:hAnsiTheme="minorHAnsi"/>
        <w:i/>
        <w:sz w:val="18"/>
      </w:rPr>
      <w:t>3</w:t>
    </w:r>
  </w:p>
  <w:p w14:paraId="3C2464B8" w14:textId="1CEDD943" w:rsidR="00272F86" w:rsidRPr="0078165F" w:rsidRDefault="0076090D" w:rsidP="00272F86">
    <w:pPr>
      <w:pStyle w:val="Footer"/>
      <w:rPr>
        <w:rFonts w:asciiTheme="minorHAnsi" w:hAnsiTheme="minorHAnsi"/>
        <w:i/>
        <w:sz w:val="18"/>
      </w:rPr>
    </w:pPr>
    <w:r>
      <w:rPr>
        <w:rFonts w:asciiTheme="minorHAnsi" w:hAnsiTheme="minorHAnsi"/>
        <w:i/>
        <w:sz w:val="18"/>
      </w:rPr>
      <w:t>Next review due:  May 202</w:t>
    </w:r>
    <w:r w:rsidR="000955B3">
      <w:rPr>
        <w:rFonts w:asciiTheme="minorHAnsi" w:hAnsiTheme="minorHAnsi"/>
        <w:i/>
        <w:sz w:val="18"/>
      </w:rPr>
      <w:t>4</w:t>
    </w:r>
  </w:p>
  <w:p w14:paraId="5B38C062" w14:textId="43554B32" w:rsidR="00272F86" w:rsidRPr="0078165F" w:rsidRDefault="00F83B81">
    <w:pPr>
      <w:pStyle w:val="Footer"/>
      <w:rPr>
        <w:rFonts w:asciiTheme="minorHAnsi" w:hAnsiTheme="minorHAnsi"/>
        <w:i/>
        <w:sz w:val="18"/>
      </w:rPr>
    </w:pPr>
    <w:r w:rsidRPr="0078165F">
      <w:rPr>
        <w:rFonts w:asciiTheme="minorHAnsi" w:hAnsiTheme="minorHAnsi"/>
        <w:i/>
        <w:sz w:val="18"/>
      </w:rPr>
      <w:t xml:space="preserve">Responsible officer:  </w:t>
    </w:r>
    <w:r w:rsidR="0025658F">
      <w:rPr>
        <w:rFonts w:asciiTheme="minorHAnsi" w:hAnsiTheme="minorHAnsi"/>
        <w:i/>
        <w:sz w:val="18"/>
      </w:rPr>
      <w:t>Dr Bryden Davis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61B6" w14:textId="77777777" w:rsidR="00F51F4B" w:rsidRPr="0078165F" w:rsidRDefault="00F83B81" w:rsidP="00F51F4B">
    <w:pPr>
      <w:pStyle w:val="Footer"/>
      <w:rPr>
        <w:rFonts w:asciiTheme="minorHAnsi" w:hAnsiTheme="minorHAnsi"/>
        <w:i/>
        <w:sz w:val="18"/>
      </w:rPr>
    </w:pPr>
    <w:r w:rsidRPr="0078165F">
      <w:rPr>
        <w:rFonts w:asciiTheme="minorHAnsi" w:hAnsiTheme="minorHAnsi"/>
        <w:i/>
        <w:sz w:val="18"/>
      </w:rPr>
      <w:t>Reviewed: May 2018</w:t>
    </w:r>
  </w:p>
  <w:p w14:paraId="6BDD7634" w14:textId="77777777" w:rsidR="00F51F4B" w:rsidRPr="0078165F" w:rsidRDefault="00F83B81" w:rsidP="00F51F4B">
    <w:pPr>
      <w:pStyle w:val="Footer"/>
      <w:rPr>
        <w:rFonts w:asciiTheme="minorHAnsi" w:hAnsiTheme="minorHAnsi"/>
        <w:i/>
        <w:sz w:val="18"/>
      </w:rPr>
    </w:pPr>
    <w:r w:rsidRPr="0078165F">
      <w:rPr>
        <w:rFonts w:asciiTheme="minorHAnsi" w:hAnsiTheme="minorHAnsi"/>
        <w:i/>
        <w:sz w:val="18"/>
      </w:rPr>
      <w:t>Next review due:  May 2020</w:t>
    </w:r>
  </w:p>
  <w:p w14:paraId="2A0CA918" w14:textId="77777777" w:rsidR="00F51F4B" w:rsidRPr="00272F86" w:rsidRDefault="00F83B81" w:rsidP="00F51F4B">
    <w:pPr>
      <w:pStyle w:val="Footer"/>
      <w:rPr>
        <w:rFonts w:asciiTheme="minorHAnsi" w:hAnsiTheme="minorHAnsi"/>
        <w:sz w:val="21"/>
      </w:rPr>
    </w:pPr>
    <w:r w:rsidRPr="0078165F">
      <w:rPr>
        <w:rFonts w:asciiTheme="minorHAnsi" w:hAnsiTheme="minorHAnsi"/>
        <w:i/>
        <w:sz w:val="18"/>
      </w:rPr>
      <w:t>Responsible officer:</w:t>
    </w:r>
    <w:r w:rsidRPr="0078165F">
      <w:rPr>
        <w:rFonts w:asciiTheme="minorHAnsi" w:hAnsiTheme="minorHAnsi"/>
        <w:sz w:val="18"/>
      </w:rPr>
      <w:t xml:space="preserve">  </w:t>
    </w:r>
  </w:p>
  <w:p w14:paraId="42BFCF77" w14:textId="77777777" w:rsidR="00F51F4B" w:rsidRDefault="0009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5721" w14:textId="77777777" w:rsidR="00AF58AA" w:rsidRDefault="004C13C0">
      <w:pPr>
        <w:spacing w:before="0" w:after="0"/>
      </w:pPr>
      <w:r>
        <w:separator/>
      </w:r>
    </w:p>
  </w:footnote>
  <w:footnote w:type="continuationSeparator" w:id="0">
    <w:p w14:paraId="174071DB" w14:textId="77777777" w:rsidR="00AF58AA" w:rsidRDefault="004C13C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01C8"/>
    <w:multiLevelType w:val="hybridMultilevel"/>
    <w:tmpl w:val="E6002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F81141"/>
    <w:multiLevelType w:val="hybridMultilevel"/>
    <w:tmpl w:val="5C92C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F62D04"/>
    <w:multiLevelType w:val="multilevel"/>
    <w:tmpl w:val="4A727480"/>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C197CFB"/>
    <w:multiLevelType w:val="hybridMultilevel"/>
    <w:tmpl w:val="D66A1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F856F0"/>
    <w:multiLevelType w:val="hybridMultilevel"/>
    <w:tmpl w:val="11809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7151380">
    <w:abstractNumId w:val="2"/>
  </w:num>
  <w:num w:numId="2" w16cid:durableId="365719239">
    <w:abstractNumId w:val="1"/>
  </w:num>
  <w:num w:numId="3" w16cid:durableId="1121654677">
    <w:abstractNumId w:val="0"/>
  </w:num>
  <w:num w:numId="4" w16cid:durableId="1854224682">
    <w:abstractNumId w:val="4"/>
  </w:num>
  <w:num w:numId="5" w16cid:durableId="1199975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81D"/>
    <w:rsid w:val="000955B3"/>
    <w:rsid w:val="001D481D"/>
    <w:rsid w:val="0025658F"/>
    <w:rsid w:val="002944EE"/>
    <w:rsid w:val="004662CD"/>
    <w:rsid w:val="004C13C0"/>
    <w:rsid w:val="00594942"/>
    <w:rsid w:val="006B75C7"/>
    <w:rsid w:val="0076090D"/>
    <w:rsid w:val="0076753E"/>
    <w:rsid w:val="008A3DDE"/>
    <w:rsid w:val="0094496B"/>
    <w:rsid w:val="00AE7B9C"/>
    <w:rsid w:val="00AF58AA"/>
    <w:rsid w:val="00BC49A9"/>
    <w:rsid w:val="00E3126A"/>
    <w:rsid w:val="00E379FB"/>
    <w:rsid w:val="00F5765B"/>
    <w:rsid w:val="00F8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2933"/>
  <w14:defaultImageDpi w14:val="32767"/>
  <w15:docId w15:val="{0FC5B620-16F9-48EB-A605-B0850C48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1D"/>
    <w:pPr>
      <w:spacing w:before="180" w:after="180"/>
    </w:pPr>
    <w:rPr>
      <w:rFonts w:ascii="Palatino Linotype" w:hAnsi="Palatino Linotype"/>
      <w:lang w:val="en-US"/>
    </w:rPr>
  </w:style>
  <w:style w:type="paragraph" w:styleId="Heading2">
    <w:name w:val="heading 2"/>
    <w:basedOn w:val="Normal"/>
    <w:next w:val="Normal"/>
    <w:link w:val="Heading2Char"/>
    <w:uiPriority w:val="9"/>
    <w:unhideWhenUsed/>
    <w:qFormat/>
    <w:rsid w:val="001D481D"/>
    <w:pPr>
      <w:keepNext/>
      <w:keepLines/>
      <w:spacing w:before="200" w:after="0"/>
      <w:outlineLvl w:val="1"/>
    </w:pPr>
    <w:rPr>
      <w:rFonts w:eastAsiaTheme="majorEastAsia" w:cstheme="majorBidi"/>
      <w:b/>
      <w:bCs/>
      <w:color w:val="4472C4"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81D"/>
    <w:rPr>
      <w:rFonts w:ascii="Palatino Linotype" w:eastAsiaTheme="majorEastAsia" w:hAnsi="Palatino Linotype" w:cstheme="majorBidi"/>
      <w:b/>
      <w:bCs/>
      <w:color w:val="4472C4" w:themeColor="accent1"/>
      <w:sz w:val="32"/>
      <w:szCs w:val="32"/>
      <w:lang w:val="en-US"/>
    </w:rPr>
  </w:style>
  <w:style w:type="character" w:customStyle="1" w:styleId="SpecialCharTok">
    <w:name w:val="SpecialCharTok"/>
    <w:basedOn w:val="DefaultParagraphFont"/>
    <w:rsid w:val="001D481D"/>
    <w:rPr>
      <w:rFonts w:ascii="Consolas" w:hAnsi="Consolas"/>
      <w:color w:val="4070A0"/>
      <w:sz w:val="22"/>
    </w:rPr>
  </w:style>
  <w:style w:type="character" w:styleId="Hyperlink">
    <w:name w:val="Hyperlink"/>
    <w:basedOn w:val="DefaultParagraphFont"/>
    <w:uiPriority w:val="99"/>
    <w:unhideWhenUsed/>
    <w:rsid w:val="001D481D"/>
    <w:rPr>
      <w:color w:val="0563C1" w:themeColor="hyperlink"/>
      <w:u w:val="single"/>
    </w:rPr>
  </w:style>
  <w:style w:type="paragraph" w:styleId="ListParagraph">
    <w:name w:val="List Paragraph"/>
    <w:basedOn w:val="Normal"/>
    <w:uiPriority w:val="34"/>
    <w:qFormat/>
    <w:rsid w:val="001D481D"/>
    <w:pPr>
      <w:ind w:left="720"/>
      <w:contextualSpacing/>
    </w:pPr>
  </w:style>
  <w:style w:type="paragraph" w:styleId="Footer">
    <w:name w:val="footer"/>
    <w:basedOn w:val="Normal"/>
    <w:link w:val="FooterChar"/>
    <w:unhideWhenUsed/>
    <w:rsid w:val="001D481D"/>
    <w:pPr>
      <w:tabs>
        <w:tab w:val="center" w:pos="4513"/>
        <w:tab w:val="right" w:pos="9026"/>
      </w:tabs>
      <w:spacing w:before="0" w:after="0"/>
    </w:pPr>
  </w:style>
  <w:style w:type="character" w:customStyle="1" w:styleId="FooterChar">
    <w:name w:val="Footer Char"/>
    <w:basedOn w:val="DefaultParagraphFont"/>
    <w:link w:val="Footer"/>
    <w:rsid w:val="001D481D"/>
    <w:rPr>
      <w:rFonts w:ascii="Palatino Linotype" w:hAnsi="Palatino Linotype"/>
      <w:lang w:val="en-US"/>
    </w:rPr>
  </w:style>
  <w:style w:type="paragraph" w:styleId="Header">
    <w:name w:val="header"/>
    <w:basedOn w:val="Normal"/>
    <w:link w:val="HeaderChar"/>
    <w:uiPriority w:val="99"/>
    <w:unhideWhenUsed/>
    <w:rsid w:val="0025658F"/>
    <w:pPr>
      <w:tabs>
        <w:tab w:val="center" w:pos="4513"/>
        <w:tab w:val="right" w:pos="9026"/>
      </w:tabs>
      <w:spacing w:before="0" w:after="0"/>
    </w:pPr>
  </w:style>
  <w:style w:type="character" w:customStyle="1" w:styleId="HeaderChar">
    <w:name w:val="Header Char"/>
    <w:basedOn w:val="DefaultParagraphFont"/>
    <w:link w:val="Header"/>
    <w:uiPriority w:val="99"/>
    <w:rsid w:val="0025658F"/>
    <w:rPr>
      <w:rFonts w:ascii="Palatino Linotype" w:hAnsi="Palatino Linotype"/>
      <w:lang w:val="en-US"/>
    </w:rPr>
  </w:style>
  <w:style w:type="paragraph" w:styleId="BalloonText">
    <w:name w:val="Balloon Text"/>
    <w:basedOn w:val="Normal"/>
    <w:link w:val="BalloonTextChar"/>
    <w:uiPriority w:val="99"/>
    <w:semiHidden/>
    <w:unhideWhenUsed/>
    <w:rsid w:val="00AE7B9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B9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report-a-breach/personal-data-brea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personal-data-breach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personal-data-breach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Stevens</dc:creator>
  <cp:lastModifiedBy>ALTY, Ruth (MARPLE BRIDGE SURGERY)</cp:lastModifiedBy>
  <cp:revision>10</cp:revision>
  <cp:lastPrinted>2023-05-25T10:09:00Z</cp:lastPrinted>
  <dcterms:created xsi:type="dcterms:W3CDTF">2018-06-13T12:04:00Z</dcterms:created>
  <dcterms:modified xsi:type="dcterms:W3CDTF">2023-05-25T10:09:00Z</dcterms:modified>
</cp:coreProperties>
</file>