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3461B" w14:textId="0F8F0128" w:rsidR="006C6D51" w:rsidRDefault="006C6D51" w:rsidP="006C6D51">
      <w:pPr>
        <w:rPr>
          <w:b/>
          <w:bCs/>
          <w:sz w:val="40"/>
          <w:szCs w:val="40"/>
        </w:rPr>
      </w:pPr>
      <w:r w:rsidRPr="006C6D51">
        <w:rPr>
          <w:b/>
          <w:bCs/>
          <w:sz w:val="40"/>
          <w:szCs w:val="40"/>
        </w:rPr>
        <w:t>BMA Guidelines for Responding to Private Healthcare</w:t>
      </w:r>
    </w:p>
    <w:p w14:paraId="7BF99ACD" w14:textId="015CD9ED" w:rsidR="006C6D51" w:rsidRPr="006C6D51" w:rsidRDefault="006C6D51" w:rsidP="006C6D51">
      <w:pPr>
        <w:pStyle w:val="ListParagraph"/>
        <w:numPr>
          <w:ilvl w:val="0"/>
          <w:numId w:val="1"/>
        </w:numPr>
      </w:pPr>
      <w:r w:rsidRPr="006C6D51">
        <w:rPr>
          <w:rFonts w:ascii="Helvetica" w:hAnsi="Helvetica" w:cs="Helvetica"/>
          <w:color w:val="13316E"/>
          <w:spacing w:val="6"/>
          <w:sz w:val="24"/>
          <w:szCs w:val="24"/>
        </w:rPr>
        <w:t>Organising tests requested by a private provider</w:t>
      </w:r>
      <w:r>
        <w:rPr>
          <w:rFonts w:ascii="Helvetica" w:hAnsi="Helvetica" w:cs="Helvetica"/>
          <w:color w:val="13316E"/>
          <w:spacing w:val="6"/>
          <w:sz w:val="24"/>
          <w:szCs w:val="24"/>
        </w:rPr>
        <w:t>.</w:t>
      </w:r>
    </w:p>
    <w:p w14:paraId="6366C77C" w14:textId="62210F58" w:rsidR="006C6D51" w:rsidRPr="006C6D51" w:rsidRDefault="006C6D51" w:rsidP="006C6D51">
      <w:pPr>
        <w:pStyle w:val="ListParagraph"/>
        <w:numPr>
          <w:ilvl w:val="0"/>
          <w:numId w:val="1"/>
        </w:numPr>
      </w:pPr>
      <w:r w:rsidRPr="006C6D51">
        <w:rPr>
          <w:rFonts w:ascii="Helvetica" w:hAnsi="Helvetica" w:cs="Helvetica"/>
          <w:color w:val="13316E"/>
          <w:spacing w:val="6"/>
          <w:sz w:val="24"/>
          <w:szCs w:val="24"/>
        </w:rPr>
        <w:t>Prescribing medication requested by a private provider</w:t>
      </w:r>
      <w:r>
        <w:rPr>
          <w:rFonts w:ascii="Helvetica" w:hAnsi="Helvetica" w:cs="Helvetica"/>
          <w:color w:val="13316E"/>
          <w:spacing w:val="6"/>
          <w:sz w:val="24"/>
          <w:szCs w:val="24"/>
        </w:rPr>
        <w:t>.</w:t>
      </w:r>
    </w:p>
    <w:p w14:paraId="3D706646" w14:textId="2956904B" w:rsidR="006C6D51" w:rsidRPr="006C6D51" w:rsidRDefault="006C6D51" w:rsidP="006C6D51">
      <w:pPr>
        <w:pStyle w:val="ListParagraph"/>
        <w:numPr>
          <w:ilvl w:val="0"/>
          <w:numId w:val="1"/>
        </w:numPr>
      </w:pPr>
      <w:r w:rsidRPr="006C6D51">
        <w:rPr>
          <w:rFonts w:ascii="Helvetica" w:hAnsi="Helvetica" w:cs="Helvetica"/>
          <w:color w:val="13316E"/>
          <w:spacing w:val="6"/>
          <w:sz w:val="24"/>
          <w:szCs w:val="24"/>
        </w:rPr>
        <w:t>"Shared care" with private providers</w:t>
      </w:r>
      <w:r>
        <w:rPr>
          <w:rFonts w:ascii="Helvetica" w:hAnsi="Helvetica" w:cs="Helvetica"/>
          <w:color w:val="13316E"/>
          <w:spacing w:val="6"/>
          <w:sz w:val="24"/>
          <w:szCs w:val="24"/>
        </w:rPr>
        <w:t>.</w:t>
      </w:r>
    </w:p>
    <w:p w14:paraId="637576A5" w14:textId="6A029D63" w:rsidR="006C6D51" w:rsidRPr="006C6D51" w:rsidRDefault="006C6D51" w:rsidP="006C6D51">
      <w:pPr>
        <w:pStyle w:val="ListParagraph"/>
        <w:numPr>
          <w:ilvl w:val="0"/>
          <w:numId w:val="1"/>
        </w:numPr>
      </w:pPr>
      <w:r w:rsidRPr="006C6D51">
        <w:rPr>
          <w:rFonts w:ascii="Helvetica" w:hAnsi="Helvetica" w:cs="Helvetica"/>
          <w:color w:val="13316E"/>
          <w:spacing w:val="6"/>
          <w:sz w:val="24"/>
          <w:szCs w:val="24"/>
        </w:rPr>
        <w:t>Caring for patients who have had private treatment abroad</w:t>
      </w:r>
      <w:r>
        <w:rPr>
          <w:rFonts w:ascii="Helvetica" w:hAnsi="Helvetica" w:cs="Helvetica"/>
          <w:color w:val="13316E"/>
          <w:spacing w:val="6"/>
          <w:sz w:val="24"/>
          <w:szCs w:val="24"/>
        </w:rPr>
        <w:t>.</w:t>
      </w:r>
    </w:p>
    <w:p w14:paraId="4AFB19B9" w14:textId="42A7419F" w:rsidR="006C6D51" w:rsidRPr="004014A7" w:rsidRDefault="006C6D51" w:rsidP="006C6D51">
      <w:pPr>
        <w:pStyle w:val="ListParagraph"/>
        <w:numPr>
          <w:ilvl w:val="0"/>
          <w:numId w:val="1"/>
        </w:numPr>
      </w:pPr>
      <w:r w:rsidRPr="006C6D51">
        <w:rPr>
          <w:rFonts w:ascii="Helvetica" w:hAnsi="Helvetica" w:cs="Helvetica"/>
          <w:color w:val="13316E"/>
          <w:spacing w:val="6"/>
          <w:sz w:val="24"/>
          <w:szCs w:val="24"/>
        </w:rPr>
        <w:t>Private providers making onward referrals to NHS provider</w:t>
      </w:r>
      <w:r>
        <w:rPr>
          <w:rFonts w:ascii="Helvetica" w:hAnsi="Helvetica" w:cs="Helvetica"/>
          <w:color w:val="13316E"/>
          <w:spacing w:val="6"/>
          <w:sz w:val="24"/>
          <w:szCs w:val="24"/>
        </w:rPr>
        <w:t>.</w:t>
      </w:r>
    </w:p>
    <w:p w14:paraId="258D461B" w14:textId="37C74F61" w:rsidR="004014A7" w:rsidRDefault="004014A7" w:rsidP="004014A7">
      <w:pPr>
        <w:pStyle w:val="ListParagraph"/>
        <w:rPr>
          <w:rFonts w:ascii="Helvetica" w:hAnsi="Helvetica" w:cs="Helvetica"/>
          <w:color w:val="13316E"/>
          <w:spacing w:val="6"/>
          <w:sz w:val="24"/>
          <w:szCs w:val="24"/>
        </w:rPr>
      </w:pPr>
    </w:p>
    <w:p w14:paraId="6451038D" w14:textId="10DD066F" w:rsidR="006C6D51" w:rsidRPr="006310CF" w:rsidRDefault="006C6D51" w:rsidP="006C6D51">
      <w:pPr>
        <w:rPr>
          <w:b/>
          <w:bCs/>
          <w:sz w:val="28"/>
          <w:szCs w:val="28"/>
        </w:rPr>
      </w:pPr>
      <w:r w:rsidRPr="006310CF">
        <w:rPr>
          <w:rFonts w:ascii="Helvetica" w:hAnsi="Helvetica" w:cs="Helvetica"/>
          <w:b/>
          <w:bCs/>
          <w:color w:val="13316E"/>
          <w:spacing w:val="6"/>
          <w:sz w:val="28"/>
          <w:szCs w:val="28"/>
        </w:rPr>
        <w:t xml:space="preserve">Organising tests requested by a private </w:t>
      </w:r>
      <w:proofErr w:type="gramStart"/>
      <w:r w:rsidRPr="006310CF">
        <w:rPr>
          <w:rFonts w:ascii="Helvetica" w:hAnsi="Helvetica" w:cs="Helvetica"/>
          <w:b/>
          <w:bCs/>
          <w:color w:val="13316E"/>
          <w:spacing w:val="6"/>
          <w:sz w:val="28"/>
          <w:szCs w:val="28"/>
        </w:rPr>
        <w:t>provider</w:t>
      </w:r>
      <w:proofErr w:type="gramEnd"/>
    </w:p>
    <w:p w14:paraId="179B81BE" w14:textId="77777777" w:rsidR="006C6D51" w:rsidRDefault="006C6D51" w:rsidP="006C6D51">
      <w:pPr>
        <w:pStyle w:val="NormalWeb"/>
        <w:shd w:val="clear" w:color="auto" w:fill="FFFFFF"/>
        <w:spacing w:before="0" w:beforeAutospacing="0" w:after="360" w:afterAutospacing="0"/>
        <w:rPr>
          <w:rFonts w:ascii="Helvetica" w:hAnsi="Helvetica" w:cs="Helvetica"/>
          <w:color w:val="111111"/>
          <w:spacing w:val="6"/>
          <w:sz w:val="24"/>
          <w:szCs w:val="24"/>
        </w:rPr>
      </w:pPr>
      <w:r>
        <w:rPr>
          <w:rFonts w:ascii="Helvetica" w:hAnsi="Helvetica" w:cs="Helvetica"/>
          <w:color w:val="111111"/>
          <w:spacing w:val="6"/>
          <w:sz w:val="24"/>
          <w:szCs w:val="24"/>
        </w:rPr>
        <w:t>If general practices receive requests from private providers to arrange tests or investigations, it is important to note that complying with such requests - regardless of the GP’s management and treatment of the patient - is outside the scope of NHS primary medical services.</w:t>
      </w:r>
    </w:p>
    <w:p w14:paraId="43CD2094" w14:textId="77777777" w:rsidR="006C6D51" w:rsidRDefault="006C6D51" w:rsidP="006C6D51">
      <w:pPr>
        <w:pStyle w:val="NormalWeb"/>
        <w:shd w:val="clear" w:color="auto" w:fill="FFFFFF"/>
        <w:spacing w:before="0" w:beforeAutospacing="0" w:after="360" w:afterAutospacing="0"/>
        <w:rPr>
          <w:rFonts w:ascii="Helvetica" w:hAnsi="Helvetica" w:cs="Helvetica"/>
          <w:color w:val="111111"/>
          <w:spacing w:val="6"/>
          <w:sz w:val="24"/>
          <w:szCs w:val="24"/>
        </w:rPr>
      </w:pPr>
      <w:r>
        <w:rPr>
          <w:rFonts w:ascii="Helvetica" w:hAnsi="Helvetica" w:cs="Helvetica"/>
          <w:color w:val="111111"/>
          <w:spacing w:val="6"/>
          <w:sz w:val="24"/>
          <w:szCs w:val="24"/>
        </w:rPr>
        <w:t>The </w:t>
      </w:r>
      <w:hyperlink r:id="rId7" w:tgtFrame="_blank" w:history="1">
        <w:r>
          <w:rPr>
            <w:rStyle w:val="Hyperlink"/>
            <w:rFonts w:ascii="Helvetica" w:hAnsi="Helvetica" w:cs="Helvetica"/>
            <w:color w:val="0967B1"/>
            <w:spacing w:val="6"/>
            <w:sz w:val="24"/>
            <w:szCs w:val="24"/>
          </w:rPr>
          <w:t>NHS GMS Regulations</w:t>
        </w:r>
      </w:hyperlink>
      <w:r>
        <w:rPr>
          <w:rFonts w:ascii="Helvetica" w:hAnsi="Helvetica" w:cs="Helvetica"/>
          <w:color w:val="111111"/>
          <w:spacing w:val="6"/>
          <w:sz w:val="24"/>
          <w:szCs w:val="24"/>
        </w:rPr>
        <w:t> define essential services as services which are delivered in the manner determined by the GP in discussion with the patient. Therefore, a GP provider should only carry out investigations and prescribe medication for a patient where it is necessary for the GP’s care of the patient and the GP is the responsible doctor.</w:t>
      </w:r>
    </w:p>
    <w:p w14:paraId="2F679D57" w14:textId="77777777" w:rsidR="006C6D51" w:rsidRDefault="006C6D51" w:rsidP="006C6D51">
      <w:pPr>
        <w:pStyle w:val="NormalWeb"/>
        <w:shd w:val="clear" w:color="auto" w:fill="FFFFFF"/>
        <w:spacing w:before="0" w:beforeAutospacing="0" w:after="360" w:afterAutospacing="0"/>
        <w:rPr>
          <w:rFonts w:ascii="Helvetica" w:hAnsi="Helvetica" w:cs="Helvetica"/>
          <w:color w:val="111111"/>
          <w:spacing w:val="6"/>
          <w:sz w:val="24"/>
          <w:szCs w:val="24"/>
        </w:rPr>
      </w:pPr>
      <w:r>
        <w:rPr>
          <w:rFonts w:ascii="Helvetica" w:hAnsi="Helvetica" w:cs="Helvetica"/>
          <w:color w:val="111111"/>
          <w:spacing w:val="6"/>
          <w:sz w:val="24"/>
          <w:szCs w:val="24"/>
        </w:rPr>
        <w:t>If the GP considers the proposed investigations to be clinically appropriate, is competent to both interpret them and manage the care of the patient accordingly, then the GP may proceed with arranging the tests or investigations.</w:t>
      </w:r>
    </w:p>
    <w:p w14:paraId="350BE8B3" w14:textId="77777777" w:rsidR="006C6D51" w:rsidRDefault="006C6D51" w:rsidP="006C6D51">
      <w:pPr>
        <w:pStyle w:val="NormalWeb"/>
        <w:shd w:val="clear" w:color="auto" w:fill="FFFFFF"/>
        <w:spacing w:before="0" w:beforeAutospacing="0" w:after="360" w:afterAutospacing="0"/>
        <w:rPr>
          <w:rFonts w:ascii="Helvetica" w:hAnsi="Helvetica" w:cs="Helvetica"/>
          <w:color w:val="111111"/>
          <w:spacing w:val="6"/>
          <w:sz w:val="24"/>
          <w:szCs w:val="24"/>
        </w:rPr>
      </w:pPr>
      <w:r>
        <w:rPr>
          <w:rFonts w:ascii="Helvetica" w:hAnsi="Helvetica" w:cs="Helvetica"/>
          <w:color w:val="111111"/>
          <w:spacing w:val="6"/>
          <w:sz w:val="24"/>
          <w:szCs w:val="24"/>
        </w:rPr>
        <w:t>However, if the GP does not have the knowledge or capacity to undertake these actions, they should decline to organise the investigation and advise the patient and the provider that the services do not fall within NHS primary medical services and to make alternative arrangements.</w:t>
      </w:r>
    </w:p>
    <w:p w14:paraId="04CA98B1" w14:textId="6B5080C3" w:rsidR="004014A7" w:rsidRPr="006310CF" w:rsidRDefault="006C6D51" w:rsidP="006C6D51">
      <w:pPr>
        <w:pStyle w:val="NormalWeb"/>
        <w:shd w:val="clear" w:color="auto" w:fill="FFFFFF"/>
        <w:spacing w:before="0" w:beforeAutospacing="0" w:after="360" w:afterAutospacing="0"/>
        <w:rPr>
          <w:rFonts w:ascii="Helvetica" w:hAnsi="Helvetica" w:cs="Helvetica"/>
          <w:color w:val="111111"/>
          <w:spacing w:val="6"/>
          <w:sz w:val="24"/>
          <w:szCs w:val="24"/>
        </w:rPr>
      </w:pPr>
      <w:r>
        <w:rPr>
          <w:rFonts w:ascii="Helvetica" w:hAnsi="Helvetica" w:cs="Helvetica"/>
          <w:color w:val="111111"/>
          <w:spacing w:val="6"/>
          <w:sz w:val="24"/>
          <w:szCs w:val="24"/>
        </w:rPr>
        <w:t xml:space="preserve">Patients are of course entitled to access their medical records, so GPs </w:t>
      </w:r>
      <w:r w:rsidRPr="006310CF">
        <w:rPr>
          <w:rFonts w:ascii="Helvetica" w:hAnsi="Helvetica" w:cs="Helvetica"/>
          <w:color w:val="111111"/>
          <w:spacing w:val="6"/>
          <w:sz w:val="24"/>
          <w:szCs w:val="24"/>
        </w:rPr>
        <w:t>can provide access to the results of any such investigations for the patient to take back to the private provider.</w:t>
      </w:r>
    </w:p>
    <w:p w14:paraId="3F6F3CFA" w14:textId="349D93B8" w:rsidR="006C6D51" w:rsidRPr="006310CF" w:rsidRDefault="006C6D51" w:rsidP="006310CF">
      <w:pPr>
        <w:rPr>
          <w:rFonts w:ascii="Helvetica" w:eastAsia="Times New Roman" w:hAnsi="Helvetica" w:cs="Calibri"/>
          <w:color w:val="111111"/>
          <w:spacing w:val="6"/>
          <w:sz w:val="28"/>
          <w:szCs w:val="28"/>
          <w:shd w:val="clear" w:color="auto" w:fill="FFFFFF"/>
          <w:lang w:eastAsia="en-GB"/>
        </w:rPr>
      </w:pPr>
      <w:r w:rsidRPr="006310CF">
        <w:rPr>
          <w:rFonts w:ascii="Helvetica" w:eastAsia="Times New Roman" w:hAnsi="Helvetica" w:cs="Calibri"/>
          <w:b/>
          <w:bCs/>
          <w:color w:val="13316E"/>
          <w:spacing w:val="6"/>
          <w:sz w:val="28"/>
          <w:szCs w:val="28"/>
          <w:shd w:val="clear" w:color="auto" w:fill="FFFFFF"/>
          <w:lang w:eastAsia="en-GB"/>
        </w:rPr>
        <w:t>NHS guidance states</w:t>
      </w:r>
      <w:r w:rsidR="006310CF">
        <w:rPr>
          <w:rFonts w:ascii="Helvetica" w:eastAsia="Times New Roman" w:hAnsi="Helvetica" w:cs="Calibri"/>
          <w:b/>
          <w:bCs/>
          <w:color w:val="13316E"/>
          <w:spacing w:val="6"/>
          <w:sz w:val="28"/>
          <w:szCs w:val="28"/>
          <w:shd w:val="clear" w:color="auto" w:fill="FFFFFF"/>
          <w:lang w:eastAsia="en-GB"/>
        </w:rPr>
        <w:t>:</w:t>
      </w:r>
    </w:p>
    <w:p w14:paraId="4C2C8D43" w14:textId="56B9BDAA" w:rsidR="006C6D51" w:rsidRPr="006310CF" w:rsidRDefault="006C6D51" w:rsidP="006C6D51">
      <w:pPr>
        <w:rPr>
          <w:rFonts w:ascii="Helvetica" w:eastAsia="Times New Roman" w:hAnsi="Helvetica" w:cs="Helvetica"/>
          <w:color w:val="111111"/>
          <w:spacing w:val="6"/>
          <w:sz w:val="24"/>
          <w:szCs w:val="24"/>
          <w:lang w:eastAsia="en-GB"/>
        </w:rPr>
      </w:pPr>
      <w:r w:rsidRPr="006310CF">
        <w:rPr>
          <w:rFonts w:ascii="Helvetica" w:eastAsia="Times New Roman" w:hAnsi="Helvetica" w:cs="Helvetica"/>
          <w:color w:val="111111"/>
          <w:spacing w:val="6"/>
          <w:sz w:val="24"/>
          <w:szCs w:val="24"/>
          <w:lang w:eastAsia="en-GB"/>
        </w:rPr>
        <w:t>Patients may pay for additional private healthcare while continuing to receive care from the NHS.</w:t>
      </w:r>
      <w:r w:rsidRPr="006310CF">
        <w:rPr>
          <w:rFonts w:ascii="Helvetica" w:eastAsia="Times New Roman" w:hAnsi="Helvetica" w:cs="Helvetica"/>
          <w:color w:val="111111"/>
          <w:spacing w:val="6"/>
          <w:sz w:val="24"/>
          <w:szCs w:val="24"/>
          <w:lang w:eastAsia="en-GB"/>
        </w:rPr>
        <w:br/>
        <w:t>However, to ensure that there is no risk of the NHS subsidising private care:</w:t>
      </w:r>
    </w:p>
    <w:p w14:paraId="3C95934D" w14:textId="77777777" w:rsidR="006C6D51" w:rsidRPr="006310CF" w:rsidRDefault="006C6D51" w:rsidP="006C6D51">
      <w:pPr>
        <w:numPr>
          <w:ilvl w:val="0"/>
          <w:numId w:val="2"/>
        </w:numPr>
        <w:spacing w:before="100" w:beforeAutospacing="1" w:after="225" w:line="240" w:lineRule="auto"/>
        <w:rPr>
          <w:rFonts w:ascii="Helvetica" w:eastAsia="Times New Roman" w:hAnsi="Helvetica" w:cs="Helvetica"/>
          <w:color w:val="111111"/>
          <w:spacing w:val="6"/>
          <w:sz w:val="24"/>
          <w:szCs w:val="24"/>
          <w:lang w:eastAsia="en-GB"/>
        </w:rPr>
      </w:pPr>
      <w:r w:rsidRPr="006310CF">
        <w:rPr>
          <w:rFonts w:ascii="Helvetica" w:eastAsia="Times New Roman" w:hAnsi="Helvetica" w:cs="Helvetica"/>
          <w:color w:val="111111"/>
          <w:spacing w:val="6"/>
          <w:sz w:val="24"/>
          <w:szCs w:val="24"/>
          <w:lang w:eastAsia="en-GB"/>
        </w:rPr>
        <w:t xml:space="preserve">It should always be clear whether an individual procedure or treatment is privately </w:t>
      </w:r>
      <w:proofErr w:type="gramStart"/>
      <w:r w:rsidRPr="006310CF">
        <w:rPr>
          <w:rFonts w:ascii="Helvetica" w:eastAsia="Times New Roman" w:hAnsi="Helvetica" w:cs="Helvetica"/>
          <w:color w:val="111111"/>
          <w:spacing w:val="6"/>
          <w:sz w:val="24"/>
          <w:szCs w:val="24"/>
          <w:lang w:eastAsia="en-GB"/>
        </w:rPr>
        <w:t>funded</w:t>
      </w:r>
      <w:proofErr w:type="gramEnd"/>
      <w:r w:rsidRPr="006310CF">
        <w:rPr>
          <w:rFonts w:ascii="Helvetica" w:eastAsia="Times New Roman" w:hAnsi="Helvetica" w:cs="Helvetica"/>
          <w:color w:val="111111"/>
          <w:spacing w:val="6"/>
          <w:sz w:val="24"/>
          <w:szCs w:val="24"/>
          <w:lang w:eastAsia="en-GB"/>
        </w:rPr>
        <w:t xml:space="preserve"> or NHS funded.</w:t>
      </w:r>
    </w:p>
    <w:p w14:paraId="5140B8D4" w14:textId="77777777" w:rsidR="006C6D51" w:rsidRPr="006310CF" w:rsidRDefault="006C6D51" w:rsidP="006C6D51">
      <w:pPr>
        <w:numPr>
          <w:ilvl w:val="0"/>
          <w:numId w:val="2"/>
        </w:numPr>
        <w:spacing w:before="100" w:beforeAutospacing="1" w:after="225" w:line="240" w:lineRule="auto"/>
        <w:rPr>
          <w:rFonts w:ascii="Helvetica" w:eastAsia="Times New Roman" w:hAnsi="Helvetica" w:cs="Helvetica"/>
          <w:color w:val="111111"/>
          <w:spacing w:val="6"/>
          <w:sz w:val="24"/>
          <w:szCs w:val="24"/>
          <w:lang w:eastAsia="en-GB"/>
        </w:rPr>
      </w:pPr>
      <w:r w:rsidRPr="006310CF">
        <w:rPr>
          <w:rFonts w:ascii="Helvetica" w:eastAsia="Times New Roman" w:hAnsi="Helvetica" w:cs="Helvetica"/>
          <w:color w:val="111111"/>
          <w:spacing w:val="6"/>
          <w:sz w:val="24"/>
          <w:szCs w:val="24"/>
          <w:lang w:eastAsia="en-GB"/>
        </w:rPr>
        <w:lastRenderedPageBreak/>
        <w:t>Private and NHS care should be kept as clearly separate as possible.</w:t>
      </w:r>
    </w:p>
    <w:p w14:paraId="3AFF7E46" w14:textId="77777777" w:rsidR="006C6D51" w:rsidRPr="006310CF" w:rsidRDefault="006C6D51" w:rsidP="006C6D51">
      <w:pPr>
        <w:numPr>
          <w:ilvl w:val="0"/>
          <w:numId w:val="2"/>
        </w:numPr>
        <w:spacing w:before="100" w:beforeAutospacing="1" w:after="225" w:line="240" w:lineRule="auto"/>
        <w:rPr>
          <w:rFonts w:ascii="Helvetica" w:eastAsia="Times New Roman" w:hAnsi="Helvetica" w:cs="Helvetica"/>
          <w:color w:val="111111"/>
          <w:spacing w:val="6"/>
          <w:sz w:val="24"/>
          <w:szCs w:val="24"/>
          <w:lang w:eastAsia="en-GB"/>
        </w:rPr>
      </w:pPr>
      <w:r w:rsidRPr="006310CF">
        <w:rPr>
          <w:rFonts w:ascii="Helvetica" w:eastAsia="Times New Roman" w:hAnsi="Helvetica" w:cs="Helvetica"/>
          <w:color w:val="111111"/>
          <w:spacing w:val="6"/>
          <w:sz w:val="24"/>
          <w:szCs w:val="24"/>
          <w:lang w:eastAsia="en-GB"/>
        </w:rPr>
        <w:t>The patient should bear the full costs of any private services. NHS resources should never be used to subsidise the use of private care.</w:t>
      </w:r>
    </w:p>
    <w:p w14:paraId="769C146D" w14:textId="0906DE56" w:rsidR="006C6D51" w:rsidRPr="006310CF" w:rsidRDefault="006C6D51" w:rsidP="006C6D51">
      <w:pPr>
        <w:numPr>
          <w:ilvl w:val="0"/>
          <w:numId w:val="2"/>
        </w:numPr>
        <w:spacing w:before="100" w:beforeAutospacing="1" w:after="225" w:line="240" w:lineRule="auto"/>
        <w:rPr>
          <w:rFonts w:ascii="Helvetica" w:eastAsia="Times New Roman" w:hAnsi="Helvetica" w:cs="Helvetica"/>
          <w:color w:val="111111"/>
          <w:spacing w:val="6"/>
          <w:sz w:val="24"/>
          <w:szCs w:val="24"/>
          <w:lang w:eastAsia="en-GB"/>
        </w:rPr>
      </w:pPr>
      <w:r w:rsidRPr="006310CF">
        <w:rPr>
          <w:rFonts w:ascii="Helvetica" w:eastAsia="Times New Roman" w:hAnsi="Helvetica" w:cs="Helvetica"/>
          <w:color w:val="111111"/>
          <w:spacing w:val="6"/>
          <w:sz w:val="24"/>
          <w:szCs w:val="24"/>
          <w:lang w:eastAsia="en-GB"/>
        </w:rPr>
        <w:t>The arrangements put in place to deliver additional private care should be designed to ensure as clear a separation as possible of funding, legal status, liability and accountability between NHS care and any private care that a patient receives.</w:t>
      </w:r>
    </w:p>
    <w:p w14:paraId="678C3A9F" w14:textId="77777777" w:rsidR="004014A7" w:rsidRDefault="004014A7" w:rsidP="004014A7">
      <w:pPr>
        <w:spacing w:before="100" w:beforeAutospacing="1" w:after="225" w:line="240" w:lineRule="auto"/>
        <w:rPr>
          <w:rFonts w:ascii="Helvetica" w:eastAsia="Times New Roman" w:hAnsi="Helvetica" w:cs="Calibri"/>
          <w:color w:val="111111"/>
          <w:spacing w:val="6"/>
          <w:shd w:val="clear" w:color="auto" w:fill="FFFFFF"/>
          <w:lang w:eastAsia="en-GB"/>
        </w:rPr>
      </w:pPr>
    </w:p>
    <w:p w14:paraId="4983E766" w14:textId="58FAF8FF" w:rsidR="006C6D51" w:rsidRPr="006310CF" w:rsidRDefault="004014A7">
      <w:pPr>
        <w:rPr>
          <w:rFonts w:ascii="Helvetica" w:hAnsi="Helvetica" w:cs="Helvetica"/>
          <w:b/>
          <w:bCs/>
          <w:color w:val="13316E"/>
          <w:spacing w:val="6"/>
          <w:sz w:val="28"/>
          <w:szCs w:val="28"/>
        </w:rPr>
      </w:pPr>
      <w:r w:rsidRPr="006310CF">
        <w:rPr>
          <w:rFonts w:ascii="Helvetica" w:hAnsi="Helvetica" w:cs="Helvetica"/>
          <w:b/>
          <w:bCs/>
          <w:color w:val="13316E"/>
          <w:spacing w:val="6"/>
          <w:sz w:val="28"/>
          <w:szCs w:val="28"/>
        </w:rPr>
        <w:t xml:space="preserve">Prescribing medication requested by a private </w:t>
      </w:r>
      <w:proofErr w:type="gramStart"/>
      <w:r w:rsidRPr="006310CF">
        <w:rPr>
          <w:rFonts w:ascii="Helvetica" w:hAnsi="Helvetica" w:cs="Helvetica"/>
          <w:b/>
          <w:bCs/>
          <w:color w:val="13316E"/>
          <w:spacing w:val="6"/>
          <w:sz w:val="28"/>
          <w:szCs w:val="28"/>
        </w:rPr>
        <w:t>provider</w:t>
      </w:r>
      <w:proofErr w:type="gramEnd"/>
    </w:p>
    <w:p w14:paraId="02D54677" w14:textId="77777777" w:rsidR="004014A7" w:rsidRDefault="006310CF" w:rsidP="004014A7">
      <w:pPr>
        <w:pStyle w:val="NormalWeb"/>
        <w:shd w:val="clear" w:color="auto" w:fill="FFFFFF"/>
        <w:spacing w:before="0" w:beforeAutospacing="0" w:after="360" w:afterAutospacing="0"/>
        <w:rPr>
          <w:rFonts w:ascii="Helvetica" w:hAnsi="Helvetica" w:cs="Helvetica"/>
          <w:color w:val="111111"/>
          <w:spacing w:val="6"/>
          <w:sz w:val="24"/>
          <w:szCs w:val="24"/>
        </w:rPr>
      </w:pPr>
      <w:hyperlink r:id="rId8" w:anchor="apply-knowledge-and-experience-to-practice" w:tgtFrame="_blank" w:history="1">
        <w:r w:rsidR="004014A7">
          <w:rPr>
            <w:rStyle w:val="Hyperlink"/>
            <w:rFonts w:ascii="Helvetica" w:hAnsi="Helvetica" w:cs="Helvetica"/>
            <w:color w:val="0967B1"/>
            <w:spacing w:val="6"/>
            <w:sz w:val="24"/>
            <w:szCs w:val="24"/>
          </w:rPr>
          <w:t>GMC Good Medical Practice</w:t>
        </w:r>
      </w:hyperlink>
      <w:r w:rsidR="004014A7">
        <w:rPr>
          <w:rFonts w:ascii="Helvetica" w:hAnsi="Helvetica" w:cs="Helvetica"/>
          <w:color w:val="111111"/>
          <w:spacing w:val="6"/>
          <w:sz w:val="24"/>
          <w:szCs w:val="24"/>
        </w:rPr>
        <w:t> states that doctors in the NHS and private sector should "prescribe drugs or treatment, including repeat prescriptions, only when they have adequate knowledge of the patient’s health and are satisfied that the drugs or treatment serve the patient’s needs."</w:t>
      </w:r>
    </w:p>
    <w:p w14:paraId="4AFCE300" w14:textId="77777777" w:rsidR="004014A7" w:rsidRDefault="004014A7" w:rsidP="004014A7">
      <w:pPr>
        <w:pStyle w:val="NormalWeb"/>
        <w:shd w:val="clear" w:color="auto" w:fill="FFFFFF"/>
        <w:spacing w:before="0" w:beforeAutospacing="0" w:after="360" w:afterAutospacing="0"/>
        <w:rPr>
          <w:rFonts w:ascii="Helvetica" w:hAnsi="Helvetica" w:cs="Helvetica"/>
          <w:color w:val="111111"/>
          <w:spacing w:val="6"/>
          <w:sz w:val="24"/>
          <w:szCs w:val="24"/>
        </w:rPr>
      </w:pPr>
      <w:r>
        <w:rPr>
          <w:rFonts w:ascii="Helvetica" w:hAnsi="Helvetica" w:cs="Helvetica"/>
          <w:color w:val="111111"/>
          <w:spacing w:val="6"/>
          <w:sz w:val="24"/>
          <w:szCs w:val="24"/>
        </w:rPr>
        <w:t>If requested by a private consultant to initiate or continue prescribing medications, and if the GP agrees with this advice, then this could be appropriate. However, if the GP does not feel competent to prescribe the requested medication, or they do not know if the medication best serves the patient’s need, the GP should inform the private provider that the prescriptions should be provided by a specialist.</w:t>
      </w:r>
    </w:p>
    <w:p w14:paraId="629D5170" w14:textId="77777777" w:rsidR="004014A7" w:rsidRDefault="004014A7" w:rsidP="004014A7">
      <w:pPr>
        <w:pStyle w:val="NormalWeb"/>
        <w:shd w:val="clear" w:color="auto" w:fill="FFFFFF"/>
        <w:spacing w:before="0" w:beforeAutospacing="0" w:after="360" w:afterAutospacing="0"/>
        <w:rPr>
          <w:rFonts w:ascii="Helvetica" w:hAnsi="Helvetica" w:cs="Helvetica"/>
          <w:color w:val="111111"/>
          <w:spacing w:val="6"/>
          <w:sz w:val="24"/>
          <w:szCs w:val="24"/>
        </w:rPr>
      </w:pPr>
      <w:r>
        <w:rPr>
          <w:rFonts w:ascii="Helvetica" w:hAnsi="Helvetica" w:cs="Helvetica"/>
          <w:color w:val="111111"/>
          <w:spacing w:val="6"/>
          <w:sz w:val="24"/>
          <w:szCs w:val="24"/>
        </w:rPr>
        <w:t>It should also be remembered that </w:t>
      </w:r>
      <w:hyperlink r:id="rId9" w:tgtFrame="_blank" w:history="1">
        <w:r>
          <w:rPr>
            <w:rStyle w:val="Hyperlink"/>
            <w:rFonts w:ascii="Helvetica" w:hAnsi="Helvetica" w:cs="Helvetica"/>
            <w:color w:val="0967B1"/>
            <w:spacing w:val="6"/>
            <w:sz w:val="24"/>
            <w:szCs w:val="24"/>
          </w:rPr>
          <w:t>NHS guidance</w:t>
        </w:r>
      </w:hyperlink>
      <w:r>
        <w:rPr>
          <w:rFonts w:ascii="Helvetica" w:hAnsi="Helvetica" w:cs="Helvetica"/>
          <w:color w:val="111111"/>
          <w:spacing w:val="6"/>
          <w:sz w:val="24"/>
          <w:szCs w:val="24"/>
        </w:rPr>
        <w:t> states that</w:t>
      </w:r>
    </w:p>
    <w:p w14:paraId="484A2FBF" w14:textId="77777777" w:rsidR="004014A7" w:rsidRPr="006310CF" w:rsidRDefault="004014A7" w:rsidP="004014A7">
      <w:pPr>
        <w:pStyle w:val="NormalWeb"/>
        <w:shd w:val="clear" w:color="auto" w:fill="FFFFFF"/>
        <w:spacing w:before="0" w:beforeAutospacing="0" w:after="360" w:afterAutospacing="0"/>
        <w:rPr>
          <w:rFonts w:ascii="Helvetica" w:hAnsi="Helvetica" w:cs="Helvetica"/>
          <w:color w:val="111111"/>
          <w:spacing w:val="6"/>
          <w:sz w:val="24"/>
          <w:szCs w:val="24"/>
        </w:rPr>
      </w:pPr>
      <w:r>
        <w:rPr>
          <w:rFonts w:ascii="Helvetica" w:hAnsi="Helvetica" w:cs="Helvetica"/>
          <w:color w:val="111111"/>
          <w:spacing w:val="6"/>
          <w:sz w:val="24"/>
          <w:szCs w:val="24"/>
        </w:rPr>
        <w:t>"</w:t>
      </w:r>
      <w:proofErr w:type="gramStart"/>
      <w:r>
        <w:rPr>
          <w:rFonts w:ascii="Helvetica" w:hAnsi="Helvetica" w:cs="Helvetica"/>
          <w:color w:val="111111"/>
          <w:spacing w:val="6"/>
          <w:sz w:val="24"/>
          <w:szCs w:val="24"/>
        </w:rPr>
        <w:t>where</w:t>
      </w:r>
      <w:proofErr w:type="gramEnd"/>
      <w:r>
        <w:rPr>
          <w:rFonts w:ascii="Helvetica" w:hAnsi="Helvetica" w:cs="Helvetica"/>
          <w:color w:val="111111"/>
          <w:spacing w:val="6"/>
          <w:sz w:val="24"/>
          <w:szCs w:val="24"/>
        </w:rPr>
        <w:t xml:space="preserve"> a patient has an immediate clinical need for medication as a result of attending an outpatient clinic, the secondary care provider must supply medication sufficient to last at least until the point at which the outpatient clinic’s letter can reasonably be expected to have reached the patient’s GP, and when the GP can therefore accept responsibility for subsequent prescribing. Consideration should be given to providing a minimum of 7 days’ supply to allow patients </w:t>
      </w:r>
      <w:r w:rsidRPr="006310CF">
        <w:rPr>
          <w:rFonts w:ascii="Helvetica" w:hAnsi="Helvetica" w:cs="Helvetica"/>
          <w:color w:val="111111"/>
          <w:spacing w:val="6"/>
          <w:sz w:val="24"/>
          <w:szCs w:val="24"/>
        </w:rPr>
        <w:t>sufficient time to contact staff at their general practice."</w:t>
      </w:r>
    </w:p>
    <w:p w14:paraId="2F2F3284" w14:textId="682589F4" w:rsidR="004014A7" w:rsidRPr="006310CF" w:rsidRDefault="004014A7" w:rsidP="004014A7">
      <w:pPr>
        <w:rPr>
          <w:rFonts w:ascii="Helvetica" w:eastAsia="Times New Roman" w:hAnsi="Helvetica" w:cs="Helvetica"/>
          <w:color w:val="111111"/>
          <w:spacing w:val="6"/>
          <w:sz w:val="24"/>
          <w:szCs w:val="24"/>
          <w:lang w:eastAsia="en-GB"/>
        </w:rPr>
      </w:pPr>
      <w:r w:rsidRPr="006310CF">
        <w:rPr>
          <w:rFonts w:ascii="Helvetica" w:eastAsia="Times New Roman" w:hAnsi="Helvetica" w:cs="Helvetica"/>
          <w:color w:val="111111"/>
          <w:spacing w:val="6"/>
          <w:sz w:val="24"/>
          <w:szCs w:val="24"/>
          <w:lang w:eastAsia="en-GB"/>
        </w:rPr>
        <w:t>This applies equally to private and NHS providers.</w:t>
      </w:r>
    </w:p>
    <w:p w14:paraId="38036F02" w14:textId="734EEF1C" w:rsidR="004014A7" w:rsidRPr="006310CF" w:rsidRDefault="004014A7" w:rsidP="004014A7">
      <w:pPr>
        <w:rPr>
          <w:rFonts w:ascii="Helvetica" w:hAnsi="Helvetica" w:cs="Helvetica"/>
          <w:b/>
          <w:bCs/>
          <w:color w:val="13316E"/>
          <w:spacing w:val="6"/>
          <w:sz w:val="28"/>
          <w:szCs w:val="28"/>
        </w:rPr>
      </w:pPr>
      <w:r w:rsidRPr="006310CF">
        <w:rPr>
          <w:rFonts w:ascii="Helvetica" w:hAnsi="Helvetica" w:cs="Helvetica"/>
          <w:b/>
          <w:bCs/>
          <w:color w:val="13316E"/>
          <w:spacing w:val="6"/>
          <w:sz w:val="28"/>
          <w:szCs w:val="28"/>
        </w:rPr>
        <w:t>"Shared care" with private providers</w:t>
      </w:r>
    </w:p>
    <w:p w14:paraId="1A6E8C43" w14:textId="77777777" w:rsidR="004014A7" w:rsidRDefault="004014A7" w:rsidP="004014A7">
      <w:pPr>
        <w:pStyle w:val="NormalWeb"/>
        <w:shd w:val="clear" w:color="auto" w:fill="FFFFFF"/>
        <w:spacing w:before="0" w:beforeAutospacing="0" w:after="360" w:afterAutospacing="0"/>
        <w:rPr>
          <w:rFonts w:ascii="Helvetica" w:hAnsi="Helvetica" w:cs="Helvetica"/>
          <w:color w:val="111111"/>
          <w:spacing w:val="6"/>
          <w:sz w:val="24"/>
          <w:szCs w:val="24"/>
        </w:rPr>
      </w:pPr>
      <w:r>
        <w:rPr>
          <w:rFonts w:ascii="Helvetica" w:hAnsi="Helvetica" w:cs="Helvetica"/>
          <w:color w:val="111111"/>
          <w:spacing w:val="6"/>
          <w:sz w:val="24"/>
          <w:szCs w:val="24"/>
        </w:rPr>
        <w:t>Sometimes the care of a patient is shared between two doctors, usually a GP and a specialist, and there is a formalised written ‘shared care agreement’ setting out the position of each, to which both parties have willingly agreed. Where these arrangements are in place, GP providers can arrange the prescriptions and appropriate investigations, and the results are fully dealt with by clinicians with the necessary competence under the shared care arrangement. There is </w:t>
      </w:r>
      <w:hyperlink r:id="rId10" w:tgtFrame="_blank" w:history="1">
        <w:r>
          <w:rPr>
            <w:rStyle w:val="Hyperlink"/>
            <w:rFonts w:ascii="Helvetica" w:hAnsi="Helvetica" w:cs="Helvetica"/>
            <w:color w:val="0967B1"/>
            <w:spacing w:val="6"/>
            <w:sz w:val="24"/>
            <w:szCs w:val="24"/>
          </w:rPr>
          <w:t>NHS guidance</w:t>
        </w:r>
      </w:hyperlink>
      <w:r>
        <w:rPr>
          <w:rFonts w:ascii="Helvetica" w:hAnsi="Helvetica" w:cs="Helvetica"/>
          <w:color w:val="111111"/>
          <w:spacing w:val="6"/>
          <w:sz w:val="24"/>
          <w:szCs w:val="24"/>
        </w:rPr>
        <w:t> available about this.</w:t>
      </w:r>
    </w:p>
    <w:p w14:paraId="1E07A91A" w14:textId="77777777" w:rsidR="004014A7" w:rsidRDefault="004014A7" w:rsidP="004014A7">
      <w:pPr>
        <w:pStyle w:val="NormalWeb"/>
        <w:shd w:val="clear" w:color="auto" w:fill="FFFFFF"/>
        <w:spacing w:before="0" w:beforeAutospacing="0" w:after="360" w:afterAutospacing="0"/>
        <w:rPr>
          <w:rFonts w:ascii="Helvetica" w:hAnsi="Helvetica" w:cs="Helvetica"/>
          <w:color w:val="111111"/>
          <w:spacing w:val="6"/>
          <w:sz w:val="24"/>
          <w:szCs w:val="24"/>
        </w:rPr>
      </w:pPr>
      <w:r>
        <w:rPr>
          <w:rFonts w:ascii="Helvetica" w:hAnsi="Helvetica" w:cs="Helvetica"/>
          <w:color w:val="111111"/>
          <w:spacing w:val="6"/>
          <w:sz w:val="24"/>
          <w:szCs w:val="24"/>
        </w:rPr>
        <w:t>Most shared care arrangements are commissioned by NHS commissioners and may not be funded for patients seeking private treatment. If this is not funded by local commissioners, the prescriptions and investigations should remain the responsibility of the private provider.</w:t>
      </w:r>
    </w:p>
    <w:p w14:paraId="45A49D8B" w14:textId="77777777" w:rsidR="006310CF" w:rsidRDefault="004014A7" w:rsidP="006310CF">
      <w:pPr>
        <w:pStyle w:val="NormalWeb"/>
        <w:shd w:val="clear" w:color="auto" w:fill="FFFFFF"/>
        <w:spacing w:before="0" w:beforeAutospacing="0" w:after="360" w:afterAutospacing="0"/>
        <w:rPr>
          <w:rFonts w:ascii="Helvetica" w:hAnsi="Helvetica" w:cs="Helvetica"/>
          <w:b/>
          <w:bCs/>
          <w:color w:val="13316E"/>
          <w:spacing w:val="6"/>
          <w:sz w:val="24"/>
          <w:szCs w:val="24"/>
        </w:rPr>
      </w:pPr>
      <w:r>
        <w:rPr>
          <w:rFonts w:ascii="Helvetica" w:hAnsi="Helvetica" w:cs="Helvetica"/>
          <w:color w:val="111111"/>
          <w:spacing w:val="6"/>
          <w:sz w:val="24"/>
          <w:szCs w:val="24"/>
        </w:rPr>
        <w:t>All shared care arrangements are voluntary, so even where agreements are in place, practices can decline shared care requests on clinical and capacity grounds. The responsibility for the patient’s care and ongoing prescribing then remains the responsibility of the private provider.</w:t>
      </w:r>
      <w:r>
        <w:rPr>
          <w:rFonts w:ascii="Helvetica" w:hAnsi="Helvetica" w:cs="Helvetica"/>
          <w:color w:val="111111"/>
          <w:spacing w:val="6"/>
          <w:sz w:val="24"/>
          <w:szCs w:val="24"/>
        </w:rPr>
        <w:br/>
      </w:r>
    </w:p>
    <w:p w14:paraId="3D225401" w14:textId="1365DB8E" w:rsidR="004014A7" w:rsidRPr="006310CF" w:rsidRDefault="004014A7" w:rsidP="006310CF">
      <w:pPr>
        <w:pStyle w:val="NormalWeb"/>
        <w:shd w:val="clear" w:color="auto" w:fill="FFFFFF"/>
        <w:spacing w:before="0" w:beforeAutospacing="0" w:after="360" w:afterAutospacing="0"/>
        <w:rPr>
          <w:rFonts w:ascii="Helvetica" w:hAnsi="Helvetica" w:cs="Helvetica"/>
          <w:b/>
          <w:bCs/>
          <w:color w:val="13316E"/>
          <w:spacing w:val="6"/>
          <w:sz w:val="28"/>
          <w:szCs w:val="28"/>
        </w:rPr>
      </w:pPr>
      <w:r w:rsidRPr="006310CF">
        <w:rPr>
          <w:rFonts w:ascii="Helvetica" w:hAnsi="Helvetica" w:cs="Helvetica"/>
          <w:b/>
          <w:bCs/>
          <w:color w:val="13316E"/>
          <w:spacing w:val="6"/>
          <w:sz w:val="28"/>
          <w:szCs w:val="28"/>
        </w:rPr>
        <w:t xml:space="preserve">Caring for patients who have had private treatment </w:t>
      </w:r>
      <w:proofErr w:type="gramStart"/>
      <w:r w:rsidRPr="006310CF">
        <w:rPr>
          <w:rFonts w:ascii="Helvetica" w:hAnsi="Helvetica" w:cs="Helvetica"/>
          <w:b/>
          <w:bCs/>
          <w:color w:val="13316E"/>
          <w:spacing w:val="6"/>
          <w:sz w:val="28"/>
          <w:szCs w:val="28"/>
        </w:rPr>
        <w:t>abroad</w:t>
      </w:r>
      <w:proofErr w:type="gramEnd"/>
    </w:p>
    <w:p w14:paraId="58A3A9C7" w14:textId="77777777" w:rsidR="004014A7" w:rsidRDefault="004014A7" w:rsidP="004014A7">
      <w:pPr>
        <w:pStyle w:val="NormalWeb"/>
        <w:shd w:val="clear" w:color="auto" w:fill="FFFFFF"/>
        <w:spacing w:before="0" w:beforeAutospacing="0" w:after="360" w:afterAutospacing="0"/>
        <w:rPr>
          <w:rFonts w:ascii="Helvetica" w:hAnsi="Helvetica" w:cs="Helvetica"/>
          <w:color w:val="111111"/>
          <w:spacing w:val="6"/>
          <w:sz w:val="24"/>
          <w:szCs w:val="24"/>
        </w:rPr>
      </w:pPr>
      <w:r>
        <w:rPr>
          <w:rFonts w:ascii="Helvetica" w:hAnsi="Helvetica" w:cs="Helvetica"/>
          <w:color w:val="111111"/>
          <w:spacing w:val="6"/>
          <w:sz w:val="24"/>
          <w:szCs w:val="24"/>
        </w:rPr>
        <w:t>Patients can transfer their care from private to NHS as per the </w:t>
      </w:r>
      <w:hyperlink r:id="rId11" w:tgtFrame="_blank" w:history="1">
        <w:r>
          <w:rPr>
            <w:rStyle w:val="Hyperlink"/>
            <w:rFonts w:ascii="Helvetica" w:hAnsi="Helvetica" w:cs="Helvetica"/>
            <w:color w:val="0967B1"/>
            <w:spacing w:val="6"/>
            <w:sz w:val="24"/>
            <w:szCs w:val="24"/>
          </w:rPr>
          <w:t>NHS Constitution</w:t>
        </w:r>
      </w:hyperlink>
      <w:r>
        <w:rPr>
          <w:rFonts w:ascii="Helvetica" w:hAnsi="Helvetica" w:cs="Helvetica"/>
          <w:color w:val="111111"/>
          <w:spacing w:val="6"/>
          <w:sz w:val="24"/>
          <w:szCs w:val="24"/>
        </w:rPr>
        <w:t>. Thus, if a patient would normally receive follow up in general practice following specialist treatment, they should receive this if they transfer from private care, whether in the UK or not.</w:t>
      </w:r>
    </w:p>
    <w:p w14:paraId="19B50C90" w14:textId="77777777" w:rsidR="004014A7" w:rsidRDefault="004014A7" w:rsidP="004014A7">
      <w:pPr>
        <w:pStyle w:val="NormalWeb"/>
        <w:shd w:val="clear" w:color="auto" w:fill="FFFFFF"/>
        <w:spacing w:before="0" w:beforeAutospacing="0" w:after="360" w:afterAutospacing="0"/>
        <w:rPr>
          <w:rFonts w:ascii="Helvetica" w:hAnsi="Helvetica" w:cs="Helvetica"/>
          <w:color w:val="111111"/>
          <w:spacing w:val="6"/>
          <w:sz w:val="24"/>
          <w:szCs w:val="24"/>
        </w:rPr>
      </w:pPr>
      <w:r>
        <w:rPr>
          <w:rFonts w:ascii="Helvetica" w:hAnsi="Helvetica" w:cs="Helvetica"/>
          <w:color w:val="111111"/>
          <w:spacing w:val="6"/>
          <w:sz w:val="24"/>
          <w:szCs w:val="24"/>
        </w:rPr>
        <w:t>However, if follow up is of a specialist nature, or not within normal general practice remit, the patient should be referred to the appropriate service in the UK for this follow up.</w:t>
      </w:r>
    </w:p>
    <w:p w14:paraId="51AFBEE9" w14:textId="77777777" w:rsidR="004014A7" w:rsidRDefault="004014A7" w:rsidP="004014A7">
      <w:pPr>
        <w:pStyle w:val="NormalWeb"/>
        <w:shd w:val="clear" w:color="auto" w:fill="FFFFFF"/>
        <w:spacing w:before="0" w:beforeAutospacing="0" w:after="360" w:afterAutospacing="0"/>
        <w:rPr>
          <w:rFonts w:ascii="Helvetica" w:hAnsi="Helvetica" w:cs="Helvetica"/>
          <w:color w:val="111111"/>
          <w:spacing w:val="6"/>
          <w:sz w:val="24"/>
          <w:szCs w:val="24"/>
        </w:rPr>
      </w:pPr>
      <w:r>
        <w:rPr>
          <w:rFonts w:ascii="Helvetica" w:hAnsi="Helvetica" w:cs="Helvetica"/>
          <w:color w:val="111111"/>
          <w:spacing w:val="6"/>
          <w:sz w:val="24"/>
          <w:szCs w:val="24"/>
        </w:rPr>
        <w:t>If an appropriate service is not available, or rejects the referral, this should be directed to the local commissioner whose responsibility it is to commission the service.</w:t>
      </w:r>
    </w:p>
    <w:p w14:paraId="582CD3EC" w14:textId="3FBA38B2" w:rsidR="004014A7" w:rsidRPr="004014A7" w:rsidRDefault="004014A7" w:rsidP="004014A7">
      <w:pPr>
        <w:rPr>
          <w:rFonts w:ascii="Helvetica" w:hAnsi="Helvetica" w:cs="Helvetica"/>
          <w:b/>
          <w:bCs/>
          <w:color w:val="13316E"/>
          <w:spacing w:val="6"/>
          <w:sz w:val="28"/>
          <w:szCs w:val="28"/>
        </w:rPr>
      </w:pPr>
      <w:r w:rsidRPr="004014A7">
        <w:rPr>
          <w:rFonts w:ascii="Helvetica" w:hAnsi="Helvetica" w:cs="Helvetica"/>
          <w:b/>
          <w:bCs/>
          <w:color w:val="13316E"/>
          <w:spacing w:val="6"/>
          <w:sz w:val="28"/>
          <w:szCs w:val="28"/>
        </w:rPr>
        <w:br/>
        <w:t xml:space="preserve">Private providers making onward referrals to NHS </w:t>
      </w:r>
      <w:proofErr w:type="gramStart"/>
      <w:r w:rsidRPr="004014A7">
        <w:rPr>
          <w:rFonts w:ascii="Helvetica" w:hAnsi="Helvetica" w:cs="Helvetica"/>
          <w:b/>
          <w:bCs/>
          <w:color w:val="13316E"/>
          <w:spacing w:val="6"/>
          <w:sz w:val="28"/>
          <w:szCs w:val="28"/>
        </w:rPr>
        <w:t>provider</w:t>
      </w:r>
      <w:proofErr w:type="gramEnd"/>
    </w:p>
    <w:p w14:paraId="0CE17D49" w14:textId="77777777" w:rsidR="004014A7" w:rsidRDefault="004014A7" w:rsidP="004014A7">
      <w:pPr>
        <w:pStyle w:val="NormalWeb"/>
        <w:shd w:val="clear" w:color="auto" w:fill="FFFFFF"/>
        <w:spacing w:before="0" w:beforeAutospacing="0" w:after="360" w:afterAutospacing="0"/>
        <w:rPr>
          <w:rFonts w:ascii="Helvetica" w:hAnsi="Helvetica" w:cs="Helvetica"/>
          <w:color w:val="111111"/>
          <w:spacing w:val="6"/>
          <w:sz w:val="24"/>
          <w:szCs w:val="24"/>
        </w:rPr>
      </w:pPr>
      <w:r>
        <w:rPr>
          <w:rFonts w:ascii="Helvetica" w:hAnsi="Helvetica" w:cs="Helvetica"/>
          <w:color w:val="111111"/>
          <w:spacing w:val="6"/>
          <w:sz w:val="24"/>
          <w:szCs w:val="24"/>
        </w:rPr>
        <w:t>Private providers can make referrals to NHS services, without referral back to the GP, provided the patient would be eligible for NHS referral. Any patients referred should be treated based on clinical need. Read</w:t>
      </w:r>
      <w:hyperlink r:id="rId12" w:tgtFrame="_blank" w:history="1">
        <w:r>
          <w:rPr>
            <w:rStyle w:val="Hyperlink"/>
            <w:rFonts w:ascii="Helvetica" w:hAnsi="Helvetica" w:cs="Helvetica"/>
            <w:color w:val="0967B1"/>
            <w:spacing w:val="6"/>
            <w:sz w:val="24"/>
            <w:szCs w:val="24"/>
          </w:rPr>
          <w:t> NHS England guidance</w:t>
        </w:r>
      </w:hyperlink>
      <w:r>
        <w:rPr>
          <w:rFonts w:ascii="Helvetica" w:hAnsi="Helvetica" w:cs="Helvetica"/>
          <w:color w:val="111111"/>
          <w:spacing w:val="6"/>
          <w:sz w:val="24"/>
          <w:szCs w:val="24"/>
        </w:rPr>
        <w:t> around consultant-to-consultant referrals within the NHS.</w:t>
      </w:r>
    </w:p>
    <w:p w14:paraId="41901576" w14:textId="77777777" w:rsidR="004014A7" w:rsidRDefault="004014A7" w:rsidP="004014A7">
      <w:pPr>
        <w:pStyle w:val="NormalWeb"/>
        <w:shd w:val="clear" w:color="auto" w:fill="FFFFFF"/>
        <w:spacing w:before="0" w:beforeAutospacing="0" w:after="360" w:afterAutospacing="0"/>
        <w:rPr>
          <w:rFonts w:ascii="Helvetica" w:hAnsi="Helvetica" w:cs="Helvetica"/>
          <w:color w:val="111111"/>
          <w:spacing w:val="6"/>
          <w:sz w:val="24"/>
          <w:szCs w:val="24"/>
        </w:rPr>
      </w:pPr>
    </w:p>
    <w:p w14:paraId="49C08F46" w14:textId="4ACAF607" w:rsidR="004014A7" w:rsidRPr="004014A7" w:rsidRDefault="004014A7" w:rsidP="004014A7">
      <w:pPr>
        <w:rPr>
          <w:rFonts w:ascii="Helvetica" w:hAnsi="Helvetica" w:cs="Helvetica"/>
          <w:b/>
          <w:bCs/>
          <w:color w:val="13316E"/>
          <w:spacing w:val="6"/>
          <w:sz w:val="28"/>
          <w:szCs w:val="28"/>
        </w:rPr>
      </w:pPr>
    </w:p>
    <w:p w14:paraId="13B80A9F" w14:textId="77777777" w:rsidR="004014A7" w:rsidRPr="004014A7" w:rsidRDefault="004014A7" w:rsidP="004014A7">
      <w:pPr>
        <w:rPr>
          <w:rFonts w:ascii="Helvetica" w:hAnsi="Helvetica" w:cs="Helvetica"/>
          <w:b/>
          <w:bCs/>
          <w:color w:val="13316E"/>
          <w:spacing w:val="6"/>
          <w:sz w:val="28"/>
          <w:szCs w:val="28"/>
        </w:rPr>
      </w:pPr>
    </w:p>
    <w:p w14:paraId="7B3AFB6B" w14:textId="77777777" w:rsidR="004014A7" w:rsidRPr="004014A7" w:rsidRDefault="004014A7" w:rsidP="004014A7">
      <w:pPr>
        <w:rPr>
          <w:rFonts w:ascii="Helvetica" w:hAnsi="Helvetica" w:cs="Helvetica"/>
          <w:b/>
          <w:bCs/>
          <w:color w:val="13316E"/>
          <w:spacing w:val="6"/>
          <w:sz w:val="28"/>
          <w:szCs w:val="28"/>
        </w:rPr>
      </w:pPr>
    </w:p>
    <w:sectPr w:rsidR="004014A7" w:rsidRPr="004014A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B0947" w14:textId="77777777" w:rsidR="006D78DC" w:rsidRDefault="006D78DC" w:rsidP="006D78DC">
      <w:pPr>
        <w:spacing w:after="0" w:line="240" w:lineRule="auto"/>
      </w:pPr>
      <w:r>
        <w:separator/>
      </w:r>
    </w:p>
  </w:endnote>
  <w:endnote w:type="continuationSeparator" w:id="0">
    <w:p w14:paraId="021FBD23" w14:textId="77777777" w:rsidR="006D78DC" w:rsidRDefault="006D78DC" w:rsidP="006D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25975"/>
      <w:docPartObj>
        <w:docPartGallery w:val="Page Numbers (Bottom of Page)"/>
        <w:docPartUnique/>
      </w:docPartObj>
    </w:sdtPr>
    <w:sdtEndPr>
      <w:rPr>
        <w:noProof/>
        <w:sz w:val="16"/>
        <w:szCs w:val="16"/>
      </w:rPr>
    </w:sdtEndPr>
    <w:sdtContent>
      <w:p w14:paraId="0B02328E" w14:textId="77777777" w:rsidR="006310CF" w:rsidRPr="006310CF" w:rsidRDefault="006310CF" w:rsidP="006310CF">
        <w:pPr>
          <w:pStyle w:val="Footer"/>
          <w:rPr>
            <w:sz w:val="18"/>
            <w:szCs w:val="18"/>
          </w:rPr>
        </w:pPr>
        <w:r w:rsidRPr="006310CF">
          <w:rPr>
            <w:sz w:val="18"/>
            <w:szCs w:val="18"/>
          </w:rPr>
          <w:t>BMA Guidelines August 2023</w:t>
        </w:r>
      </w:p>
      <w:p w14:paraId="6E5A1D44" w14:textId="77777777" w:rsidR="006310CF" w:rsidRPr="006310CF" w:rsidRDefault="006310CF" w:rsidP="006310CF">
        <w:pPr>
          <w:pStyle w:val="Footer"/>
          <w:rPr>
            <w:sz w:val="18"/>
            <w:szCs w:val="18"/>
          </w:rPr>
        </w:pPr>
        <w:r w:rsidRPr="006310CF">
          <w:rPr>
            <w:sz w:val="18"/>
            <w:szCs w:val="18"/>
          </w:rPr>
          <w:t>PM Review August 2025</w:t>
        </w:r>
      </w:p>
      <w:p w14:paraId="2E016BB0" w14:textId="1221B5F0" w:rsidR="006310CF" w:rsidRPr="006310CF" w:rsidRDefault="006310CF">
        <w:pPr>
          <w:pStyle w:val="Footer"/>
          <w:jc w:val="right"/>
          <w:rPr>
            <w:sz w:val="16"/>
            <w:szCs w:val="16"/>
          </w:rPr>
        </w:pPr>
        <w:r w:rsidRPr="006310CF">
          <w:rPr>
            <w:sz w:val="16"/>
            <w:szCs w:val="16"/>
          </w:rPr>
          <w:fldChar w:fldCharType="begin"/>
        </w:r>
        <w:r w:rsidRPr="006310CF">
          <w:rPr>
            <w:sz w:val="16"/>
            <w:szCs w:val="16"/>
          </w:rPr>
          <w:instrText xml:space="preserve"> PAGE   \* MERGEFORMAT </w:instrText>
        </w:r>
        <w:r w:rsidRPr="006310CF">
          <w:rPr>
            <w:sz w:val="16"/>
            <w:szCs w:val="16"/>
          </w:rPr>
          <w:fldChar w:fldCharType="separate"/>
        </w:r>
        <w:r w:rsidRPr="006310CF">
          <w:rPr>
            <w:noProof/>
            <w:sz w:val="16"/>
            <w:szCs w:val="16"/>
          </w:rPr>
          <w:t>2</w:t>
        </w:r>
        <w:r w:rsidRPr="006310CF">
          <w:rPr>
            <w:noProof/>
            <w:sz w:val="16"/>
            <w:szCs w:val="16"/>
          </w:rPr>
          <w:fldChar w:fldCharType="end"/>
        </w:r>
      </w:p>
    </w:sdtContent>
  </w:sdt>
  <w:p w14:paraId="23BB5BC7" w14:textId="77777777" w:rsidR="006D78DC" w:rsidRDefault="006D7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2BF6D" w14:textId="77777777" w:rsidR="006D78DC" w:rsidRDefault="006D78DC" w:rsidP="006D78DC">
      <w:pPr>
        <w:spacing w:after="0" w:line="240" w:lineRule="auto"/>
      </w:pPr>
      <w:r>
        <w:separator/>
      </w:r>
    </w:p>
  </w:footnote>
  <w:footnote w:type="continuationSeparator" w:id="0">
    <w:p w14:paraId="18D131A2" w14:textId="77777777" w:rsidR="006D78DC" w:rsidRDefault="006D78DC" w:rsidP="006D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1452D"/>
    <w:multiLevelType w:val="hybridMultilevel"/>
    <w:tmpl w:val="7C12301E"/>
    <w:lvl w:ilvl="0" w:tplc="FFFFFFFF">
      <w:start w:val="1"/>
      <w:numFmt w:val="decimal"/>
      <w:lvlText w:val="%1."/>
      <w:lvlJc w:val="left"/>
      <w:pPr>
        <w:ind w:left="720" w:hanging="360"/>
      </w:pPr>
      <w:rPr>
        <w:rFonts w:ascii="Helvetica" w:hAnsi="Helvetica" w:cs="Helvetica" w:hint="default"/>
        <w:color w:val="13316E"/>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8DF58FC"/>
    <w:multiLevelType w:val="hybridMultilevel"/>
    <w:tmpl w:val="7C12301E"/>
    <w:lvl w:ilvl="0" w:tplc="F5D22464">
      <w:start w:val="1"/>
      <w:numFmt w:val="decimal"/>
      <w:lvlText w:val="%1."/>
      <w:lvlJc w:val="left"/>
      <w:pPr>
        <w:ind w:left="720" w:hanging="360"/>
      </w:pPr>
      <w:rPr>
        <w:rFonts w:ascii="Helvetica" w:hAnsi="Helvetica" w:cs="Helvetica" w:hint="default"/>
        <w:color w:val="13316E"/>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84293F"/>
    <w:multiLevelType w:val="multilevel"/>
    <w:tmpl w:val="3F805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7600A5"/>
    <w:multiLevelType w:val="hybridMultilevel"/>
    <w:tmpl w:val="7C12301E"/>
    <w:lvl w:ilvl="0" w:tplc="FFFFFFFF">
      <w:start w:val="1"/>
      <w:numFmt w:val="decimal"/>
      <w:lvlText w:val="%1."/>
      <w:lvlJc w:val="left"/>
      <w:pPr>
        <w:ind w:left="720" w:hanging="360"/>
      </w:pPr>
      <w:rPr>
        <w:rFonts w:ascii="Helvetica" w:hAnsi="Helvetica" w:cs="Helvetica" w:hint="default"/>
        <w:color w:val="13316E"/>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640393">
    <w:abstractNumId w:val="1"/>
  </w:num>
  <w:num w:numId="2" w16cid:durableId="1956474828">
    <w:abstractNumId w:val="2"/>
  </w:num>
  <w:num w:numId="3" w16cid:durableId="2006740724">
    <w:abstractNumId w:val="3"/>
  </w:num>
  <w:num w:numId="4" w16cid:durableId="243609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D51"/>
    <w:rsid w:val="004014A7"/>
    <w:rsid w:val="00434049"/>
    <w:rsid w:val="004F627D"/>
    <w:rsid w:val="006310CF"/>
    <w:rsid w:val="006C6D51"/>
    <w:rsid w:val="006D78DC"/>
    <w:rsid w:val="00791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9A6B6"/>
  <w15:chartTrackingRefBased/>
  <w15:docId w15:val="{7CE6DC4C-F34E-4497-BC19-F7F332EAB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6C6D51"/>
    <w:pPr>
      <w:spacing w:before="100" w:beforeAutospacing="1" w:after="100" w:afterAutospacing="1" w:line="240" w:lineRule="auto"/>
      <w:outlineLvl w:val="1"/>
    </w:pPr>
    <w:rPr>
      <w:rFonts w:ascii="Calibri" w:eastAsia="Times New Roman" w:hAnsi="Calibri" w:cs="Calibri"/>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C6D51"/>
    <w:rPr>
      <w:rFonts w:ascii="Calibri" w:eastAsia="Times New Roman" w:hAnsi="Calibri" w:cs="Calibri"/>
      <w:b/>
      <w:bCs/>
      <w:sz w:val="36"/>
      <w:szCs w:val="36"/>
      <w:lang w:eastAsia="en-GB"/>
    </w:rPr>
  </w:style>
  <w:style w:type="paragraph" w:styleId="ListParagraph">
    <w:name w:val="List Paragraph"/>
    <w:basedOn w:val="Normal"/>
    <w:uiPriority w:val="34"/>
    <w:qFormat/>
    <w:rsid w:val="006C6D51"/>
    <w:pPr>
      <w:ind w:left="720"/>
      <w:contextualSpacing/>
    </w:pPr>
  </w:style>
  <w:style w:type="character" w:styleId="Hyperlink">
    <w:name w:val="Hyperlink"/>
    <w:basedOn w:val="DefaultParagraphFont"/>
    <w:uiPriority w:val="99"/>
    <w:semiHidden/>
    <w:unhideWhenUsed/>
    <w:rsid w:val="006C6D51"/>
    <w:rPr>
      <w:color w:val="0000FF" w:themeColor="hyperlink"/>
      <w:u w:val="single"/>
    </w:rPr>
  </w:style>
  <w:style w:type="paragraph" w:styleId="NormalWeb">
    <w:name w:val="Normal (Web)"/>
    <w:basedOn w:val="Normal"/>
    <w:uiPriority w:val="99"/>
    <w:unhideWhenUsed/>
    <w:rsid w:val="006C6D51"/>
    <w:pPr>
      <w:spacing w:before="100" w:beforeAutospacing="1" w:after="100" w:afterAutospacing="1" w:line="240" w:lineRule="auto"/>
    </w:pPr>
    <w:rPr>
      <w:rFonts w:ascii="Calibri" w:eastAsia="Times New Roman" w:hAnsi="Calibri" w:cs="Calibri"/>
      <w:lang w:eastAsia="en-GB"/>
    </w:rPr>
  </w:style>
  <w:style w:type="paragraph" w:styleId="Header">
    <w:name w:val="header"/>
    <w:basedOn w:val="Normal"/>
    <w:link w:val="HeaderChar"/>
    <w:uiPriority w:val="99"/>
    <w:unhideWhenUsed/>
    <w:rsid w:val="006D7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8DC"/>
  </w:style>
  <w:style w:type="paragraph" w:styleId="Footer">
    <w:name w:val="footer"/>
    <w:basedOn w:val="Normal"/>
    <w:link w:val="FooterChar"/>
    <w:uiPriority w:val="99"/>
    <w:unhideWhenUsed/>
    <w:rsid w:val="006D7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59">
      <w:bodyDiv w:val="1"/>
      <w:marLeft w:val="0"/>
      <w:marRight w:val="0"/>
      <w:marTop w:val="0"/>
      <w:marBottom w:val="0"/>
      <w:divBdr>
        <w:top w:val="none" w:sz="0" w:space="0" w:color="auto"/>
        <w:left w:val="none" w:sz="0" w:space="0" w:color="auto"/>
        <w:bottom w:val="none" w:sz="0" w:space="0" w:color="auto"/>
        <w:right w:val="none" w:sz="0" w:space="0" w:color="auto"/>
      </w:divBdr>
    </w:div>
    <w:div w:id="345060240">
      <w:bodyDiv w:val="1"/>
      <w:marLeft w:val="0"/>
      <w:marRight w:val="0"/>
      <w:marTop w:val="0"/>
      <w:marBottom w:val="0"/>
      <w:divBdr>
        <w:top w:val="none" w:sz="0" w:space="0" w:color="auto"/>
        <w:left w:val="none" w:sz="0" w:space="0" w:color="auto"/>
        <w:bottom w:val="none" w:sz="0" w:space="0" w:color="auto"/>
        <w:right w:val="none" w:sz="0" w:space="0" w:color="auto"/>
      </w:divBdr>
    </w:div>
    <w:div w:id="714039101">
      <w:bodyDiv w:val="1"/>
      <w:marLeft w:val="0"/>
      <w:marRight w:val="0"/>
      <w:marTop w:val="0"/>
      <w:marBottom w:val="0"/>
      <w:divBdr>
        <w:top w:val="none" w:sz="0" w:space="0" w:color="auto"/>
        <w:left w:val="none" w:sz="0" w:space="0" w:color="auto"/>
        <w:bottom w:val="none" w:sz="0" w:space="0" w:color="auto"/>
        <w:right w:val="none" w:sz="0" w:space="0" w:color="auto"/>
      </w:divBdr>
    </w:div>
    <w:div w:id="982390730">
      <w:bodyDiv w:val="1"/>
      <w:marLeft w:val="0"/>
      <w:marRight w:val="0"/>
      <w:marTop w:val="0"/>
      <w:marBottom w:val="0"/>
      <w:divBdr>
        <w:top w:val="none" w:sz="0" w:space="0" w:color="auto"/>
        <w:left w:val="none" w:sz="0" w:space="0" w:color="auto"/>
        <w:bottom w:val="none" w:sz="0" w:space="0" w:color="auto"/>
        <w:right w:val="none" w:sz="0" w:space="0" w:color="auto"/>
      </w:divBdr>
    </w:div>
    <w:div w:id="1159883768">
      <w:bodyDiv w:val="1"/>
      <w:marLeft w:val="0"/>
      <w:marRight w:val="0"/>
      <w:marTop w:val="0"/>
      <w:marBottom w:val="0"/>
      <w:divBdr>
        <w:top w:val="none" w:sz="0" w:space="0" w:color="auto"/>
        <w:left w:val="none" w:sz="0" w:space="0" w:color="auto"/>
        <w:bottom w:val="none" w:sz="0" w:space="0" w:color="auto"/>
        <w:right w:val="none" w:sz="0" w:space="0" w:color="auto"/>
      </w:divBdr>
    </w:div>
    <w:div w:id="1244071618">
      <w:bodyDiv w:val="1"/>
      <w:marLeft w:val="0"/>
      <w:marRight w:val="0"/>
      <w:marTop w:val="0"/>
      <w:marBottom w:val="0"/>
      <w:divBdr>
        <w:top w:val="none" w:sz="0" w:space="0" w:color="auto"/>
        <w:left w:val="none" w:sz="0" w:space="0" w:color="auto"/>
        <w:bottom w:val="none" w:sz="0" w:space="0" w:color="auto"/>
        <w:right w:val="none" w:sz="0" w:space="0" w:color="auto"/>
      </w:divBdr>
    </w:div>
    <w:div w:id="1352031101">
      <w:bodyDiv w:val="1"/>
      <w:marLeft w:val="0"/>
      <w:marRight w:val="0"/>
      <w:marTop w:val="0"/>
      <w:marBottom w:val="0"/>
      <w:divBdr>
        <w:top w:val="none" w:sz="0" w:space="0" w:color="auto"/>
        <w:left w:val="none" w:sz="0" w:space="0" w:color="auto"/>
        <w:bottom w:val="none" w:sz="0" w:space="0" w:color="auto"/>
        <w:right w:val="none" w:sz="0" w:space="0" w:color="auto"/>
      </w:divBdr>
    </w:div>
    <w:div w:id="1628968653">
      <w:bodyDiv w:val="1"/>
      <w:marLeft w:val="0"/>
      <w:marRight w:val="0"/>
      <w:marTop w:val="0"/>
      <w:marBottom w:val="0"/>
      <w:divBdr>
        <w:top w:val="none" w:sz="0" w:space="0" w:color="auto"/>
        <w:left w:val="none" w:sz="0" w:space="0" w:color="auto"/>
        <w:bottom w:val="none" w:sz="0" w:space="0" w:color="auto"/>
        <w:right w:val="none" w:sz="0" w:space="0" w:color="auto"/>
      </w:divBdr>
    </w:div>
    <w:div w:id="1729302181">
      <w:bodyDiv w:val="1"/>
      <w:marLeft w:val="0"/>
      <w:marRight w:val="0"/>
      <w:marTop w:val="0"/>
      <w:marBottom w:val="0"/>
      <w:divBdr>
        <w:top w:val="none" w:sz="0" w:space="0" w:color="auto"/>
        <w:left w:val="none" w:sz="0" w:space="0" w:color="auto"/>
        <w:bottom w:val="none" w:sz="0" w:space="0" w:color="auto"/>
        <w:right w:val="none" w:sz="0" w:space="0" w:color="auto"/>
      </w:divBdr>
    </w:div>
    <w:div w:id="1748456334">
      <w:bodyDiv w:val="1"/>
      <w:marLeft w:val="0"/>
      <w:marRight w:val="0"/>
      <w:marTop w:val="0"/>
      <w:marBottom w:val="0"/>
      <w:divBdr>
        <w:top w:val="none" w:sz="0" w:space="0" w:color="auto"/>
        <w:left w:val="none" w:sz="0" w:space="0" w:color="auto"/>
        <w:bottom w:val="none" w:sz="0" w:space="0" w:color="auto"/>
        <w:right w:val="none" w:sz="0" w:space="0" w:color="auto"/>
      </w:divBdr>
    </w:div>
    <w:div w:id="1765414525">
      <w:bodyDiv w:val="1"/>
      <w:marLeft w:val="0"/>
      <w:marRight w:val="0"/>
      <w:marTop w:val="0"/>
      <w:marBottom w:val="0"/>
      <w:divBdr>
        <w:top w:val="none" w:sz="0" w:space="0" w:color="auto"/>
        <w:left w:val="none" w:sz="0" w:space="0" w:color="auto"/>
        <w:bottom w:val="none" w:sz="0" w:space="0" w:color="auto"/>
        <w:right w:val="none" w:sz="0" w:space="0" w:color="auto"/>
      </w:divBdr>
    </w:div>
    <w:div w:id="203969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c-uk.org/ethical-guidance/ethical-guidance-for-doctors/good-medical-practice/domain-1---knowledge-skills-and-performanc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egislation.gov.uk/uksi/2015/1862/regulation/17" TargetMode="External"/><Relationship Id="rId12" Type="http://schemas.openxmlformats.org/officeDocument/2006/relationships/hyperlink" Target="https://www.aomrc.org.uk/reports-guidance/general-practice-and-secondary-care-working-better-togeth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the-nhs-constitution-for-england/the-nhs-constitution-for-englan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ngland.nhs.uk/wp-content/uploads/2018/03/responsibility-prescribing-between-primary-secondary-care-v2.pdf" TargetMode="External"/><Relationship Id="rId4" Type="http://schemas.openxmlformats.org/officeDocument/2006/relationships/webSettings" Target="webSettings.xml"/><Relationship Id="rId9" Type="http://schemas.openxmlformats.org/officeDocument/2006/relationships/hyperlink" Target="https://www.england.nhs.uk/wp-content/uploads/2018/03/responsibility-prescribing-between-primary-secondary-care-v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BECKS, Lynn (NEWPORT PAGNELL MED.CTR.)</dc:creator>
  <cp:keywords/>
  <dc:description/>
  <cp:lastModifiedBy>BENNETT, Debbie (NEWPORT PAGNELL MED.CTR.)</cp:lastModifiedBy>
  <cp:revision>3</cp:revision>
  <dcterms:created xsi:type="dcterms:W3CDTF">2023-08-22T11:42:00Z</dcterms:created>
  <dcterms:modified xsi:type="dcterms:W3CDTF">2023-08-22T11:47:00Z</dcterms:modified>
</cp:coreProperties>
</file>