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4D55" w:rsidRPr="00571D83" w:rsidRDefault="004C1F5A">
      <w:pPr>
        <w:jc w:val="center"/>
        <w:rPr>
          <w:rFonts w:ascii="Barlow" w:eastAsia="Arial" w:hAnsi="Barlow" w:cs="Arial"/>
          <w:b/>
          <w:sz w:val="36"/>
          <w:szCs w:val="36"/>
        </w:rPr>
      </w:pPr>
      <w:r w:rsidRPr="00571D83">
        <w:rPr>
          <w:rFonts w:ascii="Barlow" w:eastAsia="Arial" w:hAnsi="Barlow" w:cs="Arial"/>
          <w:b/>
          <w:sz w:val="36"/>
          <w:szCs w:val="36"/>
        </w:rPr>
        <w:t xml:space="preserve">Access to Medical Records Policy </w:t>
      </w:r>
    </w:p>
    <w:p w14:paraId="00000002" w14:textId="77777777" w:rsidR="00414D55" w:rsidRDefault="00414D55">
      <w:pPr>
        <w:jc w:val="center"/>
        <w:rPr>
          <w:rFonts w:ascii="Arial" w:eastAsia="Arial" w:hAnsi="Arial" w:cs="Arial"/>
          <w:b/>
          <w:sz w:val="36"/>
          <w:szCs w:val="36"/>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571D83" w:rsidRPr="00F53A5E" w14:paraId="7C3BD722" w14:textId="77777777" w:rsidTr="00E57AA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3409C932" w14:textId="77777777" w:rsidR="00571D83" w:rsidRPr="00F53A5E" w:rsidRDefault="00571D83" w:rsidP="00E57AAD">
            <w:pPr>
              <w:jc w:val="center"/>
              <w:rPr>
                <w:rFonts w:ascii="Barlow" w:eastAsia="Arial" w:hAnsi="Barlow" w:cs="Arial"/>
                <w:b/>
                <w:spacing w:val="-2"/>
                <w:sz w:val="26"/>
                <w:szCs w:val="26"/>
              </w:rPr>
            </w:pPr>
            <w:r w:rsidRPr="00F53A5E">
              <w:rPr>
                <w:rFonts w:ascii="Barlow" w:eastAsia="Arial" w:hAnsi="Barlow"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6785BBA" w14:textId="77777777" w:rsidR="00571D83" w:rsidRPr="00F53A5E" w:rsidRDefault="00571D83" w:rsidP="00E57AAD">
            <w:pPr>
              <w:jc w:val="center"/>
              <w:rPr>
                <w:rFonts w:ascii="Barlow" w:eastAsia="Arial" w:hAnsi="Barlow" w:cs="Arial"/>
                <w:b/>
                <w:spacing w:val="-2"/>
                <w:sz w:val="26"/>
                <w:szCs w:val="26"/>
              </w:rPr>
            </w:pPr>
            <w:r w:rsidRPr="00F53A5E">
              <w:rPr>
                <w:rFonts w:ascii="Barlow" w:eastAsia="Arial" w:hAnsi="Barlow"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263E33D" w14:textId="77777777" w:rsidR="00571D83" w:rsidRPr="00F53A5E" w:rsidRDefault="00571D83" w:rsidP="00E57AAD">
            <w:pPr>
              <w:jc w:val="center"/>
              <w:rPr>
                <w:rFonts w:ascii="Barlow" w:eastAsia="Arial" w:hAnsi="Barlow" w:cs="Arial"/>
                <w:b/>
                <w:spacing w:val="-2"/>
                <w:sz w:val="26"/>
                <w:szCs w:val="26"/>
              </w:rPr>
            </w:pPr>
            <w:r w:rsidRPr="00F53A5E">
              <w:rPr>
                <w:rFonts w:ascii="Barlow" w:eastAsia="Arial" w:hAnsi="Barlow" w:cs="Arial"/>
                <w:b/>
                <w:spacing w:val="-2"/>
                <w:sz w:val="26"/>
                <w:szCs w:val="26"/>
              </w:rPr>
              <w:t>Edited by:</w:t>
            </w:r>
          </w:p>
        </w:tc>
        <w:tc>
          <w:tcPr>
            <w:tcW w:w="210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D114798" w14:textId="77777777" w:rsidR="00571D83" w:rsidRPr="00F53A5E" w:rsidRDefault="00571D83" w:rsidP="00E57AAD">
            <w:pPr>
              <w:jc w:val="center"/>
              <w:rPr>
                <w:rFonts w:ascii="Barlow" w:eastAsia="Arial" w:hAnsi="Barlow" w:cs="Arial"/>
                <w:b/>
                <w:spacing w:val="-2"/>
                <w:sz w:val="26"/>
                <w:szCs w:val="26"/>
              </w:rPr>
            </w:pPr>
            <w:r w:rsidRPr="00F53A5E">
              <w:rPr>
                <w:rFonts w:ascii="Barlow" w:eastAsia="Arial" w:hAnsi="Barlow" w:cs="Arial"/>
                <w:b/>
                <w:spacing w:val="-2"/>
                <w:sz w:val="26"/>
                <w:szCs w:val="26"/>
              </w:rPr>
              <w:t>Approved by:</w:t>
            </w:r>
          </w:p>
        </w:tc>
        <w:tc>
          <w:tcPr>
            <w:tcW w:w="327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2AF4610C" w14:textId="77777777" w:rsidR="00571D83" w:rsidRPr="00F53A5E" w:rsidRDefault="00571D83" w:rsidP="00E57AAD">
            <w:pPr>
              <w:jc w:val="center"/>
              <w:rPr>
                <w:rFonts w:ascii="Barlow" w:eastAsia="Arial" w:hAnsi="Barlow" w:cs="Arial"/>
                <w:b/>
                <w:spacing w:val="-2"/>
                <w:sz w:val="26"/>
                <w:szCs w:val="26"/>
              </w:rPr>
            </w:pPr>
            <w:r>
              <w:rPr>
                <w:rFonts w:ascii="Barlow" w:eastAsia="Arial" w:hAnsi="Barlow" w:cs="Arial"/>
                <w:b/>
                <w:spacing w:val="-2"/>
                <w:sz w:val="26"/>
                <w:szCs w:val="26"/>
              </w:rPr>
              <w:t>Review Due:</w:t>
            </w:r>
          </w:p>
        </w:tc>
      </w:tr>
      <w:tr w:rsidR="00571D83" w:rsidRPr="00F53A5E" w14:paraId="4258A6BA" w14:textId="77777777" w:rsidTr="00E57AA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1EB92206" w14:textId="77777777" w:rsidR="00571D83" w:rsidRPr="00F53A5E" w:rsidRDefault="00571D83" w:rsidP="00E57AAD">
            <w:pPr>
              <w:jc w:val="center"/>
              <w:rPr>
                <w:rFonts w:ascii="Barlow" w:eastAsia="Arial" w:hAnsi="Barlow" w:cs="Arial"/>
                <w:spacing w:val="-2"/>
                <w:sz w:val="26"/>
                <w:szCs w:val="26"/>
              </w:rPr>
            </w:pPr>
            <w:r w:rsidRPr="00F53A5E">
              <w:rPr>
                <w:rFonts w:ascii="Barlow" w:eastAsia="Arial" w:hAnsi="Barlow" w:cs="Arial"/>
                <w:spacing w:val="-2"/>
                <w:sz w:val="26"/>
                <w:szCs w:val="26"/>
              </w:rPr>
              <w:t>1.0</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3F5AFE98" w14:textId="1D315375" w:rsidR="00571D83" w:rsidRPr="00F53A5E" w:rsidRDefault="00571D83" w:rsidP="00E57AAD">
            <w:pPr>
              <w:jc w:val="center"/>
              <w:rPr>
                <w:rFonts w:ascii="Barlow" w:eastAsia="Arial" w:hAnsi="Barlow" w:cs="Arial"/>
                <w:spacing w:val="-2"/>
                <w:sz w:val="26"/>
                <w:szCs w:val="26"/>
              </w:rPr>
            </w:pPr>
            <w:r>
              <w:rPr>
                <w:rFonts w:ascii="Barlow" w:eastAsia="Arial" w:hAnsi="Barlow" w:cs="Arial"/>
                <w:spacing w:val="-2"/>
                <w:sz w:val="26"/>
                <w:szCs w:val="26"/>
              </w:rPr>
              <w:t>24/11/25</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20E5F2D3" w14:textId="34BE5FE4" w:rsidR="00571D83" w:rsidRPr="00F53A5E" w:rsidRDefault="00571D83" w:rsidP="00E57AAD">
            <w:pPr>
              <w:jc w:val="center"/>
              <w:rPr>
                <w:rFonts w:ascii="Barlow" w:eastAsia="Arial" w:hAnsi="Barlow" w:cs="Arial"/>
                <w:spacing w:val="-2"/>
                <w:sz w:val="26"/>
                <w:szCs w:val="26"/>
              </w:rPr>
            </w:pPr>
            <w:r>
              <w:rPr>
                <w:rFonts w:ascii="Barlow" w:eastAsia="Arial" w:hAnsi="Barlow" w:cs="Arial"/>
                <w:spacing w:val="-2"/>
                <w:sz w:val="26"/>
                <w:szCs w:val="26"/>
              </w:rPr>
              <w:t>David Swanson</w:t>
            </w: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30A147D1" w14:textId="749E30D6" w:rsidR="00571D83" w:rsidRPr="00F53A5E" w:rsidRDefault="00571D83" w:rsidP="00E57AAD">
            <w:pPr>
              <w:jc w:val="center"/>
              <w:rPr>
                <w:rFonts w:ascii="Barlow" w:eastAsia="Arial" w:hAnsi="Barlow" w:cs="Arial"/>
                <w:spacing w:val="-2"/>
                <w:sz w:val="26"/>
                <w:szCs w:val="26"/>
              </w:rPr>
            </w:pPr>
            <w:r>
              <w:rPr>
                <w:rFonts w:ascii="Barlow" w:eastAsia="Arial" w:hAnsi="Barlow" w:cs="Arial"/>
                <w:spacing w:val="-2"/>
                <w:sz w:val="26"/>
                <w:szCs w:val="26"/>
              </w:rPr>
              <w:t>Vikki Hughes</w:t>
            </w: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364CFB7C" w14:textId="0BC7E30F" w:rsidR="00571D83" w:rsidRPr="00F53A5E" w:rsidRDefault="00571D83" w:rsidP="00E57AAD">
            <w:pPr>
              <w:jc w:val="center"/>
              <w:rPr>
                <w:rFonts w:ascii="Barlow" w:hAnsi="Barlow" w:cs="Arial"/>
                <w:sz w:val="26"/>
                <w:szCs w:val="26"/>
              </w:rPr>
            </w:pPr>
            <w:r>
              <w:rPr>
                <w:rFonts w:ascii="Barlow" w:hAnsi="Barlow" w:cs="Arial"/>
                <w:sz w:val="26"/>
                <w:szCs w:val="26"/>
              </w:rPr>
              <w:t>November 2026</w:t>
            </w:r>
          </w:p>
        </w:tc>
      </w:tr>
      <w:tr w:rsidR="00571D83" w:rsidRPr="00F53A5E" w14:paraId="4D4275A4" w14:textId="77777777" w:rsidTr="00E57AA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E010FE0" w14:textId="77777777" w:rsidR="00571D83" w:rsidRPr="00F53A5E" w:rsidRDefault="00571D83" w:rsidP="00E57AAD">
            <w:pPr>
              <w:jc w:val="center"/>
              <w:rPr>
                <w:rFonts w:ascii="Barlow" w:hAnsi="Barlow"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69CAEA33" w14:textId="77777777" w:rsidR="00571D83" w:rsidRPr="00F53A5E" w:rsidRDefault="00571D83" w:rsidP="00E57AAD">
            <w:pPr>
              <w:jc w:val="center"/>
              <w:rPr>
                <w:rFonts w:ascii="Barlow" w:hAnsi="Barlow"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2887A0F6" w14:textId="77777777" w:rsidR="00571D83" w:rsidRPr="00F53A5E" w:rsidRDefault="00571D83" w:rsidP="00E57AAD">
            <w:pPr>
              <w:jc w:val="center"/>
              <w:rPr>
                <w:rFonts w:ascii="Barlow" w:hAnsi="Barlow"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7636CF8F" w14:textId="77777777" w:rsidR="00571D83" w:rsidRPr="00F53A5E" w:rsidRDefault="00571D83" w:rsidP="00E57AAD">
            <w:pPr>
              <w:jc w:val="center"/>
              <w:rPr>
                <w:rFonts w:ascii="Barlow" w:hAnsi="Barlow"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2FC5AB1E" w14:textId="77777777" w:rsidR="00571D83" w:rsidRPr="00F53A5E" w:rsidRDefault="00571D83" w:rsidP="00E57AAD">
            <w:pPr>
              <w:rPr>
                <w:rFonts w:ascii="Barlow" w:hAnsi="Barlow" w:cs="Arial"/>
                <w:sz w:val="26"/>
                <w:szCs w:val="26"/>
              </w:rPr>
            </w:pPr>
          </w:p>
        </w:tc>
      </w:tr>
      <w:tr w:rsidR="00571D83" w:rsidRPr="00F53A5E" w14:paraId="13892540" w14:textId="77777777" w:rsidTr="00E57AAD">
        <w:trPr>
          <w:trHeight w:val="368"/>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9A7E2F5" w14:textId="77777777" w:rsidR="00571D83" w:rsidRPr="00F53A5E" w:rsidRDefault="00571D83" w:rsidP="00E57AAD">
            <w:pPr>
              <w:jc w:val="center"/>
              <w:rPr>
                <w:rFonts w:ascii="Barlow" w:hAnsi="Barlow"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08BA8455" w14:textId="77777777" w:rsidR="00571D83" w:rsidRPr="00F53A5E" w:rsidRDefault="00571D83" w:rsidP="00E57AAD">
            <w:pPr>
              <w:jc w:val="center"/>
              <w:rPr>
                <w:rFonts w:ascii="Barlow" w:hAnsi="Barlow"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7673749C" w14:textId="77777777" w:rsidR="00571D83" w:rsidRPr="00F53A5E" w:rsidRDefault="00571D83" w:rsidP="00E57AAD">
            <w:pPr>
              <w:jc w:val="center"/>
              <w:rPr>
                <w:rFonts w:ascii="Barlow" w:hAnsi="Barlow"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464D8CAB" w14:textId="77777777" w:rsidR="00571D83" w:rsidRPr="00F53A5E" w:rsidRDefault="00571D83" w:rsidP="00E57AAD">
            <w:pPr>
              <w:jc w:val="center"/>
              <w:rPr>
                <w:rFonts w:ascii="Barlow" w:hAnsi="Barlow"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281A49AC" w14:textId="77777777" w:rsidR="00571D83" w:rsidRPr="00F53A5E" w:rsidRDefault="00571D83" w:rsidP="00E57AAD">
            <w:pPr>
              <w:rPr>
                <w:rFonts w:ascii="Barlow" w:hAnsi="Barlow" w:cs="Arial"/>
                <w:sz w:val="26"/>
                <w:szCs w:val="26"/>
              </w:rPr>
            </w:pPr>
          </w:p>
        </w:tc>
      </w:tr>
      <w:tr w:rsidR="00571D83" w:rsidRPr="00F53A5E" w14:paraId="7DDBD28C" w14:textId="77777777" w:rsidTr="00E57AA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F66D2F5" w14:textId="77777777" w:rsidR="00571D83" w:rsidRPr="00F53A5E" w:rsidRDefault="00571D83" w:rsidP="00E57AAD">
            <w:pPr>
              <w:jc w:val="center"/>
              <w:rPr>
                <w:rFonts w:ascii="Barlow" w:hAnsi="Barlow"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76B7B826" w14:textId="77777777" w:rsidR="00571D83" w:rsidRPr="00F53A5E" w:rsidRDefault="00571D83" w:rsidP="00E57AAD">
            <w:pPr>
              <w:jc w:val="center"/>
              <w:rPr>
                <w:rFonts w:ascii="Barlow" w:hAnsi="Barlow"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01207E06" w14:textId="77777777" w:rsidR="00571D83" w:rsidRPr="00F53A5E" w:rsidRDefault="00571D83" w:rsidP="00E57AAD">
            <w:pPr>
              <w:jc w:val="center"/>
              <w:rPr>
                <w:rFonts w:ascii="Barlow" w:hAnsi="Barlow"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568F552A" w14:textId="77777777" w:rsidR="00571D83" w:rsidRPr="00F53A5E" w:rsidRDefault="00571D83" w:rsidP="00E57AAD">
            <w:pPr>
              <w:jc w:val="center"/>
              <w:rPr>
                <w:rFonts w:ascii="Barlow" w:hAnsi="Barlow"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3C313CF" w14:textId="77777777" w:rsidR="00571D83" w:rsidRPr="00F53A5E" w:rsidRDefault="00571D83" w:rsidP="00E57AAD">
            <w:pPr>
              <w:jc w:val="center"/>
              <w:rPr>
                <w:rFonts w:ascii="Barlow" w:hAnsi="Barlow" w:cs="Arial"/>
                <w:sz w:val="26"/>
                <w:szCs w:val="26"/>
              </w:rPr>
            </w:pPr>
          </w:p>
        </w:tc>
      </w:tr>
      <w:tr w:rsidR="00571D83" w14:paraId="36DA0097" w14:textId="77777777" w:rsidTr="00E57AA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752949B4" w14:textId="77777777" w:rsidR="00571D83" w:rsidRDefault="00571D83" w:rsidP="00E57AAD">
            <w:pPr>
              <w:jc w:val="center"/>
              <w:rPr>
                <w:rFonts w:ascii="Barlow" w:hAnsi="Barlow"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4BFD808A" w14:textId="77777777" w:rsidR="00571D83" w:rsidRDefault="00571D83" w:rsidP="00E57AAD">
            <w:pPr>
              <w:jc w:val="center"/>
              <w:rPr>
                <w:rFonts w:ascii="Barlow" w:hAnsi="Barlow"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57391B9A" w14:textId="77777777" w:rsidR="00571D83" w:rsidRDefault="00571D83" w:rsidP="00E57AAD">
            <w:pPr>
              <w:jc w:val="center"/>
              <w:rPr>
                <w:rFonts w:ascii="Barlow" w:hAnsi="Barlow"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44E4CB3F" w14:textId="77777777" w:rsidR="00571D83" w:rsidRDefault="00571D83" w:rsidP="00E57AAD">
            <w:pPr>
              <w:jc w:val="center"/>
              <w:rPr>
                <w:rFonts w:ascii="Barlow" w:hAnsi="Barlow"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185603BC" w14:textId="77777777" w:rsidR="00571D83" w:rsidRDefault="00571D83" w:rsidP="00E57AAD">
            <w:pPr>
              <w:jc w:val="center"/>
              <w:rPr>
                <w:rFonts w:ascii="Barlow" w:hAnsi="Barlow" w:cs="Arial"/>
                <w:sz w:val="26"/>
                <w:szCs w:val="26"/>
              </w:rPr>
            </w:pPr>
          </w:p>
        </w:tc>
      </w:tr>
    </w:tbl>
    <w:p w14:paraId="47C036F9" w14:textId="77777777" w:rsidR="00571D83" w:rsidRDefault="00571D83">
      <w:pPr>
        <w:jc w:val="center"/>
        <w:rPr>
          <w:rFonts w:ascii="Arial" w:eastAsia="Arial" w:hAnsi="Arial" w:cs="Arial"/>
          <w:b/>
          <w:sz w:val="36"/>
          <w:szCs w:val="36"/>
        </w:rPr>
      </w:pPr>
    </w:p>
    <w:p w14:paraId="00000014" w14:textId="77777777" w:rsidR="00414D55" w:rsidRDefault="00414D55">
      <w:pPr>
        <w:rPr>
          <w:rFonts w:ascii="Arial" w:eastAsia="Arial" w:hAnsi="Arial" w:cs="Arial"/>
          <w:sz w:val="20"/>
          <w:szCs w:val="20"/>
        </w:rPr>
      </w:pPr>
    </w:p>
    <w:p w14:paraId="00000015" w14:textId="77777777" w:rsidR="00414D55" w:rsidRDefault="004C1F5A">
      <w:pPr>
        <w:rPr>
          <w:rFonts w:ascii="Arial" w:eastAsia="Arial" w:hAnsi="Arial" w:cs="Arial"/>
          <w:b/>
          <w:sz w:val="28"/>
          <w:szCs w:val="28"/>
        </w:rPr>
      </w:pPr>
      <w:r>
        <w:rPr>
          <w:rFonts w:ascii="Arial" w:eastAsia="Arial" w:hAnsi="Arial" w:cs="Arial"/>
          <w:b/>
          <w:sz w:val="28"/>
          <w:szCs w:val="28"/>
        </w:rPr>
        <w:t>Table of contents</w:t>
      </w:r>
    </w:p>
    <w:sdt>
      <w:sdtPr>
        <w:rPr>
          <w:rFonts w:ascii="Calibri" w:hAnsi="Calibri" w:cs="Calibri"/>
          <w:b w:val="0"/>
          <w:bCs w:val="0"/>
          <w:caps w:val="0"/>
        </w:rPr>
        <w:id w:val="-110639902"/>
        <w:docPartObj>
          <w:docPartGallery w:val="Table of Contents"/>
          <w:docPartUnique/>
        </w:docPartObj>
      </w:sdtPr>
      <w:sdtEndPr/>
      <w:sdtContent>
        <w:p w14:paraId="5AD25C63" w14:textId="67361F68" w:rsidR="0040789A" w:rsidRDefault="00414D55">
          <w:pPr>
            <w:pStyle w:val="TOC1"/>
            <w:rPr>
              <w:rFonts w:asciiTheme="minorHAnsi" w:eastAsiaTheme="minorEastAsia" w:hAnsiTheme="minorHAnsi" w:cstheme="minorBidi"/>
              <w:b w:val="0"/>
              <w:bCs w:val="0"/>
              <w:caps w:val="0"/>
              <w:noProof/>
              <w:kern w:val="2"/>
              <w14:ligatures w14:val="standardContextual"/>
            </w:rPr>
          </w:pPr>
          <w:r>
            <w:fldChar w:fldCharType="begin"/>
          </w:r>
          <w:r>
            <w:instrText xml:space="preserve"> TOC \h \u \z \t "Heading 1,1,Heading 2,2,Heading 3,3,"</w:instrText>
          </w:r>
          <w:r>
            <w:fldChar w:fldCharType="separate"/>
          </w:r>
          <w:hyperlink w:anchor="_Toc215131161" w:history="1">
            <w:r w:rsidR="0040789A" w:rsidRPr="008F6C30">
              <w:rPr>
                <w:rStyle w:val="Hyperlink"/>
                <w:noProof/>
              </w:rPr>
              <w:t>1</w:t>
            </w:r>
            <w:r w:rsidR="0040789A">
              <w:rPr>
                <w:rFonts w:asciiTheme="minorHAnsi" w:eastAsiaTheme="minorEastAsia" w:hAnsiTheme="minorHAnsi" w:cstheme="minorBidi"/>
                <w:b w:val="0"/>
                <w:bCs w:val="0"/>
                <w:caps w:val="0"/>
                <w:noProof/>
                <w:kern w:val="2"/>
                <w14:ligatures w14:val="standardContextual"/>
              </w:rPr>
              <w:tab/>
            </w:r>
            <w:r w:rsidR="0040789A" w:rsidRPr="008F6C30">
              <w:rPr>
                <w:rStyle w:val="Hyperlink"/>
                <w:noProof/>
              </w:rPr>
              <w:t>Introduction</w:t>
            </w:r>
            <w:r w:rsidR="0040789A">
              <w:rPr>
                <w:noProof/>
                <w:webHidden/>
              </w:rPr>
              <w:tab/>
            </w:r>
            <w:r w:rsidR="0040789A">
              <w:rPr>
                <w:noProof/>
                <w:webHidden/>
              </w:rPr>
              <w:fldChar w:fldCharType="begin"/>
            </w:r>
            <w:r w:rsidR="0040789A">
              <w:rPr>
                <w:noProof/>
                <w:webHidden/>
              </w:rPr>
              <w:instrText xml:space="preserve"> PAGEREF _Toc215131161 \h </w:instrText>
            </w:r>
            <w:r w:rsidR="0040789A">
              <w:rPr>
                <w:noProof/>
                <w:webHidden/>
              </w:rPr>
            </w:r>
            <w:r w:rsidR="0040789A">
              <w:rPr>
                <w:noProof/>
                <w:webHidden/>
              </w:rPr>
              <w:fldChar w:fldCharType="separate"/>
            </w:r>
            <w:r w:rsidR="0040789A">
              <w:rPr>
                <w:noProof/>
                <w:webHidden/>
              </w:rPr>
              <w:t>3</w:t>
            </w:r>
            <w:r w:rsidR="0040789A">
              <w:rPr>
                <w:noProof/>
                <w:webHidden/>
              </w:rPr>
              <w:fldChar w:fldCharType="end"/>
            </w:r>
          </w:hyperlink>
        </w:p>
        <w:p w14:paraId="532F1B94" w14:textId="08B20AA4"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62" w:history="1">
            <w:r w:rsidRPr="008F6C30">
              <w:rPr>
                <w:rStyle w:val="Hyperlink"/>
                <w:rFonts w:ascii="Arial" w:eastAsia="Arial" w:hAnsi="Arial" w:cs="Arial"/>
                <w:noProof/>
              </w:rPr>
              <w:t>1.1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Policy statement</w:t>
            </w:r>
            <w:r>
              <w:rPr>
                <w:noProof/>
                <w:webHidden/>
              </w:rPr>
              <w:tab/>
            </w:r>
            <w:r>
              <w:rPr>
                <w:noProof/>
                <w:webHidden/>
              </w:rPr>
              <w:fldChar w:fldCharType="begin"/>
            </w:r>
            <w:r>
              <w:rPr>
                <w:noProof/>
                <w:webHidden/>
              </w:rPr>
              <w:instrText xml:space="preserve"> PAGEREF _Toc215131162 \h </w:instrText>
            </w:r>
            <w:r>
              <w:rPr>
                <w:noProof/>
                <w:webHidden/>
              </w:rPr>
            </w:r>
            <w:r>
              <w:rPr>
                <w:noProof/>
                <w:webHidden/>
              </w:rPr>
              <w:fldChar w:fldCharType="separate"/>
            </w:r>
            <w:r>
              <w:rPr>
                <w:noProof/>
                <w:webHidden/>
              </w:rPr>
              <w:t>3</w:t>
            </w:r>
            <w:r>
              <w:rPr>
                <w:noProof/>
                <w:webHidden/>
              </w:rPr>
              <w:fldChar w:fldCharType="end"/>
            </w:r>
          </w:hyperlink>
        </w:p>
        <w:p w14:paraId="5141DFE5" w14:textId="1DCA0D6E"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63" w:history="1">
            <w:r w:rsidRPr="008F6C30">
              <w:rPr>
                <w:rStyle w:val="Hyperlink"/>
                <w:rFonts w:ascii="Arial" w:eastAsia="Arial" w:hAnsi="Arial" w:cs="Arial"/>
                <w:noProof/>
              </w:rPr>
              <w:t>1.2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Status</w:t>
            </w:r>
            <w:r>
              <w:rPr>
                <w:noProof/>
                <w:webHidden/>
              </w:rPr>
              <w:tab/>
            </w:r>
            <w:r>
              <w:rPr>
                <w:noProof/>
                <w:webHidden/>
              </w:rPr>
              <w:fldChar w:fldCharType="begin"/>
            </w:r>
            <w:r>
              <w:rPr>
                <w:noProof/>
                <w:webHidden/>
              </w:rPr>
              <w:instrText xml:space="preserve"> PAGEREF _Toc215131163 \h </w:instrText>
            </w:r>
            <w:r>
              <w:rPr>
                <w:noProof/>
                <w:webHidden/>
              </w:rPr>
            </w:r>
            <w:r>
              <w:rPr>
                <w:noProof/>
                <w:webHidden/>
              </w:rPr>
              <w:fldChar w:fldCharType="separate"/>
            </w:r>
            <w:r>
              <w:rPr>
                <w:noProof/>
                <w:webHidden/>
              </w:rPr>
              <w:t>3</w:t>
            </w:r>
            <w:r>
              <w:rPr>
                <w:noProof/>
                <w:webHidden/>
              </w:rPr>
              <w:fldChar w:fldCharType="end"/>
            </w:r>
          </w:hyperlink>
        </w:p>
        <w:p w14:paraId="673739F1" w14:textId="741C50A7"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64" w:history="1">
            <w:r w:rsidRPr="008F6C30">
              <w:rPr>
                <w:rStyle w:val="Hyperlink"/>
                <w:noProof/>
              </w:rPr>
              <w:t>2</w:t>
            </w:r>
            <w:r>
              <w:rPr>
                <w:rFonts w:asciiTheme="minorHAnsi" w:eastAsiaTheme="minorEastAsia" w:hAnsiTheme="minorHAnsi" w:cstheme="minorBidi"/>
                <w:b w:val="0"/>
                <w:bCs w:val="0"/>
                <w:caps w:val="0"/>
                <w:noProof/>
                <w:kern w:val="2"/>
                <w14:ligatures w14:val="standardContextual"/>
              </w:rPr>
              <w:tab/>
            </w:r>
            <w:r w:rsidRPr="008F6C30">
              <w:rPr>
                <w:rStyle w:val="Hyperlink"/>
                <w:noProof/>
              </w:rPr>
              <w:t>Right to access</w:t>
            </w:r>
            <w:r>
              <w:rPr>
                <w:noProof/>
                <w:webHidden/>
              </w:rPr>
              <w:tab/>
            </w:r>
            <w:r>
              <w:rPr>
                <w:noProof/>
                <w:webHidden/>
              </w:rPr>
              <w:fldChar w:fldCharType="begin"/>
            </w:r>
            <w:r>
              <w:rPr>
                <w:noProof/>
                <w:webHidden/>
              </w:rPr>
              <w:instrText xml:space="preserve"> PAGEREF _Toc215131164 \h </w:instrText>
            </w:r>
            <w:r>
              <w:rPr>
                <w:noProof/>
                <w:webHidden/>
              </w:rPr>
            </w:r>
            <w:r>
              <w:rPr>
                <w:noProof/>
                <w:webHidden/>
              </w:rPr>
              <w:fldChar w:fldCharType="separate"/>
            </w:r>
            <w:r>
              <w:rPr>
                <w:noProof/>
                <w:webHidden/>
              </w:rPr>
              <w:t>3</w:t>
            </w:r>
            <w:r>
              <w:rPr>
                <w:noProof/>
                <w:webHidden/>
              </w:rPr>
              <w:fldChar w:fldCharType="end"/>
            </w:r>
          </w:hyperlink>
        </w:p>
        <w:p w14:paraId="4CB6C604" w14:textId="0AB95A62"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65" w:history="1">
            <w:r w:rsidRPr="008F6C30">
              <w:rPr>
                <w:rStyle w:val="Hyperlink"/>
                <w:noProof/>
              </w:rPr>
              <w:t>3</w:t>
            </w:r>
            <w:r>
              <w:rPr>
                <w:rFonts w:asciiTheme="minorHAnsi" w:eastAsiaTheme="minorEastAsia" w:hAnsiTheme="minorHAnsi" w:cstheme="minorBidi"/>
                <w:b w:val="0"/>
                <w:bCs w:val="0"/>
                <w:caps w:val="0"/>
                <w:noProof/>
                <w:kern w:val="2"/>
                <w14:ligatures w14:val="standardContextual"/>
              </w:rPr>
              <w:tab/>
            </w:r>
            <w:r w:rsidRPr="008F6C30">
              <w:rPr>
                <w:rStyle w:val="Hyperlink"/>
                <w:noProof/>
              </w:rPr>
              <w:t>Patient access to online medical records</w:t>
            </w:r>
            <w:r>
              <w:rPr>
                <w:noProof/>
                <w:webHidden/>
              </w:rPr>
              <w:tab/>
            </w:r>
            <w:r>
              <w:rPr>
                <w:noProof/>
                <w:webHidden/>
              </w:rPr>
              <w:fldChar w:fldCharType="begin"/>
            </w:r>
            <w:r>
              <w:rPr>
                <w:noProof/>
                <w:webHidden/>
              </w:rPr>
              <w:instrText xml:space="preserve"> PAGEREF _Toc215131165 \h </w:instrText>
            </w:r>
            <w:r>
              <w:rPr>
                <w:noProof/>
                <w:webHidden/>
              </w:rPr>
            </w:r>
            <w:r>
              <w:rPr>
                <w:noProof/>
                <w:webHidden/>
              </w:rPr>
              <w:fldChar w:fldCharType="separate"/>
            </w:r>
            <w:r>
              <w:rPr>
                <w:noProof/>
                <w:webHidden/>
              </w:rPr>
              <w:t>4</w:t>
            </w:r>
            <w:r>
              <w:rPr>
                <w:noProof/>
                <w:webHidden/>
              </w:rPr>
              <w:fldChar w:fldCharType="end"/>
            </w:r>
          </w:hyperlink>
        </w:p>
        <w:p w14:paraId="1AD75DC6" w14:textId="740E5C6E"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66" w:history="1">
            <w:r w:rsidRPr="008F6C30">
              <w:rPr>
                <w:rStyle w:val="Hyperlink"/>
                <w:rFonts w:ascii="Arial" w:eastAsia="Arial" w:hAnsi="Arial" w:cs="Arial"/>
                <w:noProof/>
              </w:rPr>
              <w:t>3.1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Registering for online services</w:t>
            </w:r>
            <w:r>
              <w:rPr>
                <w:noProof/>
                <w:webHidden/>
              </w:rPr>
              <w:tab/>
            </w:r>
            <w:r>
              <w:rPr>
                <w:noProof/>
                <w:webHidden/>
              </w:rPr>
              <w:fldChar w:fldCharType="begin"/>
            </w:r>
            <w:r>
              <w:rPr>
                <w:noProof/>
                <w:webHidden/>
              </w:rPr>
              <w:instrText xml:space="preserve"> PAGEREF _Toc215131166 \h </w:instrText>
            </w:r>
            <w:r>
              <w:rPr>
                <w:noProof/>
                <w:webHidden/>
              </w:rPr>
            </w:r>
            <w:r>
              <w:rPr>
                <w:noProof/>
                <w:webHidden/>
              </w:rPr>
              <w:fldChar w:fldCharType="separate"/>
            </w:r>
            <w:r>
              <w:rPr>
                <w:noProof/>
                <w:webHidden/>
              </w:rPr>
              <w:t>4</w:t>
            </w:r>
            <w:r>
              <w:rPr>
                <w:noProof/>
                <w:webHidden/>
              </w:rPr>
              <w:fldChar w:fldCharType="end"/>
            </w:r>
          </w:hyperlink>
        </w:p>
        <w:p w14:paraId="533531FF" w14:textId="7CF2DCF7"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67" w:history="1">
            <w:r w:rsidRPr="008F6C30">
              <w:rPr>
                <w:rStyle w:val="Hyperlink"/>
                <w:rFonts w:ascii="Arial" w:eastAsia="Arial" w:hAnsi="Arial" w:cs="Arial"/>
                <w:noProof/>
              </w:rPr>
              <w:t>3.2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Post-registration</w:t>
            </w:r>
            <w:r>
              <w:rPr>
                <w:noProof/>
                <w:webHidden/>
              </w:rPr>
              <w:tab/>
            </w:r>
            <w:r>
              <w:rPr>
                <w:noProof/>
                <w:webHidden/>
              </w:rPr>
              <w:fldChar w:fldCharType="begin"/>
            </w:r>
            <w:r>
              <w:rPr>
                <w:noProof/>
                <w:webHidden/>
              </w:rPr>
              <w:instrText xml:space="preserve"> PAGEREF _Toc215131167 \h </w:instrText>
            </w:r>
            <w:r>
              <w:rPr>
                <w:noProof/>
                <w:webHidden/>
              </w:rPr>
            </w:r>
            <w:r>
              <w:rPr>
                <w:noProof/>
                <w:webHidden/>
              </w:rPr>
              <w:fldChar w:fldCharType="separate"/>
            </w:r>
            <w:r>
              <w:rPr>
                <w:noProof/>
                <w:webHidden/>
              </w:rPr>
              <w:t>4</w:t>
            </w:r>
            <w:r>
              <w:rPr>
                <w:noProof/>
                <w:webHidden/>
              </w:rPr>
              <w:fldChar w:fldCharType="end"/>
            </w:r>
          </w:hyperlink>
        </w:p>
        <w:p w14:paraId="3ACBDEE6" w14:textId="6D00E79E"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68" w:history="1">
            <w:r w:rsidRPr="008F6C30">
              <w:rPr>
                <w:rStyle w:val="Hyperlink"/>
                <w:noProof/>
              </w:rPr>
              <w:t>4</w:t>
            </w:r>
            <w:r>
              <w:rPr>
                <w:rFonts w:asciiTheme="minorHAnsi" w:eastAsiaTheme="minorEastAsia" w:hAnsiTheme="minorHAnsi" w:cstheme="minorBidi"/>
                <w:b w:val="0"/>
                <w:bCs w:val="0"/>
                <w:caps w:val="0"/>
                <w:noProof/>
                <w:kern w:val="2"/>
                <w14:ligatures w14:val="standardContextual"/>
              </w:rPr>
              <w:tab/>
            </w:r>
            <w:r w:rsidRPr="008F6C30">
              <w:rPr>
                <w:rStyle w:val="Hyperlink"/>
                <w:noProof/>
              </w:rPr>
              <w:t>Summary Care Records (SCR)</w:t>
            </w:r>
            <w:r>
              <w:rPr>
                <w:noProof/>
                <w:webHidden/>
              </w:rPr>
              <w:tab/>
            </w:r>
            <w:r>
              <w:rPr>
                <w:noProof/>
                <w:webHidden/>
              </w:rPr>
              <w:fldChar w:fldCharType="begin"/>
            </w:r>
            <w:r>
              <w:rPr>
                <w:noProof/>
                <w:webHidden/>
              </w:rPr>
              <w:instrText xml:space="preserve"> PAGEREF _Toc215131168 \h </w:instrText>
            </w:r>
            <w:r>
              <w:rPr>
                <w:noProof/>
                <w:webHidden/>
              </w:rPr>
            </w:r>
            <w:r>
              <w:rPr>
                <w:noProof/>
                <w:webHidden/>
              </w:rPr>
              <w:fldChar w:fldCharType="separate"/>
            </w:r>
            <w:r>
              <w:rPr>
                <w:noProof/>
                <w:webHidden/>
              </w:rPr>
              <w:t>4</w:t>
            </w:r>
            <w:r>
              <w:rPr>
                <w:noProof/>
                <w:webHidden/>
              </w:rPr>
              <w:fldChar w:fldCharType="end"/>
            </w:r>
          </w:hyperlink>
        </w:p>
        <w:p w14:paraId="3A330089" w14:textId="02DE84B6"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69" w:history="1">
            <w:r w:rsidRPr="008F6C30">
              <w:rPr>
                <w:rStyle w:val="Hyperlink"/>
                <w:rFonts w:ascii="Arial" w:eastAsia="Arial" w:hAnsi="Arial" w:cs="Arial"/>
                <w:noProof/>
              </w:rPr>
              <w:t>4.1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Overview</w:t>
            </w:r>
            <w:r>
              <w:rPr>
                <w:noProof/>
                <w:webHidden/>
              </w:rPr>
              <w:tab/>
            </w:r>
            <w:r>
              <w:rPr>
                <w:noProof/>
                <w:webHidden/>
              </w:rPr>
              <w:fldChar w:fldCharType="begin"/>
            </w:r>
            <w:r>
              <w:rPr>
                <w:noProof/>
                <w:webHidden/>
              </w:rPr>
              <w:instrText xml:space="preserve"> PAGEREF _Toc215131169 \h </w:instrText>
            </w:r>
            <w:r>
              <w:rPr>
                <w:noProof/>
                <w:webHidden/>
              </w:rPr>
            </w:r>
            <w:r>
              <w:rPr>
                <w:noProof/>
                <w:webHidden/>
              </w:rPr>
              <w:fldChar w:fldCharType="separate"/>
            </w:r>
            <w:r>
              <w:rPr>
                <w:noProof/>
                <w:webHidden/>
              </w:rPr>
              <w:t>4</w:t>
            </w:r>
            <w:r>
              <w:rPr>
                <w:noProof/>
                <w:webHidden/>
              </w:rPr>
              <w:fldChar w:fldCharType="end"/>
            </w:r>
          </w:hyperlink>
        </w:p>
        <w:p w14:paraId="51A85F96" w14:textId="48DA6846"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70" w:history="1">
            <w:r w:rsidRPr="008F6C30">
              <w:rPr>
                <w:rStyle w:val="Hyperlink"/>
                <w:noProof/>
              </w:rPr>
              <w:t>5</w:t>
            </w:r>
            <w:r>
              <w:rPr>
                <w:rFonts w:asciiTheme="minorHAnsi" w:eastAsiaTheme="minorEastAsia" w:hAnsiTheme="minorHAnsi" w:cstheme="minorBidi"/>
                <w:b w:val="0"/>
                <w:bCs w:val="0"/>
                <w:caps w:val="0"/>
                <w:noProof/>
                <w:kern w:val="2"/>
                <w14:ligatures w14:val="standardContextual"/>
              </w:rPr>
              <w:tab/>
            </w:r>
            <w:r w:rsidRPr="008F6C30">
              <w:rPr>
                <w:rStyle w:val="Hyperlink"/>
                <w:noProof/>
              </w:rPr>
              <w:t>Requests for medical information</w:t>
            </w:r>
            <w:r>
              <w:rPr>
                <w:noProof/>
                <w:webHidden/>
              </w:rPr>
              <w:tab/>
            </w:r>
            <w:r>
              <w:rPr>
                <w:noProof/>
                <w:webHidden/>
              </w:rPr>
              <w:fldChar w:fldCharType="begin"/>
            </w:r>
            <w:r>
              <w:rPr>
                <w:noProof/>
                <w:webHidden/>
              </w:rPr>
              <w:instrText xml:space="preserve"> PAGEREF _Toc215131170 \h </w:instrText>
            </w:r>
            <w:r>
              <w:rPr>
                <w:noProof/>
                <w:webHidden/>
              </w:rPr>
            </w:r>
            <w:r>
              <w:rPr>
                <w:noProof/>
                <w:webHidden/>
              </w:rPr>
              <w:fldChar w:fldCharType="separate"/>
            </w:r>
            <w:r>
              <w:rPr>
                <w:noProof/>
                <w:webHidden/>
              </w:rPr>
              <w:t>5</w:t>
            </w:r>
            <w:r>
              <w:rPr>
                <w:noProof/>
                <w:webHidden/>
              </w:rPr>
              <w:fldChar w:fldCharType="end"/>
            </w:r>
          </w:hyperlink>
        </w:p>
        <w:p w14:paraId="4367D2D6" w14:textId="7D9739B4"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1" w:history="1">
            <w:r w:rsidRPr="008F6C30">
              <w:rPr>
                <w:rStyle w:val="Hyperlink"/>
                <w:rFonts w:ascii="Arial" w:eastAsia="Arial" w:hAnsi="Arial" w:cs="Arial"/>
                <w:noProof/>
              </w:rPr>
              <w:t>5.1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About</w:t>
            </w:r>
            <w:r>
              <w:rPr>
                <w:noProof/>
                <w:webHidden/>
              </w:rPr>
              <w:tab/>
            </w:r>
            <w:r>
              <w:rPr>
                <w:noProof/>
                <w:webHidden/>
              </w:rPr>
              <w:fldChar w:fldCharType="begin"/>
            </w:r>
            <w:r>
              <w:rPr>
                <w:noProof/>
                <w:webHidden/>
              </w:rPr>
              <w:instrText xml:space="preserve"> PAGEREF _Toc215131171 \h </w:instrText>
            </w:r>
            <w:r>
              <w:rPr>
                <w:noProof/>
                <w:webHidden/>
              </w:rPr>
            </w:r>
            <w:r>
              <w:rPr>
                <w:noProof/>
                <w:webHidden/>
              </w:rPr>
              <w:fldChar w:fldCharType="separate"/>
            </w:r>
            <w:r>
              <w:rPr>
                <w:noProof/>
                <w:webHidden/>
              </w:rPr>
              <w:t>5</w:t>
            </w:r>
            <w:r>
              <w:rPr>
                <w:noProof/>
                <w:webHidden/>
              </w:rPr>
              <w:fldChar w:fldCharType="end"/>
            </w:r>
          </w:hyperlink>
        </w:p>
        <w:p w14:paraId="01103151" w14:textId="3A944F15"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2" w:history="1">
            <w:r w:rsidRPr="008F6C30">
              <w:rPr>
                <w:rStyle w:val="Hyperlink"/>
                <w:rFonts w:ascii="Arial" w:eastAsia="Arial" w:hAnsi="Arial" w:cs="Arial"/>
                <w:noProof/>
              </w:rPr>
              <w:t>5.2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Subject Access Requests (SAR) to medical records</w:t>
            </w:r>
            <w:r>
              <w:rPr>
                <w:noProof/>
                <w:webHidden/>
              </w:rPr>
              <w:tab/>
            </w:r>
            <w:r>
              <w:rPr>
                <w:noProof/>
                <w:webHidden/>
              </w:rPr>
              <w:fldChar w:fldCharType="begin"/>
            </w:r>
            <w:r>
              <w:rPr>
                <w:noProof/>
                <w:webHidden/>
              </w:rPr>
              <w:instrText xml:space="preserve"> PAGEREF _Toc215131172 \h </w:instrText>
            </w:r>
            <w:r>
              <w:rPr>
                <w:noProof/>
                <w:webHidden/>
              </w:rPr>
            </w:r>
            <w:r>
              <w:rPr>
                <w:noProof/>
                <w:webHidden/>
              </w:rPr>
              <w:fldChar w:fldCharType="separate"/>
            </w:r>
            <w:r>
              <w:rPr>
                <w:noProof/>
                <w:webHidden/>
              </w:rPr>
              <w:t>5</w:t>
            </w:r>
            <w:r>
              <w:rPr>
                <w:noProof/>
                <w:webHidden/>
              </w:rPr>
              <w:fldChar w:fldCharType="end"/>
            </w:r>
          </w:hyperlink>
        </w:p>
        <w:p w14:paraId="65408E2C" w14:textId="12FCE10F"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3" w:history="1">
            <w:r w:rsidRPr="008F6C30">
              <w:rPr>
                <w:rStyle w:val="Hyperlink"/>
                <w:rFonts w:ascii="Arial" w:eastAsia="Arial" w:hAnsi="Arial" w:cs="Arial"/>
                <w:noProof/>
              </w:rPr>
              <w:t>5.3</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Processing a SAR request</w:t>
            </w:r>
            <w:r>
              <w:rPr>
                <w:noProof/>
                <w:webHidden/>
              </w:rPr>
              <w:tab/>
            </w:r>
            <w:r>
              <w:rPr>
                <w:noProof/>
                <w:webHidden/>
              </w:rPr>
              <w:fldChar w:fldCharType="begin"/>
            </w:r>
            <w:r>
              <w:rPr>
                <w:noProof/>
                <w:webHidden/>
              </w:rPr>
              <w:instrText xml:space="preserve"> PAGEREF _Toc215131173 \h </w:instrText>
            </w:r>
            <w:r>
              <w:rPr>
                <w:noProof/>
                <w:webHidden/>
              </w:rPr>
            </w:r>
            <w:r>
              <w:rPr>
                <w:noProof/>
                <w:webHidden/>
              </w:rPr>
              <w:fldChar w:fldCharType="separate"/>
            </w:r>
            <w:r>
              <w:rPr>
                <w:noProof/>
                <w:webHidden/>
              </w:rPr>
              <w:t>7</w:t>
            </w:r>
            <w:r>
              <w:rPr>
                <w:noProof/>
                <w:webHidden/>
              </w:rPr>
              <w:fldChar w:fldCharType="end"/>
            </w:r>
          </w:hyperlink>
        </w:p>
        <w:p w14:paraId="789B0C18" w14:textId="3FB125C2"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4" w:history="1">
            <w:r w:rsidRPr="008F6C30">
              <w:rPr>
                <w:rStyle w:val="Hyperlink"/>
                <w:rFonts w:ascii="Arial" w:eastAsia="Arial" w:hAnsi="Arial" w:cs="Arial"/>
                <w:noProof/>
              </w:rPr>
              <w:t>5.4</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Timeframe for responding to requests</w:t>
            </w:r>
            <w:r>
              <w:rPr>
                <w:noProof/>
                <w:webHidden/>
              </w:rPr>
              <w:tab/>
            </w:r>
            <w:r>
              <w:rPr>
                <w:noProof/>
                <w:webHidden/>
              </w:rPr>
              <w:fldChar w:fldCharType="begin"/>
            </w:r>
            <w:r>
              <w:rPr>
                <w:noProof/>
                <w:webHidden/>
              </w:rPr>
              <w:instrText xml:space="preserve"> PAGEREF _Toc215131174 \h </w:instrText>
            </w:r>
            <w:r>
              <w:rPr>
                <w:noProof/>
                <w:webHidden/>
              </w:rPr>
            </w:r>
            <w:r>
              <w:rPr>
                <w:noProof/>
                <w:webHidden/>
              </w:rPr>
              <w:fldChar w:fldCharType="separate"/>
            </w:r>
            <w:r>
              <w:rPr>
                <w:noProof/>
                <w:webHidden/>
              </w:rPr>
              <w:t>8</w:t>
            </w:r>
            <w:r>
              <w:rPr>
                <w:noProof/>
                <w:webHidden/>
              </w:rPr>
              <w:fldChar w:fldCharType="end"/>
            </w:r>
          </w:hyperlink>
        </w:p>
        <w:p w14:paraId="6F2BDF6A" w14:textId="34B73369"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5" w:history="1">
            <w:r w:rsidRPr="008F6C30">
              <w:rPr>
                <w:rStyle w:val="Hyperlink"/>
                <w:rFonts w:ascii="Arial" w:eastAsia="Arial" w:hAnsi="Arial" w:cs="Arial"/>
                <w:noProof/>
              </w:rPr>
              <w:t>5.5</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Fees</w:t>
            </w:r>
            <w:r>
              <w:rPr>
                <w:noProof/>
                <w:webHidden/>
              </w:rPr>
              <w:tab/>
            </w:r>
            <w:r>
              <w:rPr>
                <w:noProof/>
                <w:webHidden/>
              </w:rPr>
              <w:fldChar w:fldCharType="begin"/>
            </w:r>
            <w:r>
              <w:rPr>
                <w:noProof/>
                <w:webHidden/>
              </w:rPr>
              <w:instrText xml:space="preserve"> PAGEREF _Toc215131175 \h </w:instrText>
            </w:r>
            <w:r>
              <w:rPr>
                <w:noProof/>
                <w:webHidden/>
              </w:rPr>
            </w:r>
            <w:r>
              <w:rPr>
                <w:noProof/>
                <w:webHidden/>
              </w:rPr>
              <w:fldChar w:fldCharType="separate"/>
            </w:r>
            <w:r>
              <w:rPr>
                <w:noProof/>
                <w:webHidden/>
              </w:rPr>
              <w:t>8</w:t>
            </w:r>
            <w:r>
              <w:rPr>
                <w:noProof/>
                <w:webHidden/>
              </w:rPr>
              <w:fldChar w:fldCharType="end"/>
            </w:r>
          </w:hyperlink>
        </w:p>
        <w:p w14:paraId="0126D887" w14:textId="47512673"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6" w:history="1">
            <w:r w:rsidRPr="008F6C30">
              <w:rPr>
                <w:rStyle w:val="Hyperlink"/>
                <w:rFonts w:ascii="Arial" w:eastAsia="Arial" w:hAnsi="Arial" w:cs="Arial"/>
                <w:noProof/>
              </w:rPr>
              <w:t>5.6</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Method of response to requests</w:t>
            </w:r>
            <w:r>
              <w:rPr>
                <w:noProof/>
                <w:webHidden/>
              </w:rPr>
              <w:tab/>
            </w:r>
            <w:r>
              <w:rPr>
                <w:noProof/>
                <w:webHidden/>
              </w:rPr>
              <w:fldChar w:fldCharType="begin"/>
            </w:r>
            <w:r>
              <w:rPr>
                <w:noProof/>
                <w:webHidden/>
              </w:rPr>
              <w:instrText xml:space="preserve"> PAGEREF _Toc215131176 \h </w:instrText>
            </w:r>
            <w:r>
              <w:rPr>
                <w:noProof/>
                <w:webHidden/>
              </w:rPr>
            </w:r>
            <w:r>
              <w:rPr>
                <w:noProof/>
                <w:webHidden/>
              </w:rPr>
              <w:fldChar w:fldCharType="separate"/>
            </w:r>
            <w:r>
              <w:rPr>
                <w:noProof/>
                <w:webHidden/>
              </w:rPr>
              <w:t>8</w:t>
            </w:r>
            <w:r>
              <w:rPr>
                <w:noProof/>
                <w:webHidden/>
              </w:rPr>
              <w:fldChar w:fldCharType="end"/>
            </w:r>
          </w:hyperlink>
        </w:p>
        <w:p w14:paraId="4A4D5FA0" w14:textId="25E23EE9"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7" w:history="1">
            <w:r w:rsidRPr="008F6C30">
              <w:rPr>
                <w:rStyle w:val="Hyperlink"/>
                <w:rFonts w:ascii="Arial" w:eastAsia="Arial" w:hAnsi="Arial" w:cs="Arial"/>
                <w:noProof/>
              </w:rPr>
              <w:t>5.7</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Amendments to medical records</w:t>
            </w:r>
            <w:r>
              <w:rPr>
                <w:noProof/>
                <w:webHidden/>
              </w:rPr>
              <w:tab/>
            </w:r>
            <w:r>
              <w:rPr>
                <w:noProof/>
                <w:webHidden/>
              </w:rPr>
              <w:fldChar w:fldCharType="begin"/>
            </w:r>
            <w:r>
              <w:rPr>
                <w:noProof/>
                <w:webHidden/>
              </w:rPr>
              <w:instrText xml:space="preserve"> PAGEREF _Toc215131177 \h </w:instrText>
            </w:r>
            <w:r>
              <w:rPr>
                <w:noProof/>
                <w:webHidden/>
              </w:rPr>
            </w:r>
            <w:r>
              <w:rPr>
                <w:noProof/>
                <w:webHidden/>
              </w:rPr>
              <w:fldChar w:fldCharType="separate"/>
            </w:r>
            <w:r>
              <w:rPr>
                <w:noProof/>
                <w:webHidden/>
              </w:rPr>
              <w:t>8</w:t>
            </w:r>
            <w:r>
              <w:rPr>
                <w:noProof/>
                <w:webHidden/>
              </w:rPr>
              <w:fldChar w:fldCharType="end"/>
            </w:r>
          </w:hyperlink>
        </w:p>
        <w:p w14:paraId="155A59E4" w14:textId="448CE83F"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8" w:history="1">
            <w:r w:rsidRPr="008F6C30">
              <w:rPr>
                <w:rStyle w:val="Hyperlink"/>
                <w:rFonts w:ascii="Arial" w:eastAsia="Arial" w:hAnsi="Arial" w:cs="Arial"/>
                <w:noProof/>
              </w:rPr>
              <w:t>5.8</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Additional Privacy Information notice</w:t>
            </w:r>
            <w:r>
              <w:rPr>
                <w:noProof/>
                <w:webHidden/>
              </w:rPr>
              <w:tab/>
            </w:r>
            <w:r>
              <w:rPr>
                <w:noProof/>
                <w:webHidden/>
              </w:rPr>
              <w:fldChar w:fldCharType="begin"/>
            </w:r>
            <w:r>
              <w:rPr>
                <w:noProof/>
                <w:webHidden/>
              </w:rPr>
              <w:instrText xml:space="preserve"> PAGEREF _Toc215131178 \h </w:instrText>
            </w:r>
            <w:r>
              <w:rPr>
                <w:noProof/>
                <w:webHidden/>
              </w:rPr>
            </w:r>
            <w:r>
              <w:rPr>
                <w:noProof/>
                <w:webHidden/>
              </w:rPr>
              <w:fldChar w:fldCharType="separate"/>
            </w:r>
            <w:r>
              <w:rPr>
                <w:noProof/>
                <w:webHidden/>
              </w:rPr>
              <w:t>9</w:t>
            </w:r>
            <w:r>
              <w:rPr>
                <w:noProof/>
                <w:webHidden/>
              </w:rPr>
              <w:fldChar w:fldCharType="end"/>
            </w:r>
          </w:hyperlink>
        </w:p>
        <w:p w14:paraId="463739D3" w14:textId="2432E0F9"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79" w:history="1">
            <w:r w:rsidRPr="008F6C30">
              <w:rPr>
                <w:rStyle w:val="Hyperlink"/>
                <w:rFonts w:ascii="Arial" w:eastAsia="Arial" w:hAnsi="Arial" w:cs="Arial"/>
                <w:noProof/>
              </w:rPr>
              <w:t>5.9</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Collection of Records</w:t>
            </w:r>
            <w:r>
              <w:rPr>
                <w:noProof/>
                <w:webHidden/>
              </w:rPr>
              <w:tab/>
            </w:r>
            <w:r>
              <w:rPr>
                <w:noProof/>
                <w:webHidden/>
              </w:rPr>
              <w:fldChar w:fldCharType="begin"/>
            </w:r>
            <w:r>
              <w:rPr>
                <w:noProof/>
                <w:webHidden/>
              </w:rPr>
              <w:instrText xml:space="preserve"> PAGEREF _Toc215131179 \h </w:instrText>
            </w:r>
            <w:r>
              <w:rPr>
                <w:noProof/>
                <w:webHidden/>
              </w:rPr>
            </w:r>
            <w:r>
              <w:rPr>
                <w:noProof/>
                <w:webHidden/>
              </w:rPr>
              <w:fldChar w:fldCharType="separate"/>
            </w:r>
            <w:r>
              <w:rPr>
                <w:noProof/>
                <w:webHidden/>
              </w:rPr>
              <w:t>9</w:t>
            </w:r>
            <w:r>
              <w:rPr>
                <w:noProof/>
                <w:webHidden/>
              </w:rPr>
              <w:fldChar w:fldCharType="end"/>
            </w:r>
          </w:hyperlink>
        </w:p>
        <w:p w14:paraId="4FB21DC1" w14:textId="68B19F3B"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80" w:history="1">
            <w:r w:rsidRPr="008F6C30">
              <w:rPr>
                <w:rStyle w:val="Hyperlink"/>
                <w:noProof/>
              </w:rPr>
              <w:t>6</w:t>
            </w:r>
            <w:r>
              <w:rPr>
                <w:rFonts w:asciiTheme="minorHAnsi" w:eastAsiaTheme="minorEastAsia" w:hAnsiTheme="minorHAnsi" w:cstheme="minorBidi"/>
                <w:b w:val="0"/>
                <w:bCs w:val="0"/>
                <w:caps w:val="0"/>
                <w:noProof/>
                <w:kern w:val="2"/>
                <w14:ligatures w14:val="standardContextual"/>
              </w:rPr>
              <w:tab/>
            </w:r>
            <w:r w:rsidRPr="008F6C30">
              <w:rPr>
                <w:rStyle w:val="Hyperlink"/>
                <w:noProof/>
              </w:rPr>
              <w:t>Refusal to comply with a request</w:t>
            </w:r>
            <w:r>
              <w:rPr>
                <w:noProof/>
                <w:webHidden/>
              </w:rPr>
              <w:tab/>
            </w:r>
            <w:r>
              <w:rPr>
                <w:noProof/>
                <w:webHidden/>
              </w:rPr>
              <w:fldChar w:fldCharType="begin"/>
            </w:r>
            <w:r>
              <w:rPr>
                <w:noProof/>
                <w:webHidden/>
              </w:rPr>
              <w:instrText xml:space="preserve"> PAGEREF _Toc215131180 \h </w:instrText>
            </w:r>
            <w:r>
              <w:rPr>
                <w:noProof/>
                <w:webHidden/>
              </w:rPr>
            </w:r>
            <w:r>
              <w:rPr>
                <w:noProof/>
                <w:webHidden/>
              </w:rPr>
              <w:fldChar w:fldCharType="separate"/>
            </w:r>
            <w:r>
              <w:rPr>
                <w:noProof/>
                <w:webHidden/>
              </w:rPr>
              <w:t>9</w:t>
            </w:r>
            <w:r>
              <w:rPr>
                <w:noProof/>
                <w:webHidden/>
              </w:rPr>
              <w:fldChar w:fldCharType="end"/>
            </w:r>
          </w:hyperlink>
        </w:p>
        <w:p w14:paraId="7F2C679A" w14:textId="69EB3450"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81" w:history="1">
            <w:r w:rsidRPr="008F6C30">
              <w:rPr>
                <w:rStyle w:val="Hyperlink"/>
                <w:noProof/>
              </w:rPr>
              <w:t>7</w:t>
            </w:r>
            <w:r>
              <w:rPr>
                <w:rFonts w:asciiTheme="minorHAnsi" w:eastAsiaTheme="minorEastAsia" w:hAnsiTheme="minorHAnsi" w:cstheme="minorBidi"/>
                <w:b w:val="0"/>
                <w:bCs w:val="0"/>
                <w:caps w:val="0"/>
                <w:noProof/>
                <w:kern w:val="2"/>
                <w14:ligatures w14:val="standardContextual"/>
              </w:rPr>
              <w:tab/>
            </w:r>
            <w:r w:rsidRPr="008F6C30">
              <w:rPr>
                <w:rStyle w:val="Hyperlink"/>
                <w:noProof/>
              </w:rPr>
              <w:t>Coercion</w:t>
            </w:r>
            <w:r>
              <w:rPr>
                <w:noProof/>
                <w:webHidden/>
              </w:rPr>
              <w:tab/>
            </w:r>
            <w:r>
              <w:rPr>
                <w:noProof/>
                <w:webHidden/>
              </w:rPr>
              <w:fldChar w:fldCharType="begin"/>
            </w:r>
            <w:r>
              <w:rPr>
                <w:noProof/>
                <w:webHidden/>
              </w:rPr>
              <w:instrText xml:space="preserve"> PAGEREF _Toc215131181 \h </w:instrText>
            </w:r>
            <w:r>
              <w:rPr>
                <w:noProof/>
                <w:webHidden/>
              </w:rPr>
            </w:r>
            <w:r>
              <w:rPr>
                <w:noProof/>
                <w:webHidden/>
              </w:rPr>
              <w:fldChar w:fldCharType="separate"/>
            </w:r>
            <w:r>
              <w:rPr>
                <w:noProof/>
                <w:webHidden/>
              </w:rPr>
              <w:t>9</w:t>
            </w:r>
            <w:r>
              <w:rPr>
                <w:noProof/>
                <w:webHidden/>
              </w:rPr>
              <w:fldChar w:fldCharType="end"/>
            </w:r>
          </w:hyperlink>
        </w:p>
        <w:p w14:paraId="658F6DC3" w14:textId="42CEA0D4"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82" w:history="1">
            <w:r w:rsidRPr="008F6C30">
              <w:rPr>
                <w:rStyle w:val="Hyperlink"/>
                <w:noProof/>
              </w:rPr>
              <w:t>8</w:t>
            </w:r>
            <w:r>
              <w:rPr>
                <w:rFonts w:asciiTheme="minorHAnsi" w:eastAsiaTheme="minorEastAsia" w:hAnsiTheme="minorHAnsi" w:cstheme="minorBidi"/>
                <w:b w:val="0"/>
                <w:bCs w:val="0"/>
                <w:caps w:val="0"/>
                <w:noProof/>
                <w:kern w:val="2"/>
                <w14:ligatures w14:val="standardContextual"/>
              </w:rPr>
              <w:tab/>
            </w:r>
            <w:r w:rsidRPr="008F6C30">
              <w:rPr>
                <w:rStyle w:val="Hyperlink"/>
                <w:noProof/>
              </w:rPr>
              <w:t>Non-disclosure</w:t>
            </w:r>
            <w:r>
              <w:rPr>
                <w:noProof/>
                <w:webHidden/>
              </w:rPr>
              <w:tab/>
            </w:r>
            <w:r>
              <w:rPr>
                <w:noProof/>
                <w:webHidden/>
              </w:rPr>
              <w:fldChar w:fldCharType="begin"/>
            </w:r>
            <w:r>
              <w:rPr>
                <w:noProof/>
                <w:webHidden/>
              </w:rPr>
              <w:instrText xml:space="preserve"> PAGEREF _Toc215131182 \h </w:instrText>
            </w:r>
            <w:r>
              <w:rPr>
                <w:noProof/>
                <w:webHidden/>
              </w:rPr>
            </w:r>
            <w:r>
              <w:rPr>
                <w:noProof/>
                <w:webHidden/>
              </w:rPr>
              <w:fldChar w:fldCharType="separate"/>
            </w:r>
            <w:r>
              <w:rPr>
                <w:noProof/>
                <w:webHidden/>
              </w:rPr>
              <w:t>10</w:t>
            </w:r>
            <w:r>
              <w:rPr>
                <w:noProof/>
                <w:webHidden/>
              </w:rPr>
              <w:fldChar w:fldCharType="end"/>
            </w:r>
          </w:hyperlink>
        </w:p>
        <w:p w14:paraId="4A72C48E" w14:textId="21B60451"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83" w:history="1">
            <w:r w:rsidRPr="008F6C30">
              <w:rPr>
                <w:rStyle w:val="Hyperlink"/>
                <w:noProof/>
              </w:rPr>
              <w:t>9</w:t>
            </w:r>
            <w:r>
              <w:rPr>
                <w:rFonts w:asciiTheme="minorHAnsi" w:eastAsiaTheme="minorEastAsia" w:hAnsiTheme="minorHAnsi" w:cstheme="minorBidi"/>
                <w:b w:val="0"/>
                <w:bCs w:val="0"/>
                <w:caps w:val="0"/>
                <w:noProof/>
                <w:kern w:val="2"/>
                <w14:ligatures w14:val="standardContextual"/>
              </w:rPr>
              <w:tab/>
            </w:r>
            <w:r w:rsidRPr="008F6C30">
              <w:rPr>
                <w:rStyle w:val="Hyperlink"/>
                <w:noProof/>
              </w:rPr>
              <w:t>Proxy access</w:t>
            </w:r>
            <w:r>
              <w:rPr>
                <w:noProof/>
                <w:webHidden/>
              </w:rPr>
              <w:tab/>
            </w:r>
            <w:r>
              <w:rPr>
                <w:noProof/>
                <w:webHidden/>
              </w:rPr>
              <w:fldChar w:fldCharType="begin"/>
            </w:r>
            <w:r>
              <w:rPr>
                <w:noProof/>
                <w:webHidden/>
              </w:rPr>
              <w:instrText xml:space="preserve"> PAGEREF _Toc215131183 \h </w:instrText>
            </w:r>
            <w:r>
              <w:rPr>
                <w:noProof/>
                <w:webHidden/>
              </w:rPr>
            </w:r>
            <w:r>
              <w:rPr>
                <w:noProof/>
                <w:webHidden/>
              </w:rPr>
              <w:fldChar w:fldCharType="separate"/>
            </w:r>
            <w:r>
              <w:rPr>
                <w:noProof/>
                <w:webHidden/>
              </w:rPr>
              <w:t>10</w:t>
            </w:r>
            <w:r>
              <w:rPr>
                <w:noProof/>
                <w:webHidden/>
              </w:rPr>
              <w:fldChar w:fldCharType="end"/>
            </w:r>
          </w:hyperlink>
        </w:p>
        <w:p w14:paraId="2FEB58F3" w14:textId="343DAAA3"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84" w:history="1">
            <w:r w:rsidRPr="008F6C30">
              <w:rPr>
                <w:rStyle w:val="Hyperlink"/>
                <w:rFonts w:ascii="Arial" w:eastAsia="Arial" w:hAnsi="Arial" w:cs="Arial"/>
                <w:noProof/>
              </w:rPr>
              <w:t>9.1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Proxy access to medical records</w:t>
            </w:r>
            <w:r>
              <w:rPr>
                <w:noProof/>
                <w:webHidden/>
              </w:rPr>
              <w:tab/>
            </w:r>
            <w:r>
              <w:rPr>
                <w:noProof/>
                <w:webHidden/>
              </w:rPr>
              <w:fldChar w:fldCharType="begin"/>
            </w:r>
            <w:r>
              <w:rPr>
                <w:noProof/>
                <w:webHidden/>
              </w:rPr>
              <w:instrText xml:space="preserve"> PAGEREF _Toc215131184 \h </w:instrText>
            </w:r>
            <w:r>
              <w:rPr>
                <w:noProof/>
                <w:webHidden/>
              </w:rPr>
            </w:r>
            <w:r>
              <w:rPr>
                <w:noProof/>
                <w:webHidden/>
              </w:rPr>
              <w:fldChar w:fldCharType="separate"/>
            </w:r>
            <w:r>
              <w:rPr>
                <w:noProof/>
                <w:webHidden/>
              </w:rPr>
              <w:t>10</w:t>
            </w:r>
            <w:r>
              <w:rPr>
                <w:noProof/>
                <w:webHidden/>
              </w:rPr>
              <w:fldChar w:fldCharType="end"/>
            </w:r>
          </w:hyperlink>
        </w:p>
        <w:p w14:paraId="72C02230" w14:textId="7C75FC93"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85" w:history="1">
            <w:r w:rsidRPr="008F6C30">
              <w:rPr>
                <w:rStyle w:val="Hyperlink"/>
                <w:rFonts w:ascii="Arial" w:eastAsia="Arial" w:hAnsi="Arial" w:cs="Arial"/>
                <w:noProof/>
              </w:rPr>
              <w:t>9.2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Proxy access in adults with capacity</w:t>
            </w:r>
            <w:r>
              <w:rPr>
                <w:noProof/>
                <w:webHidden/>
              </w:rPr>
              <w:tab/>
            </w:r>
            <w:r>
              <w:rPr>
                <w:noProof/>
                <w:webHidden/>
              </w:rPr>
              <w:fldChar w:fldCharType="begin"/>
            </w:r>
            <w:r>
              <w:rPr>
                <w:noProof/>
                <w:webHidden/>
              </w:rPr>
              <w:instrText xml:space="preserve"> PAGEREF _Toc215131185 \h </w:instrText>
            </w:r>
            <w:r>
              <w:rPr>
                <w:noProof/>
                <w:webHidden/>
              </w:rPr>
            </w:r>
            <w:r>
              <w:rPr>
                <w:noProof/>
                <w:webHidden/>
              </w:rPr>
              <w:fldChar w:fldCharType="separate"/>
            </w:r>
            <w:r>
              <w:rPr>
                <w:noProof/>
                <w:webHidden/>
              </w:rPr>
              <w:t>11</w:t>
            </w:r>
            <w:r>
              <w:rPr>
                <w:noProof/>
                <w:webHidden/>
              </w:rPr>
              <w:fldChar w:fldCharType="end"/>
            </w:r>
          </w:hyperlink>
        </w:p>
        <w:p w14:paraId="4FEC8951" w14:textId="6E0607DC"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86" w:history="1">
            <w:r w:rsidRPr="008F6C30">
              <w:rPr>
                <w:rStyle w:val="Hyperlink"/>
                <w:rFonts w:ascii="Arial" w:eastAsia="Arial" w:hAnsi="Arial" w:cs="Arial"/>
                <w:noProof/>
              </w:rPr>
              <w:t>9.3</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Proxy access in adults without capacity</w:t>
            </w:r>
            <w:r>
              <w:rPr>
                <w:noProof/>
                <w:webHidden/>
              </w:rPr>
              <w:tab/>
            </w:r>
            <w:r>
              <w:rPr>
                <w:noProof/>
                <w:webHidden/>
              </w:rPr>
              <w:fldChar w:fldCharType="begin"/>
            </w:r>
            <w:r>
              <w:rPr>
                <w:noProof/>
                <w:webHidden/>
              </w:rPr>
              <w:instrText xml:space="preserve"> PAGEREF _Toc215131186 \h </w:instrText>
            </w:r>
            <w:r>
              <w:rPr>
                <w:noProof/>
                <w:webHidden/>
              </w:rPr>
            </w:r>
            <w:r>
              <w:rPr>
                <w:noProof/>
                <w:webHidden/>
              </w:rPr>
              <w:fldChar w:fldCharType="separate"/>
            </w:r>
            <w:r>
              <w:rPr>
                <w:noProof/>
                <w:webHidden/>
              </w:rPr>
              <w:t>11</w:t>
            </w:r>
            <w:r>
              <w:rPr>
                <w:noProof/>
                <w:webHidden/>
              </w:rPr>
              <w:fldChar w:fldCharType="end"/>
            </w:r>
          </w:hyperlink>
        </w:p>
        <w:p w14:paraId="405CC842" w14:textId="6D450217"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87" w:history="1">
            <w:r w:rsidRPr="008F6C30">
              <w:rPr>
                <w:rStyle w:val="Hyperlink"/>
                <w:rFonts w:ascii="Arial" w:eastAsia="Arial" w:hAnsi="Arial" w:cs="Arial"/>
                <w:noProof/>
              </w:rPr>
              <w:t>9.4</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Children and young people’s access</w:t>
            </w:r>
            <w:r>
              <w:rPr>
                <w:noProof/>
                <w:webHidden/>
              </w:rPr>
              <w:tab/>
            </w:r>
            <w:r>
              <w:rPr>
                <w:noProof/>
                <w:webHidden/>
              </w:rPr>
              <w:fldChar w:fldCharType="begin"/>
            </w:r>
            <w:r>
              <w:rPr>
                <w:noProof/>
                <w:webHidden/>
              </w:rPr>
              <w:instrText xml:space="preserve"> PAGEREF _Toc215131187 \h </w:instrText>
            </w:r>
            <w:r>
              <w:rPr>
                <w:noProof/>
                <w:webHidden/>
              </w:rPr>
            </w:r>
            <w:r>
              <w:rPr>
                <w:noProof/>
                <w:webHidden/>
              </w:rPr>
              <w:fldChar w:fldCharType="separate"/>
            </w:r>
            <w:r>
              <w:rPr>
                <w:noProof/>
                <w:webHidden/>
              </w:rPr>
              <w:t>12</w:t>
            </w:r>
            <w:r>
              <w:rPr>
                <w:noProof/>
                <w:webHidden/>
              </w:rPr>
              <w:fldChar w:fldCharType="end"/>
            </w:r>
          </w:hyperlink>
        </w:p>
        <w:p w14:paraId="427B7207" w14:textId="4859070C"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88" w:history="1">
            <w:r w:rsidRPr="008F6C30">
              <w:rPr>
                <w:rStyle w:val="Hyperlink"/>
                <w:rFonts w:ascii="Arial" w:eastAsia="Arial" w:hAnsi="Arial" w:cs="Arial"/>
                <w:noProof/>
              </w:rPr>
              <w:t>9.5</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Proxy access in children without consent</w:t>
            </w:r>
            <w:r>
              <w:rPr>
                <w:noProof/>
                <w:webHidden/>
              </w:rPr>
              <w:tab/>
            </w:r>
            <w:r>
              <w:rPr>
                <w:noProof/>
                <w:webHidden/>
              </w:rPr>
              <w:fldChar w:fldCharType="begin"/>
            </w:r>
            <w:r>
              <w:rPr>
                <w:noProof/>
                <w:webHidden/>
              </w:rPr>
              <w:instrText xml:space="preserve"> PAGEREF _Toc215131188 \h </w:instrText>
            </w:r>
            <w:r>
              <w:rPr>
                <w:noProof/>
                <w:webHidden/>
              </w:rPr>
            </w:r>
            <w:r>
              <w:rPr>
                <w:noProof/>
                <w:webHidden/>
              </w:rPr>
              <w:fldChar w:fldCharType="separate"/>
            </w:r>
            <w:r>
              <w:rPr>
                <w:noProof/>
                <w:webHidden/>
              </w:rPr>
              <w:t>12</w:t>
            </w:r>
            <w:r>
              <w:rPr>
                <w:noProof/>
                <w:webHidden/>
              </w:rPr>
              <w:fldChar w:fldCharType="end"/>
            </w:r>
          </w:hyperlink>
        </w:p>
        <w:p w14:paraId="14D25F85" w14:textId="338DF7C5"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89" w:history="1">
            <w:r w:rsidRPr="008F6C30">
              <w:rPr>
                <w:rStyle w:val="Hyperlink"/>
                <w:rFonts w:ascii="Arial" w:eastAsia="Arial" w:hAnsi="Arial" w:cs="Arial"/>
                <w:noProof/>
              </w:rPr>
              <w:t>9.6</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Parents gaining access to a child’s medical record</w:t>
            </w:r>
            <w:r>
              <w:rPr>
                <w:noProof/>
                <w:webHidden/>
              </w:rPr>
              <w:tab/>
            </w:r>
            <w:r>
              <w:rPr>
                <w:noProof/>
                <w:webHidden/>
              </w:rPr>
              <w:fldChar w:fldCharType="begin"/>
            </w:r>
            <w:r>
              <w:rPr>
                <w:noProof/>
                <w:webHidden/>
              </w:rPr>
              <w:instrText xml:space="preserve"> PAGEREF _Toc215131189 \h </w:instrText>
            </w:r>
            <w:r>
              <w:rPr>
                <w:noProof/>
                <w:webHidden/>
              </w:rPr>
            </w:r>
            <w:r>
              <w:rPr>
                <w:noProof/>
                <w:webHidden/>
              </w:rPr>
              <w:fldChar w:fldCharType="separate"/>
            </w:r>
            <w:r>
              <w:rPr>
                <w:noProof/>
                <w:webHidden/>
              </w:rPr>
              <w:t>12</w:t>
            </w:r>
            <w:r>
              <w:rPr>
                <w:noProof/>
                <w:webHidden/>
              </w:rPr>
              <w:fldChar w:fldCharType="end"/>
            </w:r>
          </w:hyperlink>
        </w:p>
        <w:p w14:paraId="65A73726" w14:textId="2AE511B4"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90" w:history="1">
            <w:r w:rsidRPr="008F6C30">
              <w:rPr>
                <w:rStyle w:val="Hyperlink"/>
                <w:noProof/>
              </w:rPr>
              <w:t>10</w:t>
            </w:r>
            <w:r>
              <w:rPr>
                <w:rFonts w:asciiTheme="minorHAnsi" w:eastAsiaTheme="minorEastAsia" w:hAnsiTheme="minorHAnsi" w:cstheme="minorBidi"/>
                <w:b w:val="0"/>
                <w:bCs w:val="0"/>
                <w:caps w:val="0"/>
                <w:noProof/>
                <w:kern w:val="2"/>
                <w14:ligatures w14:val="standardContextual"/>
              </w:rPr>
              <w:tab/>
            </w:r>
            <w:r w:rsidRPr="008F6C30">
              <w:rPr>
                <w:rStyle w:val="Hyperlink"/>
                <w:noProof/>
              </w:rPr>
              <w:t>Lasting power of attorney</w:t>
            </w:r>
            <w:r>
              <w:rPr>
                <w:noProof/>
                <w:webHidden/>
              </w:rPr>
              <w:tab/>
            </w:r>
            <w:r>
              <w:rPr>
                <w:noProof/>
                <w:webHidden/>
              </w:rPr>
              <w:fldChar w:fldCharType="begin"/>
            </w:r>
            <w:r>
              <w:rPr>
                <w:noProof/>
                <w:webHidden/>
              </w:rPr>
              <w:instrText xml:space="preserve"> PAGEREF _Toc215131190 \h </w:instrText>
            </w:r>
            <w:r>
              <w:rPr>
                <w:noProof/>
                <w:webHidden/>
              </w:rPr>
            </w:r>
            <w:r>
              <w:rPr>
                <w:noProof/>
                <w:webHidden/>
              </w:rPr>
              <w:fldChar w:fldCharType="separate"/>
            </w:r>
            <w:r>
              <w:rPr>
                <w:noProof/>
                <w:webHidden/>
              </w:rPr>
              <w:t>13</w:t>
            </w:r>
            <w:r>
              <w:rPr>
                <w:noProof/>
                <w:webHidden/>
              </w:rPr>
              <w:fldChar w:fldCharType="end"/>
            </w:r>
          </w:hyperlink>
        </w:p>
        <w:p w14:paraId="5AFB91BB" w14:textId="634E32FF"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1" w:history="1">
            <w:r w:rsidRPr="008F6C30">
              <w:rPr>
                <w:rStyle w:val="Hyperlink"/>
                <w:rFonts w:ascii="Arial" w:eastAsia="Arial" w:hAnsi="Arial" w:cs="Arial"/>
                <w:noProof/>
              </w:rPr>
              <w:t>10.1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About</w:t>
            </w:r>
            <w:r>
              <w:rPr>
                <w:noProof/>
                <w:webHidden/>
              </w:rPr>
              <w:tab/>
            </w:r>
            <w:r>
              <w:rPr>
                <w:noProof/>
                <w:webHidden/>
              </w:rPr>
              <w:fldChar w:fldCharType="begin"/>
            </w:r>
            <w:r>
              <w:rPr>
                <w:noProof/>
                <w:webHidden/>
              </w:rPr>
              <w:instrText xml:space="preserve"> PAGEREF _Toc215131191 \h </w:instrText>
            </w:r>
            <w:r>
              <w:rPr>
                <w:noProof/>
                <w:webHidden/>
              </w:rPr>
            </w:r>
            <w:r>
              <w:rPr>
                <w:noProof/>
                <w:webHidden/>
              </w:rPr>
              <w:fldChar w:fldCharType="separate"/>
            </w:r>
            <w:r>
              <w:rPr>
                <w:noProof/>
                <w:webHidden/>
              </w:rPr>
              <w:t>13</w:t>
            </w:r>
            <w:r>
              <w:rPr>
                <w:noProof/>
                <w:webHidden/>
              </w:rPr>
              <w:fldChar w:fldCharType="end"/>
            </w:r>
          </w:hyperlink>
        </w:p>
        <w:p w14:paraId="0012A67A" w14:textId="18CC17B2"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2" w:history="1">
            <w:r w:rsidRPr="008F6C30">
              <w:rPr>
                <w:rStyle w:val="Hyperlink"/>
                <w:rFonts w:ascii="Arial" w:eastAsia="Arial" w:hAnsi="Arial" w:cs="Arial"/>
                <w:noProof/>
              </w:rPr>
              <w:t>10.2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Responding to an access request</w:t>
            </w:r>
            <w:r>
              <w:rPr>
                <w:noProof/>
                <w:webHidden/>
              </w:rPr>
              <w:tab/>
            </w:r>
            <w:r>
              <w:rPr>
                <w:noProof/>
                <w:webHidden/>
              </w:rPr>
              <w:fldChar w:fldCharType="begin"/>
            </w:r>
            <w:r>
              <w:rPr>
                <w:noProof/>
                <w:webHidden/>
              </w:rPr>
              <w:instrText xml:space="preserve"> PAGEREF _Toc215131192 \h </w:instrText>
            </w:r>
            <w:r>
              <w:rPr>
                <w:noProof/>
                <w:webHidden/>
              </w:rPr>
            </w:r>
            <w:r>
              <w:rPr>
                <w:noProof/>
                <w:webHidden/>
              </w:rPr>
              <w:fldChar w:fldCharType="separate"/>
            </w:r>
            <w:r>
              <w:rPr>
                <w:noProof/>
                <w:webHidden/>
              </w:rPr>
              <w:t>13</w:t>
            </w:r>
            <w:r>
              <w:rPr>
                <w:noProof/>
                <w:webHidden/>
              </w:rPr>
              <w:fldChar w:fldCharType="end"/>
            </w:r>
          </w:hyperlink>
        </w:p>
        <w:p w14:paraId="66894D3E" w14:textId="12E7662F"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93" w:history="1">
            <w:r w:rsidRPr="008F6C30">
              <w:rPr>
                <w:rStyle w:val="Hyperlink"/>
                <w:noProof/>
              </w:rPr>
              <w:t>11</w:t>
            </w:r>
            <w:r>
              <w:rPr>
                <w:rFonts w:asciiTheme="minorHAnsi" w:eastAsiaTheme="minorEastAsia" w:hAnsiTheme="minorHAnsi" w:cstheme="minorBidi"/>
                <w:b w:val="0"/>
                <w:bCs w:val="0"/>
                <w:caps w:val="0"/>
                <w:noProof/>
                <w:kern w:val="2"/>
                <w14:ligatures w14:val="standardContextual"/>
              </w:rPr>
              <w:tab/>
            </w:r>
            <w:r w:rsidRPr="008F6C30">
              <w:rPr>
                <w:rStyle w:val="Hyperlink"/>
                <w:noProof/>
              </w:rPr>
              <w:t>Identity verification</w:t>
            </w:r>
            <w:r>
              <w:rPr>
                <w:noProof/>
                <w:webHidden/>
              </w:rPr>
              <w:tab/>
            </w:r>
            <w:r>
              <w:rPr>
                <w:noProof/>
                <w:webHidden/>
              </w:rPr>
              <w:fldChar w:fldCharType="begin"/>
            </w:r>
            <w:r>
              <w:rPr>
                <w:noProof/>
                <w:webHidden/>
              </w:rPr>
              <w:instrText xml:space="preserve"> PAGEREF _Toc215131193 \h </w:instrText>
            </w:r>
            <w:r>
              <w:rPr>
                <w:noProof/>
                <w:webHidden/>
              </w:rPr>
            </w:r>
            <w:r>
              <w:rPr>
                <w:noProof/>
                <w:webHidden/>
              </w:rPr>
              <w:fldChar w:fldCharType="separate"/>
            </w:r>
            <w:r>
              <w:rPr>
                <w:noProof/>
                <w:webHidden/>
              </w:rPr>
              <w:t>13</w:t>
            </w:r>
            <w:r>
              <w:rPr>
                <w:noProof/>
                <w:webHidden/>
              </w:rPr>
              <w:fldChar w:fldCharType="end"/>
            </w:r>
          </w:hyperlink>
        </w:p>
        <w:p w14:paraId="3C6522D6" w14:textId="16F441B3"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4" w:history="1">
            <w:r w:rsidRPr="008F6C30">
              <w:rPr>
                <w:rStyle w:val="Hyperlink"/>
                <w:rFonts w:ascii="Arial" w:eastAsia="Arial" w:hAnsi="Arial" w:cs="Arial"/>
                <w:noProof/>
              </w:rPr>
              <w:t>11.1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Requirement</w:t>
            </w:r>
            <w:r>
              <w:rPr>
                <w:noProof/>
                <w:webHidden/>
              </w:rPr>
              <w:tab/>
            </w:r>
            <w:r>
              <w:rPr>
                <w:noProof/>
                <w:webHidden/>
              </w:rPr>
              <w:fldChar w:fldCharType="begin"/>
            </w:r>
            <w:r>
              <w:rPr>
                <w:noProof/>
                <w:webHidden/>
              </w:rPr>
              <w:instrText xml:space="preserve"> PAGEREF _Toc215131194 \h </w:instrText>
            </w:r>
            <w:r>
              <w:rPr>
                <w:noProof/>
                <w:webHidden/>
              </w:rPr>
            </w:r>
            <w:r>
              <w:rPr>
                <w:noProof/>
                <w:webHidden/>
              </w:rPr>
              <w:fldChar w:fldCharType="separate"/>
            </w:r>
            <w:r>
              <w:rPr>
                <w:noProof/>
                <w:webHidden/>
              </w:rPr>
              <w:t>13</w:t>
            </w:r>
            <w:r>
              <w:rPr>
                <w:noProof/>
                <w:webHidden/>
              </w:rPr>
              <w:fldChar w:fldCharType="end"/>
            </w:r>
          </w:hyperlink>
        </w:p>
        <w:p w14:paraId="0EF62EA8" w14:textId="1D2DCAAC"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5" w:history="1">
            <w:r w:rsidRPr="008F6C30">
              <w:rPr>
                <w:rStyle w:val="Hyperlink"/>
                <w:rFonts w:ascii="Arial" w:eastAsia="Arial" w:hAnsi="Arial" w:cs="Arial"/>
                <w:noProof/>
              </w:rPr>
              <w:t>11.2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Adult proxy access verification</w:t>
            </w:r>
            <w:r>
              <w:rPr>
                <w:noProof/>
                <w:webHidden/>
              </w:rPr>
              <w:tab/>
            </w:r>
            <w:r>
              <w:rPr>
                <w:noProof/>
                <w:webHidden/>
              </w:rPr>
              <w:fldChar w:fldCharType="begin"/>
            </w:r>
            <w:r>
              <w:rPr>
                <w:noProof/>
                <w:webHidden/>
              </w:rPr>
              <w:instrText xml:space="preserve"> PAGEREF _Toc215131195 \h </w:instrText>
            </w:r>
            <w:r>
              <w:rPr>
                <w:noProof/>
                <w:webHidden/>
              </w:rPr>
            </w:r>
            <w:r>
              <w:rPr>
                <w:noProof/>
                <w:webHidden/>
              </w:rPr>
              <w:fldChar w:fldCharType="separate"/>
            </w:r>
            <w:r>
              <w:rPr>
                <w:noProof/>
                <w:webHidden/>
              </w:rPr>
              <w:t>14</w:t>
            </w:r>
            <w:r>
              <w:rPr>
                <w:noProof/>
                <w:webHidden/>
              </w:rPr>
              <w:fldChar w:fldCharType="end"/>
            </w:r>
          </w:hyperlink>
        </w:p>
        <w:p w14:paraId="15689E61" w14:textId="1F1DD47D"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6" w:history="1">
            <w:r w:rsidRPr="008F6C30">
              <w:rPr>
                <w:rStyle w:val="Hyperlink"/>
                <w:rFonts w:ascii="Arial" w:eastAsia="Arial" w:hAnsi="Arial" w:cs="Arial"/>
                <w:noProof/>
              </w:rPr>
              <w:t>11.3</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Child proxy access verification</w:t>
            </w:r>
            <w:r>
              <w:rPr>
                <w:noProof/>
                <w:webHidden/>
              </w:rPr>
              <w:tab/>
            </w:r>
            <w:r>
              <w:rPr>
                <w:noProof/>
                <w:webHidden/>
              </w:rPr>
              <w:fldChar w:fldCharType="begin"/>
            </w:r>
            <w:r>
              <w:rPr>
                <w:noProof/>
                <w:webHidden/>
              </w:rPr>
              <w:instrText xml:space="preserve"> PAGEREF _Toc215131196 \h </w:instrText>
            </w:r>
            <w:r>
              <w:rPr>
                <w:noProof/>
                <w:webHidden/>
              </w:rPr>
            </w:r>
            <w:r>
              <w:rPr>
                <w:noProof/>
                <w:webHidden/>
              </w:rPr>
              <w:fldChar w:fldCharType="separate"/>
            </w:r>
            <w:r>
              <w:rPr>
                <w:noProof/>
                <w:webHidden/>
              </w:rPr>
              <w:t>14</w:t>
            </w:r>
            <w:r>
              <w:rPr>
                <w:noProof/>
                <w:webHidden/>
              </w:rPr>
              <w:fldChar w:fldCharType="end"/>
            </w:r>
          </w:hyperlink>
        </w:p>
        <w:p w14:paraId="69909D51" w14:textId="0BD2F483"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197" w:history="1">
            <w:r w:rsidRPr="008F6C30">
              <w:rPr>
                <w:rStyle w:val="Hyperlink"/>
                <w:noProof/>
              </w:rPr>
              <w:t>12</w:t>
            </w:r>
            <w:r>
              <w:rPr>
                <w:rFonts w:asciiTheme="minorHAnsi" w:eastAsiaTheme="minorEastAsia" w:hAnsiTheme="minorHAnsi" w:cstheme="minorBidi"/>
                <w:b w:val="0"/>
                <w:bCs w:val="0"/>
                <w:caps w:val="0"/>
                <w:noProof/>
                <w:kern w:val="2"/>
                <w14:ligatures w14:val="standardContextual"/>
              </w:rPr>
              <w:tab/>
            </w:r>
            <w:r w:rsidRPr="008F6C30">
              <w:rPr>
                <w:rStyle w:val="Hyperlink"/>
                <w:noProof/>
              </w:rPr>
              <w:t>Deceased patients</w:t>
            </w:r>
            <w:r>
              <w:rPr>
                <w:noProof/>
                <w:webHidden/>
              </w:rPr>
              <w:tab/>
            </w:r>
            <w:r>
              <w:rPr>
                <w:noProof/>
                <w:webHidden/>
              </w:rPr>
              <w:fldChar w:fldCharType="begin"/>
            </w:r>
            <w:r>
              <w:rPr>
                <w:noProof/>
                <w:webHidden/>
              </w:rPr>
              <w:instrText xml:space="preserve"> PAGEREF _Toc215131197 \h </w:instrText>
            </w:r>
            <w:r>
              <w:rPr>
                <w:noProof/>
                <w:webHidden/>
              </w:rPr>
            </w:r>
            <w:r>
              <w:rPr>
                <w:noProof/>
                <w:webHidden/>
              </w:rPr>
              <w:fldChar w:fldCharType="separate"/>
            </w:r>
            <w:r>
              <w:rPr>
                <w:noProof/>
                <w:webHidden/>
              </w:rPr>
              <w:t>14</w:t>
            </w:r>
            <w:r>
              <w:rPr>
                <w:noProof/>
                <w:webHidden/>
              </w:rPr>
              <w:fldChar w:fldCharType="end"/>
            </w:r>
          </w:hyperlink>
        </w:p>
        <w:p w14:paraId="6BF02176" w14:textId="4457E968"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8" w:history="1">
            <w:r w:rsidRPr="008F6C30">
              <w:rPr>
                <w:rStyle w:val="Hyperlink"/>
                <w:rFonts w:ascii="Arial" w:eastAsia="Arial" w:hAnsi="Arial" w:cs="Arial"/>
                <w:noProof/>
              </w:rPr>
              <w:t>12.1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Access to deceased persons medical records</w:t>
            </w:r>
            <w:r>
              <w:rPr>
                <w:noProof/>
                <w:webHidden/>
              </w:rPr>
              <w:tab/>
            </w:r>
            <w:r>
              <w:rPr>
                <w:noProof/>
                <w:webHidden/>
              </w:rPr>
              <w:fldChar w:fldCharType="begin"/>
            </w:r>
            <w:r>
              <w:rPr>
                <w:noProof/>
                <w:webHidden/>
              </w:rPr>
              <w:instrText xml:space="preserve"> PAGEREF _Toc215131198 \h </w:instrText>
            </w:r>
            <w:r>
              <w:rPr>
                <w:noProof/>
                <w:webHidden/>
              </w:rPr>
            </w:r>
            <w:r>
              <w:rPr>
                <w:noProof/>
                <w:webHidden/>
              </w:rPr>
              <w:fldChar w:fldCharType="separate"/>
            </w:r>
            <w:r>
              <w:rPr>
                <w:noProof/>
                <w:webHidden/>
              </w:rPr>
              <w:t>14</w:t>
            </w:r>
            <w:r>
              <w:rPr>
                <w:noProof/>
                <w:webHidden/>
              </w:rPr>
              <w:fldChar w:fldCharType="end"/>
            </w:r>
          </w:hyperlink>
        </w:p>
        <w:p w14:paraId="7640A16D" w14:textId="6B9D11AD"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199" w:history="1">
            <w:r w:rsidRPr="008F6C30">
              <w:rPr>
                <w:rStyle w:val="Hyperlink"/>
                <w:rFonts w:ascii="Arial" w:eastAsia="Arial" w:hAnsi="Arial" w:cs="Arial"/>
                <w:noProof/>
              </w:rPr>
              <w:t>12.2</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Chargeable fees for deceased patients</w:t>
            </w:r>
            <w:r>
              <w:rPr>
                <w:noProof/>
                <w:webHidden/>
              </w:rPr>
              <w:tab/>
            </w:r>
            <w:r>
              <w:rPr>
                <w:noProof/>
                <w:webHidden/>
              </w:rPr>
              <w:fldChar w:fldCharType="begin"/>
            </w:r>
            <w:r>
              <w:rPr>
                <w:noProof/>
                <w:webHidden/>
              </w:rPr>
              <w:instrText xml:space="preserve"> PAGEREF _Toc215131199 \h </w:instrText>
            </w:r>
            <w:r>
              <w:rPr>
                <w:noProof/>
                <w:webHidden/>
              </w:rPr>
            </w:r>
            <w:r>
              <w:rPr>
                <w:noProof/>
                <w:webHidden/>
              </w:rPr>
              <w:fldChar w:fldCharType="separate"/>
            </w:r>
            <w:r>
              <w:rPr>
                <w:noProof/>
                <w:webHidden/>
              </w:rPr>
              <w:t>14</w:t>
            </w:r>
            <w:r>
              <w:rPr>
                <w:noProof/>
                <w:webHidden/>
              </w:rPr>
              <w:fldChar w:fldCharType="end"/>
            </w:r>
          </w:hyperlink>
        </w:p>
        <w:p w14:paraId="287DD2A7" w14:textId="6EC7690A"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200" w:history="1">
            <w:r w:rsidRPr="008F6C30">
              <w:rPr>
                <w:rStyle w:val="Hyperlink"/>
                <w:rFonts w:ascii="Arial" w:eastAsia="Arial" w:hAnsi="Arial" w:cs="Arial"/>
                <w:noProof/>
              </w:rPr>
              <w:t>12.3</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Chargeable fees for a SAR</w:t>
            </w:r>
            <w:r>
              <w:rPr>
                <w:noProof/>
                <w:webHidden/>
              </w:rPr>
              <w:tab/>
            </w:r>
            <w:r>
              <w:rPr>
                <w:noProof/>
                <w:webHidden/>
              </w:rPr>
              <w:fldChar w:fldCharType="begin"/>
            </w:r>
            <w:r>
              <w:rPr>
                <w:noProof/>
                <w:webHidden/>
              </w:rPr>
              <w:instrText xml:space="preserve"> PAGEREF _Toc215131200 \h </w:instrText>
            </w:r>
            <w:r>
              <w:rPr>
                <w:noProof/>
                <w:webHidden/>
              </w:rPr>
            </w:r>
            <w:r>
              <w:rPr>
                <w:noProof/>
                <w:webHidden/>
              </w:rPr>
              <w:fldChar w:fldCharType="separate"/>
            </w:r>
            <w:r>
              <w:rPr>
                <w:noProof/>
                <w:webHidden/>
              </w:rPr>
              <w:t>15</w:t>
            </w:r>
            <w:r>
              <w:rPr>
                <w:noProof/>
                <w:webHidden/>
              </w:rPr>
              <w:fldChar w:fldCharType="end"/>
            </w:r>
          </w:hyperlink>
        </w:p>
        <w:p w14:paraId="7E07147A" w14:textId="6623A5FE"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1" w:history="1">
            <w:r w:rsidRPr="008F6C30">
              <w:rPr>
                <w:rStyle w:val="Hyperlink"/>
                <w:noProof/>
              </w:rPr>
              <w:t>13</w:t>
            </w:r>
            <w:r>
              <w:rPr>
                <w:rFonts w:asciiTheme="minorHAnsi" w:eastAsiaTheme="minorEastAsia" w:hAnsiTheme="minorHAnsi" w:cstheme="minorBidi"/>
                <w:b w:val="0"/>
                <w:bCs w:val="0"/>
                <w:caps w:val="0"/>
                <w:noProof/>
                <w:kern w:val="2"/>
                <w14:ligatures w14:val="standardContextual"/>
              </w:rPr>
              <w:tab/>
            </w:r>
            <w:r w:rsidRPr="008F6C30">
              <w:rPr>
                <w:rStyle w:val="Hyperlink"/>
                <w:noProof/>
              </w:rPr>
              <w:t>Employee requests</w:t>
            </w:r>
            <w:r>
              <w:rPr>
                <w:noProof/>
                <w:webHidden/>
              </w:rPr>
              <w:tab/>
            </w:r>
            <w:r>
              <w:rPr>
                <w:noProof/>
                <w:webHidden/>
              </w:rPr>
              <w:fldChar w:fldCharType="begin"/>
            </w:r>
            <w:r>
              <w:rPr>
                <w:noProof/>
                <w:webHidden/>
              </w:rPr>
              <w:instrText xml:space="preserve"> PAGEREF _Toc215131201 \h </w:instrText>
            </w:r>
            <w:r>
              <w:rPr>
                <w:noProof/>
                <w:webHidden/>
              </w:rPr>
            </w:r>
            <w:r>
              <w:rPr>
                <w:noProof/>
                <w:webHidden/>
              </w:rPr>
              <w:fldChar w:fldCharType="separate"/>
            </w:r>
            <w:r>
              <w:rPr>
                <w:noProof/>
                <w:webHidden/>
              </w:rPr>
              <w:t>15</w:t>
            </w:r>
            <w:r>
              <w:rPr>
                <w:noProof/>
                <w:webHidden/>
              </w:rPr>
              <w:fldChar w:fldCharType="end"/>
            </w:r>
          </w:hyperlink>
        </w:p>
        <w:p w14:paraId="70A974EB" w14:textId="5E15363C"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2" w:history="1">
            <w:r w:rsidRPr="008F6C30">
              <w:rPr>
                <w:rStyle w:val="Hyperlink"/>
                <w:noProof/>
              </w:rPr>
              <w:t>14</w:t>
            </w:r>
            <w:r>
              <w:rPr>
                <w:rFonts w:asciiTheme="minorHAnsi" w:eastAsiaTheme="minorEastAsia" w:hAnsiTheme="minorHAnsi" w:cstheme="minorBidi"/>
                <w:b w:val="0"/>
                <w:bCs w:val="0"/>
                <w:caps w:val="0"/>
                <w:noProof/>
                <w:kern w:val="2"/>
                <w14:ligatures w14:val="standardContextual"/>
              </w:rPr>
              <w:tab/>
            </w:r>
            <w:r w:rsidRPr="008F6C30">
              <w:rPr>
                <w:rStyle w:val="Hyperlink"/>
                <w:noProof/>
              </w:rPr>
              <w:t>Denial or limitation of information</w:t>
            </w:r>
            <w:r>
              <w:rPr>
                <w:noProof/>
                <w:webHidden/>
              </w:rPr>
              <w:tab/>
            </w:r>
            <w:r>
              <w:rPr>
                <w:noProof/>
                <w:webHidden/>
              </w:rPr>
              <w:fldChar w:fldCharType="begin"/>
            </w:r>
            <w:r>
              <w:rPr>
                <w:noProof/>
                <w:webHidden/>
              </w:rPr>
              <w:instrText xml:space="preserve"> PAGEREF _Toc215131202 \h </w:instrText>
            </w:r>
            <w:r>
              <w:rPr>
                <w:noProof/>
                <w:webHidden/>
              </w:rPr>
            </w:r>
            <w:r>
              <w:rPr>
                <w:noProof/>
                <w:webHidden/>
              </w:rPr>
              <w:fldChar w:fldCharType="separate"/>
            </w:r>
            <w:r>
              <w:rPr>
                <w:noProof/>
                <w:webHidden/>
              </w:rPr>
              <w:t>15</w:t>
            </w:r>
            <w:r>
              <w:rPr>
                <w:noProof/>
                <w:webHidden/>
              </w:rPr>
              <w:fldChar w:fldCharType="end"/>
            </w:r>
          </w:hyperlink>
        </w:p>
        <w:p w14:paraId="2FF74B17" w14:textId="7A7CCADC"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3" w:history="1">
            <w:r w:rsidRPr="008F6C30">
              <w:rPr>
                <w:rStyle w:val="Hyperlink"/>
                <w:noProof/>
              </w:rPr>
              <w:t>15</w:t>
            </w:r>
            <w:r>
              <w:rPr>
                <w:rFonts w:asciiTheme="minorHAnsi" w:eastAsiaTheme="minorEastAsia" w:hAnsiTheme="minorHAnsi" w:cstheme="minorBidi"/>
                <w:b w:val="0"/>
                <w:bCs w:val="0"/>
                <w:caps w:val="0"/>
                <w:noProof/>
                <w:kern w:val="2"/>
                <w14:ligatures w14:val="standardContextual"/>
              </w:rPr>
              <w:tab/>
            </w:r>
            <w:r w:rsidRPr="008F6C30">
              <w:rPr>
                <w:rStyle w:val="Hyperlink"/>
                <w:noProof/>
              </w:rPr>
              <w:t>Third party information</w:t>
            </w:r>
            <w:r>
              <w:rPr>
                <w:noProof/>
                <w:webHidden/>
              </w:rPr>
              <w:tab/>
            </w:r>
            <w:r>
              <w:rPr>
                <w:noProof/>
                <w:webHidden/>
              </w:rPr>
              <w:fldChar w:fldCharType="begin"/>
            </w:r>
            <w:r>
              <w:rPr>
                <w:noProof/>
                <w:webHidden/>
              </w:rPr>
              <w:instrText xml:space="preserve"> PAGEREF _Toc215131203 \h </w:instrText>
            </w:r>
            <w:r>
              <w:rPr>
                <w:noProof/>
                <w:webHidden/>
              </w:rPr>
            </w:r>
            <w:r>
              <w:rPr>
                <w:noProof/>
                <w:webHidden/>
              </w:rPr>
              <w:fldChar w:fldCharType="separate"/>
            </w:r>
            <w:r>
              <w:rPr>
                <w:noProof/>
                <w:webHidden/>
              </w:rPr>
              <w:t>16</w:t>
            </w:r>
            <w:r>
              <w:rPr>
                <w:noProof/>
                <w:webHidden/>
              </w:rPr>
              <w:fldChar w:fldCharType="end"/>
            </w:r>
          </w:hyperlink>
        </w:p>
        <w:p w14:paraId="3D08849A" w14:textId="7AC4B0F6"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4" w:history="1">
            <w:r w:rsidRPr="008F6C30">
              <w:rPr>
                <w:rStyle w:val="Hyperlink"/>
                <w:noProof/>
              </w:rPr>
              <w:t>16</w:t>
            </w:r>
            <w:r>
              <w:rPr>
                <w:rFonts w:asciiTheme="minorHAnsi" w:eastAsiaTheme="minorEastAsia" w:hAnsiTheme="minorHAnsi" w:cstheme="minorBidi"/>
                <w:b w:val="0"/>
                <w:bCs w:val="0"/>
                <w:caps w:val="0"/>
                <w:noProof/>
                <w:kern w:val="2"/>
                <w14:ligatures w14:val="standardContextual"/>
              </w:rPr>
              <w:tab/>
            </w:r>
            <w:r w:rsidRPr="008F6C30">
              <w:rPr>
                <w:rStyle w:val="Hyperlink"/>
                <w:noProof/>
              </w:rPr>
              <w:t>Former NHS patients living outside the UK</w:t>
            </w:r>
            <w:r>
              <w:rPr>
                <w:noProof/>
                <w:webHidden/>
              </w:rPr>
              <w:tab/>
            </w:r>
            <w:r>
              <w:rPr>
                <w:noProof/>
                <w:webHidden/>
              </w:rPr>
              <w:fldChar w:fldCharType="begin"/>
            </w:r>
            <w:r>
              <w:rPr>
                <w:noProof/>
                <w:webHidden/>
              </w:rPr>
              <w:instrText xml:space="preserve"> PAGEREF _Toc215131204 \h </w:instrText>
            </w:r>
            <w:r>
              <w:rPr>
                <w:noProof/>
                <w:webHidden/>
              </w:rPr>
            </w:r>
            <w:r>
              <w:rPr>
                <w:noProof/>
                <w:webHidden/>
              </w:rPr>
              <w:fldChar w:fldCharType="separate"/>
            </w:r>
            <w:r>
              <w:rPr>
                <w:noProof/>
                <w:webHidden/>
              </w:rPr>
              <w:t>16</w:t>
            </w:r>
            <w:r>
              <w:rPr>
                <w:noProof/>
                <w:webHidden/>
              </w:rPr>
              <w:fldChar w:fldCharType="end"/>
            </w:r>
          </w:hyperlink>
        </w:p>
        <w:p w14:paraId="0AD3DA38" w14:textId="7CFF5F88"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5" w:history="1">
            <w:r w:rsidRPr="008F6C30">
              <w:rPr>
                <w:rStyle w:val="Hyperlink"/>
                <w:noProof/>
              </w:rPr>
              <w:t>17</w:t>
            </w:r>
            <w:r>
              <w:rPr>
                <w:rFonts w:asciiTheme="minorHAnsi" w:eastAsiaTheme="minorEastAsia" w:hAnsiTheme="minorHAnsi" w:cstheme="minorBidi"/>
                <w:b w:val="0"/>
                <w:bCs w:val="0"/>
                <w:caps w:val="0"/>
                <w:noProof/>
                <w:kern w:val="2"/>
                <w14:ligatures w14:val="standardContextual"/>
              </w:rPr>
              <w:tab/>
            </w:r>
            <w:r w:rsidRPr="008F6C30">
              <w:rPr>
                <w:rStyle w:val="Hyperlink"/>
                <w:noProof/>
              </w:rPr>
              <w:t>Disputes concerning content of records</w:t>
            </w:r>
            <w:r>
              <w:rPr>
                <w:noProof/>
                <w:webHidden/>
              </w:rPr>
              <w:tab/>
            </w:r>
            <w:r>
              <w:rPr>
                <w:noProof/>
                <w:webHidden/>
              </w:rPr>
              <w:fldChar w:fldCharType="begin"/>
            </w:r>
            <w:r>
              <w:rPr>
                <w:noProof/>
                <w:webHidden/>
              </w:rPr>
              <w:instrText xml:space="preserve"> PAGEREF _Toc215131205 \h </w:instrText>
            </w:r>
            <w:r>
              <w:rPr>
                <w:noProof/>
                <w:webHidden/>
              </w:rPr>
            </w:r>
            <w:r>
              <w:rPr>
                <w:noProof/>
                <w:webHidden/>
              </w:rPr>
              <w:fldChar w:fldCharType="separate"/>
            </w:r>
            <w:r>
              <w:rPr>
                <w:noProof/>
                <w:webHidden/>
              </w:rPr>
              <w:t>16</w:t>
            </w:r>
            <w:r>
              <w:rPr>
                <w:noProof/>
                <w:webHidden/>
              </w:rPr>
              <w:fldChar w:fldCharType="end"/>
            </w:r>
          </w:hyperlink>
        </w:p>
        <w:p w14:paraId="7C675AC0" w14:textId="71B5000C"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6" w:history="1">
            <w:r w:rsidRPr="008F6C30">
              <w:rPr>
                <w:rStyle w:val="Hyperlink"/>
                <w:noProof/>
              </w:rPr>
              <w:t>18</w:t>
            </w:r>
            <w:r>
              <w:rPr>
                <w:rFonts w:asciiTheme="minorHAnsi" w:eastAsiaTheme="minorEastAsia" w:hAnsiTheme="minorHAnsi" w:cstheme="minorBidi"/>
                <w:b w:val="0"/>
                <w:bCs w:val="0"/>
                <w:caps w:val="0"/>
                <w:noProof/>
                <w:kern w:val="2"/>
                <w14:ligatures w14:val="standardContextual"/>
              </w:rPr>
              <w:tab/>
            </w:r>
            <w:r w:rsidRPr="008F6C30">
              <w:rPr>
                <w:rStyle w:val="Hyperlink"/>
                <w:noProof/>
              </w:rPr>
              <w:t>Complaints</w:t>
            </w:r>
            <w:r>
              <w:rPr>
                <w:noProof/>
                <w:webHidden/>
              </w:rPr>
              <w:tab/>
            </w:r>
            <w:r>
              <w:rPr>
                <w:noProof/>
                <w:webHidden/>
              </w:rPr>
              <w:fldChar w:fldCharType="begin"/>
            </w:r>
            <w:r>
              <w:rPr>
                <w:noProof/>
                <w:webHidden/>
              </w:rPr>
              <w:instrText xml:space="preserve"> PAGEREF _Toc215131206 \h </w:instrText>
            </w:r>
            <w:r>
              <w:rPr>
                <w:noProof/>
                <w:webHidden/>
              </w:rPr>
            </w:r>
            <w:r>
              <w:rPr>
                <w:noProof/>
                <w:webHidden/>
              </w:rPr>
              <w:fldChar w:fldCharType="separate"/>
            </w:r>
            <w:r>
              <w:rPr>
                <w:noProof/>
                <w:webHidden/>
              </w:rPr>
              <w:t>16</w:t>
            </w:r>
            <w:r>
              <w:rPr>
                <w:noProof/>
                <w:webHidden/>
              </w:rPr>
              <w:fldChar w:fldCharType="end"/>
            </w:r>
          </w:hyperlink>
        </w:p>
        <w:p w14:paraId="241171BC" w14:textId="585BB23E" w:rsidR="0040789A" w:rsidRDefault="0040789A">
          <w:pPr>
            <w:pStyle w:val="TOC1"/>
            <w:rPr>
              <w:rFonts w:asciiTheme="minorHAnsi" w:eastAsiaTheme="minorEastAsia" w:hAnsiTheme="minorHAnsi" w:cstheme="minorBidi"/>
              <w:b w:val="0"/>
              <w:bCs w:val="0"/>
              <w:caps w:val="0"/>
              <w:noProof/>
              <w:kern w:val="2"/>
              <w14:ligatures w14:val="standardContextual"/>
            </w:rPr>
          </w:pPr>
          <w:hyperlink w:anchor="_Toc215131207" w:history="1">
            <w:r w:rsidRPr="008F6C30">
              <w:rPr>
                <w:rStyle w:val="Hyperlink"/>
                <w:noProof/>
              </w:rPr>
              <w:t>19</w:t>
            </w:r>
            <w:r>
              <w:rPr>
                <w:rFonts w:asciiTheme="minorHAnsi" w:eastAsiaTheme="minorEastAsia" w:hAnsiTheme="minorHAnsi" w:cstheme="minorBidi"/>
                <w:b w:val="0"/>
                <w:bCs w:val="0"/>
                <w:caps w:val="0"/>
                <w:noProof/>
                <w:kern w:val="2"/>
                <w14:ligatures w14:val="standardContextual"/>
              </w:rPr>
              <w:tab/>
            </w:r>
            <w:r w:rsidRPr="008F6C30">
              <w:rPr>
                <w:rStyle w:val="Hyperlink"/>
                <w:noProof/>
              </w:rPr>
              <w:t>Care Quality Commission (CQC)</w:t>
            </w:r>
            <w:r>
              <w:rPr>
                <w:noProof/>
                <w:webHidden/>
              </w:rPr>
              <w:tab/>
            </w:r>
            <w:r>
              <w:rPr>
                <w:noProof/>
                <w:webHidden/>
              </w:rPr>
              <w:fldChar w:fldCharType="begin"/>
            </w:r>
            <w:r>
              <w:rPr>
                <w:noProof/>
                <w:webHidden/>
              </w:rPr>
              <w:instrText xml:space="preserve"> PAGEREF _Toc215131207 \h </w:instrText>
            </w:r>
            <w:r>
              <w:rPr>
                <w:noProof/>
                <w:webHidden/>
              </w:rPr>
            </w:r>
            <w:r>
              <w:rPr>
                <w:noProof/>
                <w:webHidden/>
              </w:rPr>
              <w:fldChar w:fldCharType="separate"/>
            </w:r>
            <w:r>
              <w:rPr>
                <w:noProof/>
                <w:webHidden/>
              </w:rPr>
              <w:t>17</w:t>
            </w:r>
            <w:r>
              <w:rPr>
                <w:noProof/>
                <w:webHidden/>
              </w:rPr>
              <w:fldChar w:fldCharType="end"/>
            </w:r>
          </w:hyperlink>
        </w:p>
        <w:p w14:paraId="4C45080C" w14:textId="71DDE20F" w:rsidR="0040789A" w:rsidRDefault="0040789A">
          <w:pPr>
            <w:pStyle w:val="TOC2"/>
            <w:rPr>
              <w:rFonts w:asciiTheme="minorHAnsi" w:eastAsiaTheme="minorEastAsia" w:hAnsiTheme="minorHAnsi" w:cstheme="minorBidi"/>
              <w:b w:val="0"/>
              <w:bCs w:val="0"/>
              <w:noProof/>
              <w:kern w:val="2"/>
              <w:sz w:val="24"/>
              <w:szCs w:val="24"/>
              <w14:ligatures w14:val="standardContextual"/>
            </w:rPr>
          </w:pPr>
          <w:hyperlink w:anchor="_Toc215131208" w:history="1">
            <w:r w:rsidRPr="008F6C30">
              <w:rPr>
                <w:rStyle w:val="Hyperlink"/>
                <w:rFonts w:ascii="Arial" w:eastAsia="Arial" w:hAnsi="Arial" w:cs="Arial"/>
                <w:noProof/>
              </w:rPr>
              <w:t>19.1</w:t>
            </w:r>
            <w:r>
              <w:rPr>
                <w:rFonts w:asciiTheme="minorHAnsi" w:eastAsiaTheme="minorEastAsia" w:hAnsiTheme="minorHAnsi" w:cstheme="minorBidi"/>
                <w:b w:val="0"/>
                <w:bCs w:val="0"/>
                <w:noProof/>
                <w:kern w:val="2"/>
                <w:sz w:val="24"/>
                <w:szCs w:val="24"/>
                <w14:ligatures w14:val="standardContextual"/>
              </w:rPr>
              <w:tab/>
            </w:r>
            <w:r w:rsidRPr="008F6C30">
              <w:rPr>
                <w:rStyle w:val="Hyperlink"/>
                <w:rFonts w:ascii="Arial" w:eastAsia="Arial" w:hAnsi="Arial" w:cs="Arial"/>
                <w:noProof/>
              </w:rPr>
              <w:t>Access to medical records during an assessment</w:t>
            </w:r>
            <w:r>
              <w:rPr>
                <w:noProof/>
                <w:webHidden/>
              </w:rPr>
              <w:tab/>
            </w:r>
            <w:r>
              <w:rPr>
                <w:noProof/>
                <w:webHidden/>
              </w:rPr>
              <w:fldChar w:fldCharType="begin"/>
            </w:r>
            <w:r>
              <w:rPr>
                <w:noProof/>
                <w:webHidden/>
              </w:rPr>
              <w:instrText xml:space="preserve"> PAGEREF _Toc215131208 \h </w:instrText>
            </w:r>
            <w:r>
              <w:rPr>
                <w:noProof/>
                <w:webHidden/>
              </w:rPr>
            </w:r>
            <w:r>
              <w:rPr>
                <w:noProof/>
                <w:webHidden/>
              </w:rPr>
              <w:fldChar w:fldCharType="separate"/>
            </w:r>
            <w:r>
              <w:rPr>
                <w:noProof/>
                <w:webHidden/>
              </w:rPr>
              <w:t>17</w:t>
            </w:r>
            <w:r>
              <w:rPr>
                <w:noProof/>
                <w:webHidden/>
              </w:rPr>
              <w:fldChar w:fldCharType="end"/>
            </w:r>
          </w:hyperlink>
        </w:p>
        <w:p w14:paraId="0E326A2F" w14:textId="0F528A88" w:rsidR="00CB21BC" w:rsidRDefault="00414D55">
          <w:pPr>
            <w:pBdr>
              <w:top w:val="nil"/>
              <w:left w:val="nil"/>
              <w:bottom w:val="nil"/>
              <w:right w:val="nil"/>
              <w:between w:val="nil"/>
            </w:pBdr>
            <w:tabs>
              <w:tab w:val="left" w:pos="480"/>
              <w:tab w:val="right" w:pos="9010"/>
            </w:tabs>
            <w:spacing w:before="360"/>
          </w:pPr>
          <w:r>
            <w:fldChar w:fldCharType="end"/>
          </w:r>
        </w:p>
        <w:p w14:paraId="0000004E" w14:textId="1A6CC580" w:rsidR="00414D55" w:rsidRPr="00CB21BC" w:rsidRDefault="00CB21BC" w:rsidP="00CB21BC">
          <w:r>
            <w:br w:type="page"/>
          </w:r>
        </w:p>
      </w:sdtContent>
    </w:sdt>
    <w:p w14:paraId="0000004F" w14:textId="11328461" w:rsidR="00414D55" w:rsidRPr="00CB21BC" w:rsidRDefault="004C1F5A" w:rsidP="00CB21BC">
      <w:pPr>
        <w:pStyle w:val="Heading1"/>
        <w:keepLines/>
        <w:numPr>
          <w:ilvl w:val="0"/>
          <w:numId w:val="1"/>
        </w:numPr>
        <w:pBdr>
          <w:bottom w:val="single" w:sz="4" w:space="1" w:color="595959"/>
        </w:pBdr>
        <w:spacing w:before="360" w:after="160" w:line="259" w:lineRule="auto"/>
        <w:rPr>
          <w:sz w:val="28"/>
          <w:szCs w:val="28"/>
        </w:rPr>
      </w:pPr>
      <w:bookmarkStart w:id="0" w:name="_Toc215131161"/>
      <w:r w:rsidRPr="00CB21BC">
        <w:rPr>
          <w:sz w:val="28"/>
          <w:szCs w:val="28"/>
        </w:rPr>
        <w:lastRenderedPageBreak/>
        <w:t>Introduction</w:t>
      </w:r>
      <w:bookmarkEnd w:id="0"/>
    </w:p>
    <w:p w14:paraId="00000050" w14:textId="77777777" w:rsidR="00414D55" w:rsidRDefault="004C1F5A">
      <w:pPr>
        <w:pStyle w:val="Heading2"/>
        <w:numPr>
          <w:ilvl w:val="1"/>
          <w:numId w:val="1"/>
        </w:numPr>
        <w:rPr>
          <w:rFonts w:ascii="Arial" w:eastAsia="Arial" w:hAnsi="Arial" w:cs="Arial"/>
          <w:smallCaps w:val="0"/>
          <w:sz w:val="24"/>
          <w:szCs w:val="24"/>
        </w:rPr>
      </w:pPr>
      <w:bookmarkStart w:id="1" w:name="_Toc215131162"/>
      <w:r>
        <w:rPr>
          <w:rFonts w:ascii="Arial" w:eastAsia="Arial" w:hAnsi="Arial" w:cs="Arial"/>
          <w:smallCaps w:val="0"/>
          <w:sz w:val="24"/>
          <w:szCs w:val="24"/>
        </w:rPr>
        <w:t>Policy statement</w:t>
      </w:r>
      <w:bookmarkEnd w:id="1"/>
    </w:p>
    <w:p w14:paraId="00000051" w14:textId="77777777" w:rsidR="00414D55" w:rsidRDefault="00414D55"/>
    <w:p w14:paraId="00000052" w14:textId="19819D98" w:rsidR="00414D55" w:rsidRDefault="004C1F5A">
      <w:pPr>
        <w:rPr>
          <w:rFonts w:ascii="Arial" w:eastAsia="Arial" w:hAnsi="Arial" w:cs="Arial"/>
          <w:sz w:val="22"/>
          <w:szCs w:val="22"/>
        </w:rPr>
      </w:pPr>
      <w:r>
        <w:rPr>
          <w:rFonts w:ascii="Arial" w:eastAsia="Arial" w:hAnsi="Arial" w:cs="Arial"/>
          <w:sz w:val="22"/>
          <w:szCs w:val="22"/>
        </w:rPr>
        <w:t xml:space="preserve">The purpose of this document is to ensure appropriate procedures are in place at </w:t>
      </w:r>
      <w:r w:rsidR="0050197A">
        <w:rPr>
          <w:rFonts w:ascii="Arial" w:eastAsia="Arial" w:hAnsi="Arial" w:cs="Arial"/>
          <w:sz w:val="22"/>
          <w:szCs w:val="22"/>
        </w:rPr>
        <w:t>The Empingham Medical Centre</w:t>
      </w:r>
      <w:r>
        <w:rPr>
          <w:rFonts w:ascii="Arial" w:eastAsia="Arial" w:hAnsi="Arial" w:cs="Arial"/>
          <w:sz w:val="22"/>
          <w:szCs w:val="22"/>
        </w:rPr>
        <w:t xml:space="preserve"> to enable individuals to apply for access to health records, and to enable authorised individuals to apply for access to information held about other people by making a subject access request (SAR).</w:t>
      </w:r>
    </w:p>
    <w:p w14:paraId="00000053" w14:textId="77777777" w:rsidR="00414D55" w:rsidRDefault="00414D55">
      <w:pPr>
        <w:rPr>
          <w:rFonts w:ascii="Arial" w:eastAsia="Arial" w:hAnsi="Arial" w:cs="Arial"/>
          <w:sz w:val="22"/>
          <w:szCs w:val="22"/>
        </w:rPr>
      </w:pPr>
    </w:p>
    <w:p w14:paraId="00000054" w14:textId="77777777" w:rsidR="00414D55" w:rsidRDefault="004C1F5A">
      <w:pPr>
        <w:rPr>
          <w:rFonts w:ascii="Arial" w:eastAsia="Arial" w:hAnsi="Arial" w:cs="Arial"/>
          <w:sz w:val="22"/>
          <w:szCs w:val="22"/>
        </w:rPr>
      </w:pPr>
      <w:r>
        <w:rPr>
          <w:rFonts w:ascii="Arial" w:eastAsia="Arial" w:hAnsi="Arial" w:cs="Arial"/>
          <w:sz w:val="22"/>
          <w:szCs w:val="22"/>
        </w:rPr>
        <w:t>Failure to comply with the policy and any associated breaches of patient data or confidentiality could lead to prosecution or the imposition of penalties by the Information Commissioner’s Office (ICO). Access to medical records can be provided via:</w:t>
      </w:r>
    </w:p>
    <w:p w14:paraId="00000055" w14:textId="77777777" w:rsidR="00414D55" w:rsidRDefault="00414D55">
      <w:pPr>
        <w:rPr>
          <w:rFonts w:ascii="Arial" w:eastAsia="Arial" w:hAnsi="Arial" w:cs="Arial"/>
          <w:sz w:val="22"/>
          <w:szCs w:val="22"/>
        </w:rPr>
      </w:pPr>
    </w:p>
    <w:p w14:paraId="00000056" w14:textId="00621FD2" w:rsidR="00414D55" w:rsidRDefault="004C1F5A">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An online portal linked to the </w:t>
      </w:r>
      <w:r w:rsidR="0040789A">
        <w:rPr>
          <w:rFonts w:ascii="Arial" w:eastAsia="Arial" w:hAnsi="Arial" w:cs="Arial"/>
          <w:color w:val="000000"/>
          <w:sz w:val="22"/>
          <w:szCs w:val="22"/>
        </w:rPr>
        <w:t>Practice</w:t>
      </w:r>
      <w:r>
        <w:rPr>
          <w:rFonts w:ascii="Arial" w:eastAsia="Arial" w:hAnsi="Arial" w:cs="Arial"/>
          <w:color w:val="000000"/>
          <w:sz w:val="22"/>
          <w:szCs w:val="22"/>
        </w:rPr>
        <w:t xml:space="preserve">’s webpage </w:t>
      </w:r>
    </w:p>
    <w:p w14:paraId="00000057" w14:textId="77777777" w:rsidR="00414D55" w:rsidRDefault="004C1F5A">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variety of NHS approved apps</w:t>
      </w:r>
    </w:p>
    <w:p w14:paraId="6CD6F3EA" w14:textId="77777777" w:rsidR="0050197A" w:rsidRDefault="0050197A" w:rsidP="0050197A">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written SAR including email and/or through social media</w:t>
      </w:r>
    </w:p>
    <w:p w14:paraId="00000058" w14:textId="681184A5" w:rsidR="00414D55" w:rsidRDefault="004C1F5A">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verbal SAR </w:t>
      </w:r>
      <w:r w:rsidR="0050197A">
        <w:rPr>
          <w:rFonts w:ascii="Arial" w:eastAsia="Arial" w:hAnsi="Arial" w:cs="Arial"/>
          <w:color w:val="000000"/>
          <w:sz w:val="22"/>
          <w:szCs w:val="22"/>
        </w:rPr>
        <w:t xml:space="preserve">(although written in the </w:t>
      </w:r>
      <w:r w:rsidR="00D75E2F">
        <w:rPr>
          <w:rFonts w:ascii="Arial" w:eastAsia="Arial" w:hAnsi="Arial" w:cs="Arial"/>
          <w:color w:val="000000"/>
          <w:sz w:val="22"/>
          <w:szCs w:val="22"/>
        </w:rPr>
        <w:t>P</w:t>
      </w:r>
      <w:r w:rsidR="0050197A">
        <w:rPr>
          <w:rFonts w:ascii="Arial" w:eastAsia="Arial" w:hAnsi="Arial" w:cs="Arial"/>
          <w:color w:val="000000"/>
          <w:sz w:val="22"/>
          <w:szCs w:val="22"/>
        </w:rPr>
        <w:t>ractice’s preferred format)</w:t>
      </w:r>
    </w:p>
    <w:p w14:paraId="0000005A" w14:textId="77777777" w:rsidR="00414D55" w:rsidRDefault="00414D55">
      <w:pPr>
        <w:rPr>
          <w:rFonts w:ascii="Arial" w:eastAsia="Arial" w:hAnsi="Arial" w:cs="Arial"/>
          <w:sz w:val="22"/>
          <w:szCs w:val="22"/>
        </w:rPr>
      </w:pPr>
    </w:p>
    <w:p w14:paraId="0000005B" w14:textId="77777777" w:rsidR="00414D55" w:rsidRDefault="004C1F5A">
      <w:pPr>
        <w:rPr>
          <w:rFonts w:ascii="Arial" w:eastAsia="Arial" w:hAnsi="Arial" w:cs="Arial"/>
          <w:sz w:val="22"/>
          <w:szCs w:val="22"/>
        </w:rPr>
      </w:pPr>
      <w:r>
        <w:rPr>
          <w:rFonts w:ascii="Arial" w:eastAsia="Arial" w:hAnsi="Arial" w:cs="Arial"/>
          <w:sz w:val="22"/>
          <w:szCs w:val="22"/>
        </w:rPr>
        <w:t>This policy is written in conjunction with the following government legislation:</w:t>
      </w:r>
    </w:p>
    <w:p w14:paraId="0000005C" w14:textId="77777777" w:rsidR="00414D55" w:rsidRDefault="00414D55">
      <w:pPr>
        <w:rPr>
          <w:rFonts w:ascii="Arial" w:eastAsia="Arial" w:hAnsi="Arial" w:cs="Arial"/>
          <w:sz w:val="22"/>
          <w:szCs w:val="22"/>
        </w:rPr>
      </w:pPr>
    </w:p>
    <w:p w14:paraId="0000005D" w14:textId="77777777" w:rsidR="00414D55" w:rsidRDefault="00414D55">
      <w:pPr>
        <w:numPr>
          <w:ilvl w:val="0"/>
          <w:numId w:val="24"/>
        </w:numPr>
        <w:pBdr>
          <w:top w:val="nil"/>
          <w:left w:val="nil"/>
          <w:bottom w:val="nil"/>
          <w:right w:val="nil"/>
          <w:between w:val="nil"/>
        </w:pBdr>
        <w:rPr>
          <w:rFonts w:ascii="Arial" w:eastAsia="Arial" w:hAnsi="Arial" w:cs="Arial"/>
          <w:color w:val="000000"/>
          <w:sz w:val="22"/>
          <w:szCs w:val="22"/>
        </w:rPr>
      </w:pPr>
      <w:hyperlink r:id="rId8" w:anchor=":~:text=Access%20to%20Health%20Records%20Act%20%201990%20c.,arising%20out%20%20of%20the%20%20patient%27s%20death.">
        <w:r>
          <w:rPr>
            <w:rFonts w:ascii="Arial" w:eastAsia="Arial" w:hAnsi="Arial" w:cs="Arial"/>
            <w:color w:val="0563C1"/>
            <w:sz w:val="22"/>
            <w:szCs w:val="22"/>
            <w:u w:val="single"/>
          </w:rPr>
          <w:t>Access to Health Records Act 1990</w:t>
        </w:r>
      </w:hyperlink>
    </w:p>
    <w:p w14:paraId="0000005E" w14:textId="77777777" w:rsidR="00414D55" w:rsidRDefault="00414D55">
      <w:pPr>
        <w:numPr>
          <w:ilvl w:val="0"/>
          <w:numId w:val="24"/>
        </w:numPr>
        <w:pBdr>
          <w:top w:val="nil"/>
          <w:left w:val="nil"/>
          <w:bottom w:val="nil"/>
          <w:right w:val="nil"/>
          <w:between w:val="nil"/>
        </w:pBdr>
        <w:rPr>
          <w:rFonts w:ascii="Arial" w:eastAsia="Arial" w:hAnsi="Arial" w:cs="Arial"/>
          <w:color w:val="000000"/>
          <w:sz w:val="22"/>
          <w:szCs w:val="22"/>
        </w:rPr>
      </w:pPr>
      <w:hyperlink r:id="rId9">
        <w:r>
          <w:rPr>
            <w:rFonts w:ascii="Arial" w:eastAsia="Arial" w:hAnsi="Arial" w:cs="Arial"/>
            <w:color w:val="0563C1"/>
            <w:sz w:val="22"/>
            <w:szCs w:val="22"/>
            <w:u w:val="single"/>
          </w:rPr>
          <w:t>Access to Medical Reports Act 1988</w:t>
        </w:r>
      </w:hyperlink>
    </w:p>
    <w:p w14:paraId="0000005F" w14:textId="77777777" w:rsidR="00414D55" w:rsidRDefault="00414D55">
      <w:pPr>
        <w:numPr>
          <w:ilvl w:val="0"/>
          <w:numId w:val="24"/>
        </w:numPr>
        <w:pBdr>
          <w:top w:val="nil"/>
          <w:left w:val="nil"/>
          <w:bottom w:val="nil"/>
          <w:right w:val="nil"/>
          <w:between w:val="nil"/>
        </w:pBdr>
        <w:rPr>
          <w:rFonts w:ascii="Arial" w:eastAsia="Arial" w:hAnsi="Arial" w:cs="Arial"/>
          <w:color w:val="000000"/>
          <w:sz w:val="22"/>
          <w:szCs w:val="22"/>
        </w:rPr>
      </w:pPr>
      <w:hyperlink r:id="rId10">
        <w:r>
          <w:rPr>
            <w:rFonts w:ascii="Arial" w:eastAsia="Arial" w:hAnsi="Arial" w:cs="Arial"/>
            <w:color w:val="0563C1"/>
            <w:sz w:val="22"/>
            <w:szCs w:val="22"/>
            <w:u w:val="single"/>
          </w:rPr>
          <w:t>Data Protection Act 2018</w:t>
        </w:r>
      </w:hyperlink>
      <w:r>
        <w:rPr>
          <w:rFonts w:ascii="Arial" w:eastAsia="Arial" w:hAnsi="Arial" w:cs="Arial"/>
          <w:color w:val="000000"/>
          <w:sz w:val="22"/>
          <w:szCs w:val="22"/>
        </w:rPr>
        <w:t xml:space="preserve"> (incorporating the UK GDPR)</w:t>
      </w:r>
    </w:p>
    <w:p w14:paraId="00000060" w14:textId="77777777" w:rsidR="00414D55" w:rsidRDefault="00414D55">
      <w:pPr>
        <w:numPr>
          <w:ilvl w:val="0"/>
          <w:numId w:val="24"/>
        </w:numPr>
        <w:pBdr>
          <w:top w:val="nil"/>
          <w:left w:val="nil"/>
          <w:bottom w:val="nil"/>
          <w:right w:val="nil"/>
          <w:between w:val="nil"/>
        </w:pBdr>
        <w:rPr>
          <w:rFonts w:ascii="Arial" w:eastAsia="Arial" w:hAnsi="Arial" w:cs="Arial"/>
          <w:color w:val="000000"/>
          <w:sz w:val="22"/>
          <w:szCs w:val="22"/>
        </w:rPr>
      </w:pPr>
      <w:hyperlink r:id="rId11">
        <w:r>
          <w:rPr>
            <w:rFonts w:ascii="Arial" w:eastAsia="Arial" w:hAnsi="Arial" w:cs="Arial"/>
            <w:color w:val="0563C1"/>
            <w:sz w:val="22"/>
            <w:szCs w:val="22"/>
            <w:u w:val="single"/>
          </w:rPr>
          <w:t>Data (Use and Access Act 2025)</w:t>
        </w:r>
      </w:hyperlink>
      <w:r>
        <w:rPr>
          <w:rFonts w:ascii="Arial" w:eastAsia="Arial" w:hAnsi="Arial" w:cs="Arial"/>
          <w:color w:val="000000"/>
          <w:sz w:val="22"/>
          <w:szCs w:val="22"/>
        </w:rPr>
        <w:t xml:space="preserve"> </w:t>
      </w:r>
    </w:p>
    <w:p w14:paraId="00000061" w14:textId="77777777" w:rsidR="00414D55" w:rsidRDefault="00414D55">
      <w:pPr>
        <w:numPr>
          <w:ilvl w:val="0"/>
          <w:numId w:val="24"/>
        </w:numPr>
        <w:pBdr>
          <w:top w:val="nil"/>
          <w:left w:val="nil"/>
          <w:bottom w:val="nil"/>
          <w:right w:val="nil"/>
          <w:between w:val="nil"/>
        </w:pBdr>
        <w:rPr>
          <w:rFonts w:ascii="Arial" w:eastAsia="Arial" w:hAnsi="Arial" w:cs="Arial"/>
          <w:color w:val="000000"/>
          <w:sz w:val="22"/>
          <w:szCs w:val="22"/>
        </w:rPr>
      </w:pPr>
      <w:hyperlink r:id="rId12">
        <w:r>
          <w:rPr>
            <w:rFonts w:ascii="Arial" w:eastAsia="Arial" w:hAnsi="Arial" w:cs="Arial"/>
            <w:color w:val="0563C1"/>
            <w:sz w:val="22"/>
            <w:szCs w:val="22"/>
            <w:u w:val="single"/>
          </w:rPr>
          <w:t>Data Protection (Subject Access Modification) (Health) Order 2000</w:t>
        </w:r>
      </w:hyperlink>
    </w:p>
    <w:p w14:paraId="00000062" w14:textId="77777777" w:rsidR="00414D55" w:rsidRDefault="00414D55">
      <w:pPr>
        <w:numPr>
          <w:ilvl w:val="0"/>
          <w:numId w:val="24"/>
        </w:numPr>
        <w:pBdr>
          <w:top w:val="nil"/>
          <w:left w:val="nil"/>
          <w:bottom w:val="nil"/>
          <w:right w:val="nil"/>
          <w:between w:val="nil"/>
        </w:pBdr>
        <w:rPr>
          <w:rFonts w:ascii="Arial" w:eastAsia="Arial" w:hAnsi="Arial" w:cs="Arial"/>
          <w:color w:val="000000"/>
          <w:sz w:val="22"/>
          <w:szCs w:val="22"/>
        </w:rPr>
      </w:pPr>
      <w:hyperlink r:id="rId13">
        <w:r>
          <w:rPr>
            <w:rFonts w:ascii="Arial" w:eastAsia="Arial" w:hAnsi="Arial" w:cs="Arial"/>
            <w:color w:val="0563C1"/>
            <w:sz w:val="22"/>
            <w:szCs w:val="22"/>
            <w:u w:val="single"/>
          </w:rPr>
          <w:t>Mental Capacity Act 2005</w:t>
        </w:r>
      </w:hyperlink>
    </w:p>
    <w:p w14:paraId="00000063" w14:textId="77777777" w:rsidR="00414D55" w:rsidRDefault="00414D55">
      <w:pPr>
        <w:rPr>
          <w:rFonts w:ascii="Arial" w:eastAsia="Arial" w:hAnsi="Arial" w:cs="Arial"/>
          <w:sz w:val="22"/>
          <w:szCs w:val="22"/>
        </w:rPr>
      </w:pPr>
    </w:p>
    <w:p w14:paraId="00000064" w14:textId="77777777" w:rsidR="00414D55" w:rsidRDefault="004C1F5A">
      <w:pPr>
        <w:rPr>
          <w:rFonts w:ascii="Arial" w:eastAsia="Arial" w:hAnsi="Arial" w:cs="Arial"/>
          <w:sz w:val="22"/>
          <w:szCs w:val="22"/>
        </w:rPr>
      </w:pPr>
      <w:r>
        <w:rPr>
          <w:rFonts w:ascii="Arial" w:eastAsia="Arial" w:hAnsi="Arial" w:cs="Arial"/>
          <w:sz w:val="22"/>
          <w:szCs w:val="22"/>
        </w:rPr>
        <w:t>Throughout this document, references have been sourced from the ICO.</w:t>
      </w:r>
    </w:p>
    <w:p w14:paraId="00000065" w14:textId="77777777" w:rsidR="00414D55" w:rsidRDefault="004C1F5A">
      <w:pPr>
        <w:pStyle w:val="Heading2"/>
        <w:numPr>
          <w:ilvl w:val="1"/>
          <w:numId w:val="1"/>
        </w:numPr>
        <w:rPr>
          <w:rFonts w:ascii="Arial" w:eastAsia="Arial" w:hAnsi="Arial" w:cs="Arial"/>
          <w:smallCaps w:val="0"/>
          <w:sz w:val="24"/>
          <w:szCs w:val="24"/>
        </w:rPr>
      </w:pPr>
      <w:bookmarkStart w:id="2" w:name="_Toc215131163"/>
      <w:r>
        <w:rPr>
          <w:rFonts w:ascii="Arial" w:eastAsia="Arial" w:hAnsi="Arial" w:cs="Arial"/>
          <w:smallCaps w:val="0"/>
          <w:sz w:val="24"/>
          <w:szCs w:val="24"/>
        </w:rPr>
        <w:t>Status</w:t>
      </w:r>
      <w:bookmarkEnd w:id="2"/>
    </w:p>
    <w:p w14:paraId="00000066" w14:textId="77777777" w:rsidR="00414D55" w:rsidRDefault="00414D55">
      <w:pPr>
        <w:rPr>
          <w:rFonts w:ascii="Arial" w:eastAsia="Arial" w:hAnsi="Arial" w:cs="Arial"/>
          <w:sz w:val="22"/>
          <w:szCs w:val="22"/>
        </w:rPr>
      </w:pPr>
    </w:p>
    <w:p w14:paraId="00000067" w14:textId="6F82698E" w:rsidR="00414D55" w:rsidRDefault="004C1F5A">
      <w:pPr>
        <w:rPr>
          <w:rFonts w:ascii="Arial" w:eastAsia="Arial" w:hAnsi="Arial" w:cs="Arial"/>
          <w:sz w:val="22"/>
          <w:szCs w:val="22"/>
        </w:rPr>
      </w:pPr>
      <w:bookmarkStart w:id="3" w:name="_heading=h.kg3srrhzuuae" w:colFirst="0" w:colLast="0"/>
      <w:bookmarkEnd w:id="3"/>
      <w:r>
        <w:rPr>
          <w:rFonts w:ascii="Arial" w:eastAsia="Arial" w:hAnsi="Arial" w:cs="Arial"/>
          <w:sz w:val="22"/>
          <w:szCs w:val="22"/>
        </w:rPr>
        <w:t xml:space="preserve">In accordance with the </w:t>
      </w:r>
      <w:hyperlink r:id="rId14">
        <w:r w:rsidR="00414D55">
          <w:rPr>
            <w:rFonts w:ascii="Arial" w:eastAsia="Arial" w:hAnsi="Arial" w:cs="Arial"/>
            <w:color w:val="0563C1"/>
            <w:sz w:val="22"/>
            <w:szCs w:val="22"/>
            <w:u w:val="single"/>
          </w:rPr>
          <w:t>Equality Act 2010</w:t>
        </w:r>
      </w:hyperlink>
      <w:r>
        <w:rPr>
          <w:rFonts w:ascii="Arial" w:eastAsia="Arial" w:hAnsi="Arial" w:cs="Arial"/>
          <w:sz w:val="22"/>
          <w:szCs w:val="22"/>
        </w:rPr>
        <w:t xml:space="preserve">, we have considered how provisions within this policy might impact on different groups and individuals. This document and any procedures contained within it are non-contractual, which means they may be modified or withdrawn at any time. They apply to all employees and contractors working for the </w:t>
      </w:r>
      <w:r w:rsidR="0040789A">
        <w:rPr>
          <w:rFonts w:ascii="Arial" w:eastAsia="Arial" w:hAnsi="Arial" w:cs="Arial"/>
          <w:sz w:val="22"/>
          <w:szCs w:val="22"/>
        </w:rPr>
        <w:t>Practice</w:t>
      </w:r>
      <w:r>
        <w:rPr>
          <w:rFonts w:ascii="Arial" w:eastAsia="Arial" w:hAnsi="Arial" w:cs="Arial"/>
          <w:sz w:val="22"/>
          <w:szCs w:val="22"/>
        </w:rPr>
        <w:t>.</w:t>
      </w:r>
    </w:p>
    <w:p w14:paraId="00000068"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 w:name="_Toc215131164"/>
      <w:r>
        <w:rPr>
          <w:sz w:val="28"/>
          <w:szCs w:val="28"/>
        </w:rPr>
        <w:t>Right to access</w:t>
      </w:r>
      <w:bookmarkEnd w:id="4"/>
    </w:p>
    <w:p w14:paraId="00000069" w14:textId="77777777" w:rsidR="00414D55" w:rsidRDefault="00414D55">
      <w:pPr>
        <w:rPr>
          <w:rFonts w:ascii="Arial" w:eastAsia="Arial" w:hAnsi="Arial" w:cs="Arial"/>
          <w:sz w:val="22"/>
          <w:szCs w:val="22"/>
          <w:highlight w:val="white"/>
        </w:rPr>
      </w:pPr>
    </w:p>
    <w:p w14:paraId="0000006A" w14:textId="402F9910" w:rsidR="00414D55" w:rsidRDefault="004C1F5A">
      <w:pPr>
        <w:rPr>
          <w:rFonts w:ascii="Arial" w:eastAsia="Arial" w:hAnsi="Arial" w:cs="Arial"/>
          <w:sz w:val="22"/>
          <w:szCs w:val="22"/>
        </w:rPr>
      </w:pPr>
      <w:r>
        <w:rPr>
          <w:rFonts w:ascii="Arial" w:eastAsia="Arial" w:hAnsi="Arial" w:cs="Arial"/>
          <w:sz w:val="22"/>
          <w:szCs w:val="22"/>
        </w:rPr>
        <w:t>Th</w:t>
      </w:r>
      <w:r w:rsidR="0050197A">
        <w:rPr>
          <w:rFonts w:ascii="Arial" w:eastAsia="Arial" w:hAnsi="Arial" w:cs="Arial"/>
          <w:sz w:val="22"/>
          <w:szCs w:val="22"/>
        </w:rPr>
        <w:t>e Practice</w:t>
      </w:r>
      <w:r>
        <w:rPr>
          <w:rFonts w:ascii="Arial" w:eastAsia="Arial" w:hAnsi="Arial" w:cs="Arial"/>
          <w:sz w:val="22"/>
          <w:szCs w:val="22"/>
        </w:rPr>
        <w:t xml:space="preserve"> ensures that all patients are aware of their right to access their data and has privacy notices displayed in the following locations:</w:t>
      </w:r>
    </w:p>
    <w:p w14:paraId="0000006B" w14:textId="77777777" w:rsidR="00414D55" w:rsidRDefault="00414D55">
      <w:pPr>
        <w:rPr>
          <w:rFonts w:ascii="Arial" w:eastAsia="Arial" w:hAnsi="Arial" w:cs="Arial"/>
          <w:sz w:val="22"/>
          <w:szCs w:val="22"/>
        </w:rPr>
      </w:pPr>
    </w:p>
    <w:p w14:paraId="0000006C" w14:textId="77777777" w:rsidR="00414D55" w:rsidRDefault="004C1F5A">
      <w:pPr>
        <w:numPr>
          <w:ilvl w:val="0"/>
          <w:numId w:val="1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Waiting room</w:t>
      </w:r>
    </w:p>
    <w:p w14:paraId="0000006E" w14:textId="24DD2BCF" w:rsidR="00414D55" w:rsidRPr="0050197A" w:rsidRDefault="0040789A" w:rsidP="0050197A">
      <w:pPr>
        <w:numPr>
          <w:ilvl w:val="0"/>
          <w:numId w:val="1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Practice</w:t>
      </w:r>
      <w:r w:rsidR="004C1F5A">
        <w:rPr>
          <w:rFonts w:ascii="Arial" w:eastAsia="Arial" w:hAnsi="Arial" w:cs="Arial"/>
          <w:color w:val="000000"/>
          <w:sz w:val="22"/>
          <w:szCs w:val="22"/>
        </w:rPr>
        <w:t xml:space="preserve"> website</w:t>
      </w:r>
    </w:p>
    <w:p w14:paraId="0000006F" w14:textId="77777777" w:rsidR="00414D55" w:rsidRDefault="00414D55">
      <w:pPr>
        <w:pBdr>
          <w:top w:val="nil"/>
          <w:left w:val="nil"/>
          <w:bottom w:val="nil"/>
          <w:right w:val="nil"/>
          <w:between w:val="nil"/>
        </w:pBdr>
        <w:ind w:left="720"/>
        <w:rPr>
          <w:rFonts w:ascii="Arial" w:eastAsia="Arial" w:hAnsi="Arial" w:cs="Arial"/>
          <w:color w:val="000000"/>
        </w:rPr>
      </w:pPr>
    </w:p>
    <w:p w14:paraId="00000071" w14:textId="088EE93B" w:rsidR="00414D55" w:rsidRDefault="004C1F5A">
      <w:pPr>
        <w:rPr>
          <w:rFonts w:ascii="Arial" w:eastAsia="Arial" w:hAnsi="Arial" w:cs="Arial"/>
          <w:sz w:val="22"/>
          <w:szCs w:val="22"/>
        </w:rPr>
      </w:pPr>
      <w:r>
        <w:rPr>
          <w:rFonts w:ascii="Arial" w:eastAsia="Arial" w:hAnsi="Arial" w:cs="Arial"/>
          <w:sz w:val="22"/>
          <w:szCs w:val="22"/>
        </w:rPr>
        <w:t xml:space="preserve">To comply with the UK GDPR, all </w:t>
      </w:r>
      <w:r w:rsidR="0040789A">
        <w:rPr>
          <w:rFonts w:ascii="Arial" w:eastAsia="Arial" w:hAnsi="Arial" w:cs="Arial"/>
          <w:sz w:val="22"/>
          <w:szCs w:val="22"/>
        </w:rPr>
        <w:t>of the Practice’s</w:t>
      </w:r>
      <w:r>
        <w:rPr>
          <w:rFonts w:ascii="Arial" w:eastAsia="Arial" w:hAnsi="Arial" w:cs="Arial"/>
          <w:sz w:val="22"/>
          <w:szCs w:val="22"/>
        </w:rPr>
        <w:t xml:space="preserve"> privacy notices are written in a language that is understandable to all patients and meets the criteria detailed in Articles </w:t>
      </w:r>
      <w:hyperlink r:id="rId15">
        <w:r w:rsidR="00414D55">
          <w:rPr>
            <w:rFonts w:ascii="Arial" w:eastAsia="Arial" w:hAnsi="Arial" w:cs="Arial"/>
            <w:color w:val="0563C1"/>
            <w:sz w:val="22"/>
            <w:szCs w:val="22"/>
            <w:u w:val="single"/>
          </w:rPr>
          <w:t>12</w:t>
        </w:r>
      </w:hyperlink>
      <w:r>
        <w:rPr>
          <w:rFonts w:ascii="Arial" w:eastAsia="Arial" w:hAnsi="Arial" w:cs="Arial"/>
          <w:sz w:val="22"/>
          <w:szCs w:val="22"/>
        </w:rPr>
        <w:t xml:space="preserve">, </w:t>
      </w:r>
      <w:hyperlink r:id="rId16">
        <w:r w:rsidR="00414D55">
          <w:rPr>
            <w:rFonts w:ascii="Arial" w:eastAsia="Arial" w:hAnsi="Arial" w:cs="Arial"/>
            <w:color w:val="0563C1"/>
            <w:sz w:val="22"/>
            <w:szCs w:val="22"/>
            <w:u w:val="single"/>
          </w:rPr>
          <w:t>13</w:t>
        </w:r>
      </w:hyperlink>
      <w:r>
        <w:rPr>
          <w:rFonts w:ascii="Arial" w:eastAsia="Arial" w:hAnsi="Arial" w:cs="Arial"/>
          <w:sz w:val="22"/>
          <w:szCs w:val="22"/>
        </w:rPr>
        <w:t xml:space="preserve"> and </w:t>
      </w:r>
      <w:hyperlink r:id="rId17">
        <w:r w:rsidR="00414D55">
          <w:rPr>
            <w:rFonts w:ascii="Arial" w:eastAsia="Arial" w:hAnsi="Arial" w:cs="Arial"/>
            <w:color w:val="0563C1"/>
            <w:sz w:val="22"/>
            <w:szCs w:val="22"/>
            <w:u w:val="single"/>
          </w:rPr>
          <w:t>14</w:t>
        </w:r>
      </w:hyperlink>
      <w:r>
        <w:rPr>
          <w:rFonts w:ascii="Arial" w:eastAsia="Arial" w:hAnsi="Arial" w:cs="Arial"/>
          <w:sz w:val="22"/>
          <w:szCs w:val="22"/>
        </w:rPr>
        <w:t xml:space="preserve"> of the UK GDPR.</w:t>
      </w:r>
      <w:r w:rsidR="0050197A">
        <w:rPr>
          <w:rFonts w:ascii="Arial" w:eastAsia="Arial" w:hAnsi="Arial" w:cs="Arial"/>
          <w:sz w:val="22"/>
          <w:szCs w:val="22"/>
        </w:rPr>
        <w:t xml:space="preserve"> </w:t>
      </w:r>
      <w:r>
        <w:rPr>
          <w:rFonts w:ascii="Arial" w:eastAsia="Arial" w:hAnsi="Arial" w:cs="Arial"/>
          <w:sz w:val="22"/>
          <w:szCs w:val="22"/>
        </w:rPr>
        <w:t xml:space="preserve">The reason for granting access to data subjects is to enable them to verify the lawfulness of the processing of data held about them. In addition, data subjects can authorise third party access, e.g., for solicitors and insurers, under the UK GDPR. </w:t>
      </w:r>
    </w:p>
    <w:p w14:paraId="00000072" w14:textId="77777777" w:rsidR="00414D55" w:rsidRDefault="00414D55">
      <w:pPr>
        <w:rPr>
          <w:rFonts w:ascii="Arial" w:eastAsia="Arial" w:hAnsi="Arial" w:cs="Arial"/>
          <w:sz w:val="22"/>
          <w:szCs w:val="22"/>
        </w:rPr>
      </w:pPr>
    </w:p>
    <w:p w14:paraId="00000073" w14:textId="77777777" w:rsidR="00414D55" w:rsidRDefault="004C1F5A">
      <w:pPr>
        <w:rPr>
          <w:rFonts w:ascii="Arial" w:eastAsia="Arial" w:hAnsi="Arial" w:cs="Arial"/>
          <w:sz w:val="22"/>
          <w:szCs w:val="22"/>
        </w:rPr>
      </w:pPr>
      <w:r>
        <w:rPr>
          <w:rFonts w:ascii="Arial" w:eastAsia="Arial" w:hAnsi="Arial" w:cs="Arial"/>
          <w:sz w:val="22"/>
          <w:szCs w:val="22"/>
        </w:rPr>
        <w:t xml:space="preserve">Detailed information about access for third parties can be found at </w:t>
      </w:r>
      <w:hyperlink w:anchor="_heading=h.lbri6yp1vcot">
        <w:r w:rsidR="00414D55">
          <w:rPr>
            <w:rFonts w:ascii="Arial" w:eastAsia="Arial" w:hAnsi="Arial" w:cs="Arial"/>
            <w:color w:val="0563C1"/>
            <w:sz w:val="22"/>
            <w:szCs w:val="22"/>
            <w:u w:val="single"/>
          </w:rPr>
          <w:t>Section 10</w:t>
        </w:r>
      </w:hyperlink>
      <w:r>
        <w:rPr>
          <w:rFonts w:ascii="Arial" w:eastAsia="Arial" w:hAnsi="Arial" w:cs="Arial"/>
          <w:sz w:val="22"/>
          <w:szCs w:val="22"/>
        </w:rPr>
        <w:t>.</w:t>
      </w:r>
    </w:p>
    <w:p w14:paraId="00000074"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5" w:name="_Toc215131165"/>
      <w:r>
        <w:rPr>
          <w:sz w:val="28"/>
          <w:szCs w:val="28"/>
        </w:rPr>
        <w:lastRenderedPageBreak/>
        <w:t>Patient access to online medical records</w:t>
      </w:r>
      <w:bookmarkEnd w:id="5"/>
    </w:p>
    <w:p w14:paraId="00000075" w14:textId="77777777" w:rsidR="00414D55" w:rsidRDefault="004C1F5A">
      <w:pPr>
        <w:pStyle w:val="Heading2"/>
        <w:numPr>
          <w:ilvl w:val="1"/>
          <w:numId w:val="1"/>
        </w:numPr>
        <w:rPr>
          <w:rFonts w:ascii="Arial" w:eastAsia="Arial" w:hAnsi="Arial" w:cs="Arial"/>
          <w:smallCaps w:val="0"/>
          <w:sz w:val="24"/>
          <w:szCs w:val="24"/>
        </w:rPr>
      </w:pPr>
      <w:bookmarkStart w:id="6" w:name="_Toc215131166"/>
      <w:r>
        <w:rPr>
          <w:rFonts w:ascii="Arial" w:eastAsia="Arial" w:hAnsi="Arial" w:cs="Arial"/>
          <w:smallCaps w:val="0"/>
          <w:sz w:val="24"/>
          <w:szCs w:val="24"/>
        </w:rPr>
        <w:t>Registering for online services</w:t>
      </w:r>
      <w:bookmarkEnd w:id="6"/>
    </w:p>
    <w:p w14:paraId="00000076" w14:textId="77777777" w:rsidR="00414D55" w:rsidRDefault="00414D55"/>
    <w:p w14:paraId="00000077" w14:textId="57F28B19" w:rsidR="00414D55" w:rsidRDefault="004C1F5A">
      <w:pPr>
        <w:rPr>
          <w:rFonts w:ascii="Arial" w:eastAsia="Arial" w:hAnsi="Arial" w:cs="Arial"/>
          <w:color w:val="000000"/>
          <w:sz w:val="22"/>
          <w:szCs w:val="22"/>
        </w:rPr>
      </w:pPr>
      <w:r>
        <w:rPr>
          <w:rFonts w:ascii="Arial" w:eastAsia="Arial" w:hAnsi="Arial" w:cs="Arial"/>
          <w:sz w:val="22"/>
          <w:szCs w:val="22"/>
        </w:rPr>
        <w:t>At th</w:t>
      </w:r>
      <w:r w:rsidR="0050197A">
        <w:rPr>
          <w:rFonts w:ascii="Arial" w:eastAsia="Arial" w:hAnsi="Arial" w:cs="Arial"/>
          <w:sz w:val="22"/>
          <w:szCs w:val="22"/>
        </w:rPr>
        <w:t>e Empingham Medical centre</w:t>
      </w:r>
      <w:r>
        <w:rPr>
          <w:rFonts w:ascii="Arial" w:eastAsia="Arial" w:hAnsi="Arial" w:cs="Arial"/>
          <w:sz w:val="22"/>
          <w:szCs w:val="22"/>
        </w:rPr>
        <w:t xml:space="preserve">, staff are to remind patients that GP online services are free and available to all registered patients.  </w:t>
      </w:r>
      <w:r>
        <w:rPr>
          <w:rFonts w:ascii="Arial" w:eastAsia="Arial" w:hAnsi="Arial" w:cs="Arial"/>
          <w:color w:val="000000"/>
          <w:sz w:val="22"/>
          <w:szCs w:val="22"/>
        </w:rPr>
        <w:t xml:space="preserve">NHS England has published a number of </w:t>
      </w:r>
      <w:hyperlink r:id="rId18">
        <w:r w:rsidR="00414D55">
          <w:rPr>
            <w:rFonts w:ascii="Arial" w:eastAsia="Arial" w:hAnsi="Arial" w:cs="Arial"/>
            <w:color w:val="0563C1"/>
            <w:sz w:val="22"/>
            <w:szCs w:val="22"/>
            <w:u w:val="single"/>
          </w:rPr>
          <w:t>guides and leaflets</w:t>
        </w:r>
      </w:hyperlink>
      <w:r>
        <w:rPr>
          <w:rFonts w:ascii="Arial" w:eastAsia="Arial" w:hAnsi="Arial" w:cs="Arial"/>
          <w:color w:val="000000"/>
          <w:sz w:val="22"/>
          <w:szCs w:val="22"/>
        </w:rPr>
        <w:t xml:space="preserve"> that provide further detailed information about how patients can access their health record online. Guidance for staff is </w:t>
      </w:r>
      <w:hyperlink r:id="rId19">
        <w:r w:rsidR="00414D55">
          <w:rPr>
            <w:rFonts w:ascii="Arial" w:eastAsia="Arial" w:hAnsi="Arial" w:cs="Arial"/>
            <w:color w:val="0563C1"/>
            <w:sz w:val="22"/>
            <w:szCs w:val="22"/>
            <w:u w:val="single"/>
          </w:rPr>
          <w:t>accessible here</w:t>
        </w:r>
      </w:hyperlink>
      <w:r>
        <w:rPr>
          <w:rFonts w:ascii="Arial" w:eastAsia="Arial" w:hAnsi="Arial" w:cs="Arial"/>
          <w:color w:val="000000"/>
          <w:sz w:val="22"/>
          <w:szCs w:val="22"/>
        </w:rPr>
        <w:t xml:space="preserve">. </w:t>
      </w:r>
    </w:p>
    <w:p w14:paraId="00000078" w14:textId="77777777" w:rsidR="00414D55" w:rsidRDefault="004C1F5A">
      <w:pPr>
        <w:rPr>
          <w:rFonts w:ascii="Arial" w:eastAsia="Arial" w:hAnsi="Arial" w:cs="Arial"/>
          <w:sz w:val="22"/>
          <w:szCs w:val="22"/>
          <w:highlight w:val="yellow"/>
        </w:rPr>
      </w:pPr>
      <w:r>
        <w:rPr>
          <w:rFonts w:ascii="Arial" w:eastAsia="Arial" w:hAnsi="Arial" w:cs="Arial"/>
          <w:color w:val="000000"/>
          <w:sz w:val="22"/>
          <w:szCs w:val="22"/>
          <w:highlight w:val="yellow"/>
        </w:rPr>
        <w:t xml:space="preserve"> </w:t>
      </w:r>
    </w:p>
    <w:p w14:paraId="0000007A" w14:textId="136EFFEE" w:rsidR="00414D55" w:rsidRDefault="004C1F5A">
      <w:pPr>
        <w:rPr>
          <w:rFonts w:ascii="Arial" w:eastAsia="Arial" w:hAnsi="Arial" w:cs="Arial"/>
          <w:sz w:val="22"/>
          <w:szCs w:val="22"/>
        </w:rPr>
      </w:pPr>
      <w:r>
        <w:rPr>
          <w:rFonts w:ascii="Arial" w:eastAsia="Arial" w:hAnsi="Arial" w:cs="Arial"/>
          <w:sz w:val="22"/>
          <w:szCs w:val="22"/>
        </w:rPr>
        <w:t xml:space="preserve">Patients who wish to register for online services to </w:t>
      </w:r>
      <w:r w:rsidR="0050197A">
        <w:rPr>
          <w:rFonts w:ascii="Arial" w:eastAsia="Arial" w:hAnsi="Arial" w:cs="Arial"/>
          <w:sz w:val="22"/>
          <w:szCs w:val="22"/>
        </w:rPr>
        <w:t>check</w:t>
      </w:r>
      <w:r>
        <w:rPr>
          <w:rFonts w:ascii="Arial" w:eastAsia="Arial" w:hAnsi="Arial" w:cs="Arial"/>
          <w:sz w:val="22"/>
          <w:szCs w:val="22"/>
        </w:rPr>
        <w:t xml:space="preserve"> or cancel appointments, order repeat prescriptions and view their medical records and clinical correspondence online are to complete </w:t>
      </w:r>
      <w:r w:rsidR="0050197A">
        <w:rPr>
          <w:rFonts w:ascii="Arial" w:eastAsia="Arial" w:hAnsi="Arial" w:cs="Arial"/>
          <w:sz w:val="22"/>
          <w:szCs w:val="22"/>
        </w:rPr>
        <w:t>our</w:t>
      </w:r>
      <w:r>
        <w:rPr>
          <w:rFonts w:ascii="Arial" w:eastAsia="Arial" w:hAnsi="Arial" w:cs="Arial"/>
          <w:sz w:val="22"/>
          <w:szCs w:val="22"/>
        </w:rPr>
        <w:t xml:space="preserve"> registration form</w:t>
      </w:r>
      <w:r w:rsidR="0050197A">
        <w:rPr>
          <w:rFonts w:ascii="Arial" w:eastAsia="Arial" w:hAnsi="Arial" w:cs="Arial"/>
          <w:sz w:val="22"/>
          <w:szCs w:val="22"/>
        </w:rPr>
        <w:t xml:space="preserve"> whilst providing photo ID.</w:t>
      </w:r>
    </w:p>
    <w:p w14:paraId="7C5E7C12" w14:textId="77777777" w:rsidR="0050197A" w:rsidRDefault="0050197A">
      <w:pPr>
        <w:rPr>
          <w:rFonts w:ascii="Arial" w:eastAsia="Arial" w:hAnsi="Arial" w:cs="Arial"/>
          <w:sz w:val="22"/>
          <w:szCs w:val="22"/>
          <w:highlight w:val="yellow"/>
        </w:rPr>
      </w:pPr>
    </w:p>
    <w:p w14:paraId="0000007D" w14:textId="56E7A704" w:rsidR="00414D55" w:rsidRDefault="004C1F5A">
      <w:pPr>
        <w:ind w:right="240"/>
        <w:rPr>
          <w:rFonts w:ascii="Arial" w:eastAsia="Arial" w:hAnsi="Arial" w:cs="Arial"/>
          <w:color w:val="000000"/>
          <w:sz w:val="22"/>
          <w:szCs w:val="22"/>
        </w:rPr>
      </w:pPr>
      <w:r>
        <w:rPr>
          <w:rFonts w:ascii="Arial" w:eastAsia="Arial" w:hAnsi="Arial" w:cs="Arial"/>
          <w:color w:val="000000"/>
          <w:sz w:val="22"/>
          <w:szCs w:val="22"/>
        </w:rPr>
        <w:t>For those patients unable to visit the</w:t>
      </w:r>
      <w:r w:rsidR="00037806">
        <w:rPr>
          <w:rFonts w:ascii="Arial" w:eastAsia="Arial" w:hAnsi="Arial" w:cs="Arial"/>
          <w:color w:val="000000"/>
          <w:sz w:val="22"/>
          <w:szCs w:val="22"/>
        </w:rPr>
        <w:t xml:space="preserve"> Practice</w:t>
      </w:r>
      <w:r>
        <w:rPr>
          <w:rFonts w:ascii="Arial" w:eastAsia="Arial" w:hAnsi="Arial" w:cs="Arial"/>
          <w:color w:val="000000"/>
          <w:sz w:val="22"/>
          <w:szCs w:val="22"/>
        </w:rPr>
        <w:t xml:space="preserve">, NHS Digital provides access to sign up for online services </w:t>
      </w:r>
      <w:hyperlink r:id="rId20">
        <w:r w:rsidR="00414D55">
          <w:rPr>
            <w:rFonts w:ascii="Arial" w:eastAsia="Arial" w:hAnsi="Arial" w:cs="Arial"/>
            <w:color w:val="0563C1"/>
            <w:sz w:val="22"/>
            <w:szCs w:val="22"/>
            <w:u w:val="single"/>
          </w:rPr>
          <w:t>here</w:t>
        </w:r>
      </w:hyperlink>
      <w:r>
        <w:rPr>
          <w:rFonts w:ascii="Arial" w:eastAsia="Arial" w:hAnsi="Arial" w:cs="Arial"/>
          <w:color w:val="000000"/>
          <w:sz w:val="22"/>
          <w:szCs w:val="22"/>
        </w:rPr>
        <w:t xml:space="preserve"> where there is a requirement to provide appropriate identification using a mobile phone as part of the process.</w:t>
      </w:r>
    </w:p>
    <w:p w14:paraId="0000007E" w14:textId="77777777" w:rsidR="00414D55" w:rsidRDefault="00414D55">
      <w:pPr>
        <w:ind w:right="240"/>
        <w:rPr>
          <w:rFonts w:ascii="Arial" w:eastAsia="Arial" w:hAnsi="Arial" w:cs="Arial"/>
          <w:sz w:val="22"/>
          <w:szCs w:val="22"/>
        </w:rPr>
      </w:pPr>
    </w:p>
    <w:p w14:paraId="00000081" w14:textId="12CA7E0D" w:rsidR="00414D55" w:rsidRDefault="004C1F5A">
      <w:pPr>
        <w:rPr>
          <w:rFonts w:ascii="Arial" w:eastAsia="Arial" w:hAnsi="Arial" w:cs="Arial"/>
          <w:sz w:val="22"/>
          <w:szCs w:val="22"/>
        </w:rPr>
      </w:pPr>
      <w:r>
        <w:rPr>
          <w:rFonts w:ascii="Arial" w:eastAsia="Arial" w:hAnsi="Arial" w:cs="Arial"/>
          <w:sz w:val="22"/>
          <w:szCs w:val="22"/>
        </w:rPr>
        <w:t xml:space="preserve">Unlike registration, </w:t>
      </w:r>
      <w:r w:rsidR="00037806">
        <w:rPr>
          <w:rFonts w:ascii="Arial" w:eastAsia="Arial" w:hAnsi="Arial" w:cs="Arial"/>
          <w:sz w:val="22"/>
          <w:szCs w:val="22"/>
        </w:rPr>
        <w:t xml:space="preserve">Photo </w:t>
      </w:r>
      <w:r>
        <w:rPr>
          <w:rFonts w:ascii="Arial" w:eastAsia="Arial" w:hAnsi="Arial" w:cs="Arial"/>
          <w:sz w:val="22"/>
          <w:szCs w:val="22"/>
        </w:rPr>
        <w:t xml:space="preserve">ID verification is required to ensure that online access is granted only to the patient or their authorised representative(s). </w:t>
      </w:r>
    </w:p>
    <w:p w14:paraId="00000082" w14:textId="77777777" w:rsidR="00414D55" w:rsidRDefault="00414D55">
      <w:pPr>
        <w:rPr>
          <w:rFonts w:ascii="Arial" w:eastAsia="Arial" w:hAnsi="Arial" w:cs="Arial"/>
          <w:sz w:val="22"/>
          <w:szCs w:val="22"/>
        </w:rPr>
      </w:pPr>
    </w:p>
    <w:p w14:paraId="00000083" w14:textId="3415D012" w:rsidR="00414D55" w:rsidRDefault="004C1F5A">
      <w:pPr>
        <w:rPr>
          <w:rFonts w:ascii="Arial" w:eastAsia="Arial" w:hAnsi="Arial" w:cs="Arial"/>
          <w:sz w:val="22"/>
          <w:szCs w:val="22"/>
        </w:rPr>
      </w:pPr>
      <w:r>
        <w:rPr>
          <w:rFonts w:ascii="Arial" w:eastAsia="Arial" w:hAnsi="Arial" w:cs="Arial"/>
          <w:sz w:val="22"/>
          <w:szCs w:val="22"/>
        </w:rPr>
        <w:t>Completed documentation will be reviewed by the responsible</w:t>
      </w:r>
      <w:r w:rsidR="00037806">
        <w:rPr>
          <w:rFonts w:ascii="Arial" w:eastAsia="Arial" w:hAnsi="Arial" w:cs="Arial"/>
          <w:sz w:val="22"/>
          <w:szCs w:val="22"/>
        </w:rPr>
        <w:t xml:space="preserve"> person(s)</w:t>
      </w:r>
      <w:r>
        <w:rPr>
          <w:rFonts w:ascii="Arial" w:eastAsia="Arial" w:hAnsi="Arial" w:cs="Arial"/>
          <w:sz w:val="22"/>
          <w:szCs w:val="22"/>
        </w:rPr>
        <w:t xml:space="preserve"> for processing including the review of online records for third party references and any information that may cause harm or distress to the patient/applicant that may need to be hidden from online access using confidentiality policies (see </w:t>
      </w:r>
      <w:hyperlink w:anchor="_heading=h.gxfdvdtfcmub">
        <w:r w:rsidR="00414D55">
          <w:rPr>
            <w:rFonts w:ascii="Arial" w:eastAsia="Arial" w:hAnsi="Arial" w:cs="Arial"/>
            <w:color w:val="0563C1"/>
            <w:sz w:val="22"/>
            <w:szCs w:val="22"/>
            <w:u w:val="single"/>
          </w:rPr>
          <w:t>Third party information</w:t>
        </w:r>
      </w:hyperlink>
      <w:r>
        <w:rPr>
          <w:rFonts w:ascii="Arial" w:eastAsia="Arial" w:hAnsi="Arial" w:cs="Arial"/>
          <w:color w:val="0563C1"/>
          <w:sz w:val="22"/>
          <w:szCs w:val="22"/>
          <w:u w:val="single"/>
        </w:rPr>
        <w:t xml:space="preserve"> </w:t>
      </w:r>
      <w:r>
        <w:rPr>
          <w:rFonts w:ascii="Arial" w:eastAsia="Arial" w:hAnsi="Arial" w:cs="Arial"/>
          <w:color w:val="000000"/>
          <w:sz w:val="22"/>
          <w:szCs w:val="22"/>
        </w:rPr>
        <w:t xml:space="preserve">and </w:t>
      </w:r>
      <w:hyperlink w:anchor="_heading=h.np9bd7cqcr37">
        <w:r w:rsidR="00414D55">
          <w:rPr>
            <w:rFonts w:ascii="Arial" w:eastAsia="Arial" w:hAnsi="Arial" w:cs="Arial"/>
            <w:color w:val="0563C1"/>
            <w:sz w:val="22"/>
            <w:szCs w:val="22"/>
            <w:u w:val="single"/>
          </w:rPr>
          <w:t>Non-disclosure</w:t>
        </w:r>
      </w:hyperlink>
      <w:r>
        <w:rPr>
          <w:rFonts w:ascii="Arial" w:eastAsia="Arial" w:hAnsi="Arial" w:cs="Arial"/>
          <w:color w:val="0563C1"/>
          <w:sz w:val="22"/>
          <w:szCs w:val="22"/>
        </w:rPr>
        <w:t xml:space="preserve"> </w:t>
      </w:r>
      <w:r>
        <w:rPr>
          <w:rFonts w:ascii="Arial" w:eastAsia="Arial" w:hAnsi="Arial" w:cs="Arial"/>
          <w:color w:val="000000"/>
          <w:sz w:val="22"/>
          <w:szCs w:val="22"/>
        </w:rPr>
        <w:t>sections</w:t>
      </w:r>
      <w:r>
        <w:rPr>
          <w:rFonts w:ascii="Arial" w:eastAsia="Arial" w:hAnsi="Arial" w:cs="Arial"/>
          <w:sz w:val="22"/>
          <w:szCs w:val="22"/>
        </w:rPr>
        <w:t xml:space="preserve">). For all applications, requesters should be advised that it will often take several days to process any online service request.  </w:t>
      </w:r>
    </w:p>
    <w:p w14:paraId="00000084" w14:textId="77777777" w:rsidR="00414D55" w:rsidRDefault="004C1F5A">
      <w:pPr>
        <w:pStyle w:val="Heading2"/>
        <w:numPr>
          <w:ilvl w:val="1"/>
          <w:numId w:val="1"/>
        </w:numPr>
        <w:rPr>
          <w:rFonts w:ascii="Arial" w:eastAsia="Arial" w:hAnsi="Arial" w:cs="Arial"/>
          <w:smallCaps w:val="0"/>
          <w:sz w:val="24"/>
          <w:szCs w:val="24"/>
        </w:rPr>
      </w:pPr>
      <w:bookmarkStart w:id="7" w:name="_Toc215131167"/>
      <w:r>
        <w:rPr>
          <w:rFonts w:ascii="Arial" w:eastAsia="Arial" w:hAnsi="Arial" w:cs="Arial"/>
          <w:smallCaps w:val="0"/>
          <w:sz w:val="24"/>
          <w:szCs w:val="24"/>
        </w:rPr>
        <w:t>Post-registration</w:t>
      </w:r>
      <w:bookmarkEnd w:id="7"/>
      <w:r>
        <w:rPr>
          <w:rFonts w:ascii="Arial" w:eastAsia="Arial" w:hAnsi="Arial" w:cs="Arial"/>
          <w:smallCaps w:val="0"/>
          <w:sz w:val="24"/>
          <w:szCs w:val="24"/>
        </w:rPr>
        <w:t xml:space="preserve"> </w:t>
      </w:r>
    </w:p>
    <w:p w14:paraId="00000085" w14:textId="77777777" w:rsidR="00414D55" w:rsidRDefault="00414D55"/>
    <w:p w14:paraId="00000086" w14:textId="2780C5A5" w:rsidR="00414D55" w:rsidRDefault="004C1F5A">
      <w:pPr>
        <w:rPr>
          <w:rFonts w:ascii="Arial" w:eastAsia="Arial" w:hAnsi="Arial" w:cs="Arial"/>
          <w:sz w:val="22"/>
          <w:szCs w:val="22"/>
        </w:rPr>
      </w:pPr>
      <w:r>
        <w:rPr>
          <w:rFonts w:ascii="Arial" w:eastAsia="Arial" w:hAnsi="Arial" w:cs="Arial"/>
          <w:sz w:val="22"/>
          <w:szCs w:val="22"/>
        </w:rPr>
        <w:t xml:space="preserve">Once a patient has registered at the </w:t>
      </w:r>
      <w:r w:rsidR="00037806">
        <w:rPr>
          <w:rFonts w:ascii="Arial" w:eastAsia="Arial" w:hAnsi="Arial" w:cs="Arial"/>
          <w:sz w:val="22"/>
          <w:szCs w:val="22"/>
        </w:rPr>
        <w:t>Practice</w:t>
      </w:r>
      <w:r>
        <w:rPr>
          <w:rFonts w:ascii="Arial" w:eastAsia="Arial" w:hAnsi="Arial" w:cs="Arial"/>
          <w:sz w:val="22"/>
          <w:szCs w:val="22"/>
        </w:rPr>
        <w:t xml:space="preserve"> and the request has been processed, they are to be issued with a letter that includes their unique username, password and instructions how to access the online services. Only the completed registration form should be scanned into the individual’s healthcare record. </w:t>
      </w:r>
    </w:p>
    <w:p w14:paraId="00000087"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8" w:name="_Toc215131168"/>
      <w:r>
        <w:rPr>
          <w:sz w:val="28"/>
          <w:szCs w:val="28"/>
        </w:rPr>
        <w:t>Summary Care Records (SCR)</w:t>
      </w:r>
      <w:bookmarkEnd w:id="8"/>
    </w:p>
    <w:p w14:paraId="00000088" w14:textId="77777777" w:rsidR="00414D55" w:rsidRDefault="004C1F5A">
      <w:pPr>
        <w:pStyle w:val="Heading2"/>
        <w:numPr>
          <w:ilvl w:val="1"/>
          <w:numId w:val="1"/>
        </w:numPr>
        <w:rPr>
          <w:rFonts w:ascii="Arial" w:eastAsia="Arial" w:hAnsi="Arial" w:cs="Arial"/>
          <w:smallCaps w:val="0"/>
          <w:sz w:val="24"/>
          <w:szCs w:val="24"/>
        </w:rPr>
      </w:pPr>
      <w:bookmarkStart w:id="9" w:name="_Toc215131169"/>
      <w:r>
        <w:rPr>
          <w:rFonts w:ascii="Arial" w:eastAsia="Arial" w:hAnsi="Arial" w:cs="Arial"/>
          <w:smallCaps w:val="0"/>
          <w:sz w:val="24"/>
          <w:szCs w:val="24"/>
        </w:rPr>
        <w:t>Overview</w:t>
      </w:r>
      <w:bookmarkEnd w:id="9"/>
    </w:p>
    <w:p w14:paraId="00000089" w14:textId="77777777" w:rsidR="00414D55" w:rsidRDefault="00414D55">
      <w:pPr>
        <w:rPr>
          <w:rFonts w:ascii="Arial" w:eastAsia="Arial" w:hAnsi="Arial" w:cs="Arial"/>
          <w:color w:val="202A30"/>
          <w:sz w:val="22"/>
          <w:szCs w:val="22"/>
          <w:highlight w:val="white"/>
        </w:rPr>
      </w:pPr>
    </w:p>
    <w:p w14:paraId="0000008A" w14:textId="77777777" w:rsidR="00414D55" w:rsidRDefault="00414D55">
      <w:pPr>
        <w:rPr>
          <w:rFonts w:ascii="Arial" w:eastAsia="Arial" w:hAnsi="Arial" w:cs="Arial"/>
          <w:color w:val="202A30"/>
          <w:sz w:val="22"/>
          <w:szCs w:val="22"/>
          <w:highlight w:val="white"/>
        </w:rPr>
      </w:pPr>
      <w:hyperlink r:id="rId21">
        <w:r>
          <w:rPr>
            <w:rFonts w:ascii="Arial" w:eastAsia="Arial" w:hAnsi="Arial" w:cs="Arial"/>
            <w:color w:val="0563C1"/>
            <w:sz w:val="22"/>
            <w:szCs w:val="22"/>
            <w:highlight w:val="white"/>
            <w:u w:val="single"/>
          </w:rPr>
          <w:t>NHS England</w:t>
        </w:r>
      </w:hyperlink>
      <w:r>
        <w:rPr>
          <w:rFonts w:ascii="Arial" w:eastAsia="Arial" w:hAnsi="Arial" w:cs="Arial"/>
          <w:color w:val="202A30"/>
          <w:sz w:val="22"/>
          <w:szCs w:val="22"/>
          <w:highlight w:val="white"/>
        </w:rPr>
        <w:t xml:space="preserve"> explains that a Summary Care Record (SCR) is a national database that holds electronic records of patient information including current medication, allergies and reactions to medication, created from GP medical records. </w:t>
      </w:r>
      <w:hyperlink r:id="rId22">
        <w:r>
          <w:rPr>
            <w:rFonts w:ascii="Arial" w:eastAsia="Arial" w:hAnsi="Arial" w:cs="Arial"/>
            <w:color w:val="0563C1"/>
            <w:sz w:val="22"/>
            <w:szCs w:val="22"/>
            <w:u w:val="single"/>
          </w:rPr>
          <w:t>Additional information in the SCR</w:t>
        </w:r>
      </w:hyperlink>
      <w:r>
        <w:rPr>
          <w:rFonts w:ascii="Arial" w:eastAsia="Arial" w:hAnsi="Arial" w:cs="Arial"/>
          <w:sz w:val="22"/>
          <w:szCs w:val="22"/>
        </w:rPr>
        <w:t xml:space="preserve">, such as details of long-term conditions, significant medical history or specific communications needs, is now included by default for patients with a SCR unless they have previously told the NHS that they do not want this information to be shared. Additionally, COVID-19 related information will also </w:t>
      </w:r>
      <w:hyperlink r:id="rId23">
        <w:r>
          <w:rPr>
            <w:rFonts w:ascii="Arial" w:eastAsia="Arial" w:hAnsi="Arial" w:cs="Arial"/>
            <w:color w:val="0563C1"/>
            <w:sz w:val="22"/>
            <w:szCs w:val="22"/>
            <w:u w:val="single"/>
          </w:rPr>
          <w:t>be shared</w:t>
        </w:r>
      </w:hyperlink>
      <w:r>
        <w:rPr>
          <w:rFonts w:ascii="Arial" w:eastAsia="Arial" w:hAnsi="Arial" w:cs="Arial"/>
          <w:sz w:val="22"/>
          <w:szCs w:val="22"/>
        </w:rPr>
        <w:t xml:space="preserve">. </w:t>
      </w:r>
    </w:p>
    <w:p w14:paraId="0000008B" w14:textId="77777777" w:rsidR="00414D55" w:rsidRDefault="00414D55">
      <w:pPr>
        <w:rPr>
          <w:rFonts w:ascii="Arial" w:eastAsia="Arial" w:hAnsi="Arial" w:cs="Arial"/>
          <w:sz w:val="22"/>
          <w:szCs w:val="22"/>
        </w:rPr>
      </w:pPr>
    </w:p>
    <w:p w14:paraId="0000008C" w14:textId="77777777" w:rsidR="00414D55" w:rsidRDefault="004C1F5A">
      <w:pPr>
        <w:rPr>
          <w:rFonts w:ascii="Arial" w:eastAsia="Arial" w:hAnsi="Arial" w:cs="Arial"/>
          <w:sz w:val="22"/>
          <w:szCs w:val="22"/>
        </w:rPr>
      </w:pPr>
      <w:r>
        <w:rPr>
          <w:rFonts w:ascii="Arial" w:eastAsia="Arial" w:hAnsi="Arial" w:cs="Arial"/>
          <w:sz w:val="22"/>
          <w:szCs w:val="22"/>
        </w:rPr>
        <w:t xml:space="preserve">Should a patient not wish to have any additional information shared, they can complete the </w:t>
      </w:r>
      <w:hyperlink r:id="rId24">
        <w:r w:rsidR="00414D55">
          <w:rPr>
            <w:rFonts w:ascii="Arial" w:eastAsia="Arial" w:hAnsi="Arial" w:cs="Arial"/>
            <w:color w:val="0563C1"/>
            <w:sz w:val="22"/>
            <w:szCs w:val="22"/>
            <w:u w:val="single"/>
          </w:rPr>
          <w:t>SCR patient consent preference form</w:t>
        </w:r>
      </w:hyperlink>
      <w:r>
        <w:rPr>
          <w:rFonts w:ascii="Arial" w:eastAsia="Arial" w:hAnsi="Arial" w:cs="Arial"/>
          <w:sz w:val="22"/>
          <w:szCs w:val="22"/>
        </w:rPr>
        <w:t>.</w:t>
      </w:r>
    </w:p>
    <w:p w14:paraId="0000008D"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10" w:name="_Toc215131170"/>
      <w:r>
        <w:rPr>
          <w:sz w:val="28"/>
          <w:szCs w:val="28"/>
        </w:rPr>
        <w:lastRenderedPageBreak/>
        <w:t>Requests for medical information</w:t>
      </w:r>
      <w:bookmarkEnd w:id="10"/>
    </w:p>
    <w:p w14:paraId="0000008E" w14:textId="77777777" w:rsidR="00414D55" w:rsidRDefault="004C1F5A">
      <w:pPr>
        <w:pStyle w:val="Heading2"/>
        <w:numPr>
          <w:ilvl w:val="1"/>
          <w:numId w:val="1"/>
        </w:numPr>
        <w:rPr>
          <w:rFonts w:ascii="Arial" w:eastAsia="Arial" w:hAnsi="Arial" w:cs="Arial"/>
          <w:smallCaps w:val="0"/>
          <w:sz w:val="24"/>
          <w:szCs w:val="24"/>
        </w:rPr>
      </w:pPr>
      <w:bookmarkStart w:id="11" w:name="_Toc215131171"/>
      <w:r>
        <w:rPr>
          <w:rFonts w:ascii="Arial" w:eastAsia="Arial" w:hAnsi="Arial" w:cs="Arial"/>
          <w:smallCaps w:val="0"/>
          <w:sz w:val="24"/>
          <w:szCs w:val="24"/>
        </w:rPr>
        <w:t>About</w:t>
      </w:r>
      <w:bookmarkEnd w:id="11"/>
    </w:p>
    <w:p w14:paraId="0000008F" w14:textId="77777777" w:rsidR="00414D55" w:rsidRDefault="00414D55">
      <w:pPr>
        <w:rPr>
          <w:rFonts w:ascii="Arial" w:eastAsia="Arial" w:hAnsi="Arial" w:cs="Arial"/>
          <w:sz w:val="22"/>
          <w:szCs w:val="22"/>
        </w:rPr>
      </w:pPr>
    </w:p>
    <w:p w14:paraId="00000090" w14:textId="77F9F41D" w:rsidR="00414D55" w:rsidRDefault="004C1F5A">
      <w:pPr>
        <w:rPr>
          <w:rFonts w:ascii="Arial" w:eastAsia="Arial" w:hAnsi="Arial" w:cs="Arial"/>
          <w:sz w:val="22"/>
          <w:szCs w:val="22"/>
        </w:rPr>
      </w:pPr>
      <w:r>
        <w:rPr>
          <w:rFonts w:ascii="Arial" w:eastAsia="Arial" w:hAnsi="Arial" w:cs="Arial"/>
          <w:sz w:val="22"/>
          <w:szCs w:val="22"/>
        </w:rPr>
        <w:t xml:space="preserve">Most requests for medical information are made via a </w:t>
      </w:r>
      <w:r w:rsidR="00037806">
        <w:rPr>
          <w:rFonts w:ascii="Arial" w:eastAsia="Arial" w:hAnsi="Arial" w:cs="Arial"/>
          <w:sz w:val="22"/>
          <w:szCs w:val="22"/>
        </w:rPr>
        <w:t>Subject Access Request (</w:t>
      </w:r>
      <w:r>
        <w:rPr>
          <w:rFonts w:ascii="Arial" w:eastAsia="Arial" w:hAnsi="Arial" w:cs="Arial"/>
          <w:sz w:val="22"/>
          <w:szCs w:val="22"/>
        </w:rPr>
        <w:t>SAR</w:t>
      </w:r>
      <w:r w:rsidR="00037806">
        <w:rPr>
          <w:rFonts w:ascii="Arial" w:eastAsia="Arial" w:hAnsi="Arial" w:cs="Arial"/>
          <w:sz w:val="22"/>
          <w:szCs w:val="22"/>
        </w:rPr>
        <w:t>)</w:t>
      </w:r>
      <w:r>
        <w:rPr>
          <w:rFonts w:ascii="Arial" w:eastAsia="Arial" w:hAnsi="Arial" w:cs="Arial"/>
          <w:sz w:val="22"/>
          <w:szCs w:val="22"/>
        </w:rPr>
        <w:t xml:space="preserve"> and are usually from a patient or their representative. Requests may also be received from other sources such as private healthcare providers and this may be in the form of a letter detailing the patient’s consent to release the requested information. </w:t>
      </w:r>
    </w:p>
    <w:p w14:paraId="00000091" w14:textId="77777777" w:rsidR="00414D55" w:rsidRDefault="00414D55">
      <w:pPr>
        <w:rPr>
          <w:rFonts w:ascii="Arial" w:eastAsia="Arial" w:hAnsi="Arial" w:cs="Arial"/>
          <w:sz w:val="22"/>
          <w:szCs w:val="22"/>
        </w:rPr>
      </w:pPr>
    </w:p>
    <w:p w14:paraId="00000092" w14:textId="58C3AF2F" w:rsidR="00414D55" w:rsidRDefault="004C1F5A">
      <w:pPr>
        <w:rPr>
          <w:rFonts w:ascii="Arial" w:eastAsia="Arial" w:hAnsi="Arial" w:cs="Arial"/>
          <w:smallCaps/>
          <w:sz w:val="22"/>
          <w:szCs w:val="22"/>
        </w:rPr>
      </w:pPr>
      <w:r>
        <w:rPr>
          <w:rFonts w:ascii="Arial" w:eastAsia="Arial" w:hAnsi="Arial" w:cs="Arial"/>
          <w:sz w:val="22"/>
          <w:szCs w:val="22"/>
        </w:rPr>
        <w:t>To promote safer data protection working practices, upon receipt of any request and even with a signed consent form, th</w:t>
      </w:r>
      <w:r w:rsidR="0040789A">
        <w:rPr>
          <w:rFonts w:ascii="Arial" w:eastAsia="Arial" w:hAnsi="Arial" w:cs="Arial"/>
          <w:sz w:val="22"/>
          <w:szCs w:val="22"/>
        </w:rPr>
        <w:t>e Practice</w:t>
      </w:r>
      <w:r>
        <w:rPr>
          <w:rFonts w:ascii="Arial" w:eastAsia="Arial" w:hAnsi="Arial" w:cs="Arial"/>
          <w:sz w:val="22"/>
          <w:szCs w:val="22"/>
        </w:rPr>
        <w:t xml:space="preserve"> will contact the subject (patient) to confirm that this request is genuine.</w:t>
      </w:r>
    </w:p>
    <w:p w14:paraId="00000093" w14:textId="77777777" w:rsidR="00414D55" w:rsidRDefault="004C1F5A">
      <w:pPr>
        <w:pStyle w:val="Heading2"/>
        <w:numPr>
          <w:ilvl w:val="1"/>
          <w:numId w:val="1"/>
        </w:numPr>
        <w:rPr>
          <w:rFonts w:ascii="Arial" w:eastAsia="Arial" w:hAnsi="Arial" w:cs="Arial"/>
          <w:smallCaps w:val="0"/>
          <w:sz w:val="24"/>
          <w:szCs w:val="24"/>
        </w:rPr>
      </w:pPr>
      <w:bookmarkStart w:id="12" w:name="_Toc215131172"/>
      <w:r>
        <w:rPr>
          <w:rFonts w:ascii="Arial" w:eastAsia="Arial" w:hAnsi="Arial" w:cs="Arial"/>
          <w:smallCaps w:val="0"/>
          <w:sz w:val="24"/>
          <w:szCs w:val="24"/>
        </w:rPr>
        <w:t>Subject Access Requests (SAR) to medical records</w:t>
      </w:r>
      <w:bookmarkEnd w:id="12"/>
    </w:p>
    <w:p w14:paraId="00000094" w14:textId="77777777" w:rsidR="00414D55" w:rsidRDefault="00414D55">
      <w:pPr>
        <w:rPr>
          <w:rFonts w:ascii="Arial" w:eastAsia="Arial" w:hAnsi="Arial" w:cs="Arial"/>
          <w:color w:val="202A30"/>
          <w:sz w:val="22"/>
          <w:szCs w:val="22"/>
          <w:highlight w:val="white"/>
        </w:rPr>
      </w:pPr>
    </w:p>
    <w:p w14:paraId="00000095" w14:textId="77777777" w:rsidR="00414D55" w:rsidRDefault="004C1F5A">
      <w:pPr>
        <w:rPr>
          <w:rFonts w:ascii="Arial" w:eastAsia="Arial" w:hAnsi="Arial" w:cs="Arial"/>
          <w:color w:val="000000"/>
          <w:sz w:val="22"/>
          <w:szCs w:val="22"/>
        </w:rPr>
      </w:pPr>
      <w:r>
        <w:rPr>
          <w:rFonts w:ascii="Arial" w:eastAsia="Arial" w:hAnsi="Arial" w:cs="Arial"/>
          <w:color w:val="202A30"/>
          <w:sz w:val="22"/>
          <w:szCs w:val="22"/>
          <w:highlight w:val="white"/>
        </w:rPr>
        <w:t xml:space="preserve">In accordance with </w:t>
      </w:r>
      <w:hyperlink r:id="rId25">
        <w:r w:rsidR="00414D55">
          <w:rPr>
            <w:rFonts w:ascii="Arial" w:eastAsia="Arial" w:hAnsi="Arial" w:cs="Arial"/>
            <w:color w:val="0563C1"/>
            <w:sz w:val="22"/>
            <w:szCs w:val="22"/>
            <w:highlight w:val="white"/>
            <w:u w:val="single"/>
          </w:rPr>
          <w:t>Article 15 of the UK GDPR</w:t>
        </w:r>
      </w:hyperlink>
      <w:r>
        <w:rPr>
          <w:rFonts w:ascii="Arial" w:eastAsia="Arial" w:hAnsi="Arial" w:cs="Arial"/>
          <w:color w:val="000000"/>
          <w:sz w:val="22"/>
          <w:szCs w:val="22"/>
          <w:highlight w:val="white"/>
        </w:rPr>
        <w:t>,</w:t>
      </w:r>
      <w:r>
        <w:rPr>
          <w:rFonts w:ascii="Arial" w:eastAsia="Arial" w:hAnsi="Arial" w:cs="Arial"/>
          <w:color w:val="202A30"/>
          <w:sz w:val="22"/>
          <w:szCs w:val="22"/>
          <w:highlight w:val="white"/>
        </w:rPr>
        <w:t xml:space="preserve"> individuals have the right to access </w:t>
      </w:r>
    </w:p>
    <w:p w14:paraId="00000096" w14:textId="0FD2B8D6" w:rsidR="00414D55" w:rsidRDefault="004C1F5A">
      <w:pPr>
        <w:rPr>
          <w:rFonts w:ascii="Arial" w:eastAsia="Arial" w:hAnsi="Arial" w:cs="Arial"/>
          <w:color w:val="000000"/>
          <w:sz w:val="22"/>
          <w:szCs w:val="22"/>
        </w:rPr>
      </w:pPr>
      <w:r>
        <w:rPr>
          <w:rFonts w:ascii="Arial" w:eastAsia="Arial" w:hAnsi="Arial" w:cs="Arial"/>
          <w:color w:val="202A30"/>
          <w:sz w:val="22"/>
          <w:szCs w:val="22"/>
          <w:highlight w:val="white"/>
        </w:rPr>
        <w:t>their data and any supplementary information held by th</w:t>
      </w:r>
      <w:r w:rsidR="00037806">
        <w:rPr>
          <w:rFonts w:ascii="Arial" w:eastAsia="Arial" w:hAnsi="Arial" w:cs="Arial"/>
          <w:color w:val="202A30"/>
          <w:sz w:val="22"/>
          <w:szCs w:val="22"/>
          <w:highlight w:val="white"/>
        </w:rPr>
        <w:t>e Practice</w:t>
      </w:r>
      <w:r>
        <w:rPr>
          <w:rFonts w:ascii="Arial" w:eastAsia="Arial" w:hAnsi="Arial" w:cs="Arial"/>
          <w:color w:val="202A30"/>
          <w:sz w:val="22"/>
          <w:szCs w:val="22"/>
          <w:highlight w:val="white"/>
        </w:rPr>
        <w:t>.</w:t>
      </w:r>
      <w:r>
        <w:rPr>
          <w:rFonts w:ascii="Arial" w:eastAsia="Arial" w:hAnsi="Arial" w:cs="Arial"/>
          <w:sz w:val="22"/>
          <w:szCs w:val="22"/>
        </w:rPr>
        <w:t xml:space="preserve"> </w:t>
      </w:r>
      <w:r>
        <w:rPr>
          <w:rFonts w:ascii="Arial" w:eastAsia="Arial" w:hAnsi="Arial" w:cs="Arial"/>
          <w:color w:val="000000"/>
          <w:sz w:val="22"/>
          <w:szCs w:val="22"/>
        </w:rPr>
        <w:t xml:space="preserve">SARs are predominantly used for access to, and the provision of, copies of medical records. This type of request need not always be in writing (e.g., letter, e-mail). However, applicants should be offered the use of a SAR application form which allows for an explicit indication of the required </w:t>
      </w:r>
      <w:proofErr w:type="gramStart"/>
      <w:r>
        <w:rPr>
          <w:rFonts w:ascii="Arial" w:eastAsia="Arial" w:hAnsi="Arial" w:cs="Arial"/>
          <w:color w:val="000000"/>
          <w:sz w:val="22"/>
          <w:szCs w:val="22"/>
        </w:rPr>
        <w:t>information</w:t>
      </w:r>
      <w:r w:rsidR="00037806">
        <w:rPr>
          <w:rFonts w:ascii="Arial" w:eastAsia="Arial" w:hAnsi="Arial" w:cs="Arial"/>
          <w:color w:val="000000"/>
          <w:sz w:val="22"/>
          <w:szCs w:val="22"/>
        </w:rPr>
        <w:t>, and</w:t>
      </w:r>
      <w:proofErr w:type="gramEnd"/>
      <w:r w:rsidR="00037806">
        <w:rPr>
          <w:rFonts w:ascii="Arial" w:eastAsia="Arial" w:hAnsi="Arial" w:cs="Arial"/>
          <w:color w:val="000000"/>
          <w:sz w:val="22"/>
          <w:szCs w:val="22"/>
        </w:rPr>
        <w:t xml:space="preserve"> is the </w:t>
      </w:r>
      <w:proofErr w:type="spellStart"/>
      <w:r w:rsidR="00037806">
        <w:rPr>
          <w:rFonts w:ascii="Arial" w:eastAsia="Arial" w:hAnsi="Arial" w:cs="Arial"/>
          <w:color w:val="000000"/>
          <w:sz w:val="22"/>
          <w:szCs w:val="22"/>
        </w:rPr>
        <w:t>Practie’s</w:t>
      </w:r>
      <w:proofErr w:type="spellEnd"/>
      <w:r w:rsidR="00037806">
        <w:rPr>
          <w:rFonts w:ascii="Arial" w:eastAsia="Arial" w:hAnsi="Arial" w:cs="Arial"/>
          <w:color w:val="000000"/>
          <w:sz w:val="22"/>
          <w:szCs w:val="22"/>
        </w:rPr>
        <w:t xml:space="preserve"> preferred method of receiving a request.</w:t>
      </w:r>
    </w:p>
    <w:p w14:paraId="00000097" w14:textId="77777777" w:rsidR="00414D55" w:rsidRDefault="00414D55">
      <w:pPr>
        <w:rPr>
          <w:rFonts w:ascii="Arial" w:eastAsia="Arial" w:hAnsi="Arial" w:cs="Arial"/>
          <w:color w:val="000000"/>
          <w:sz w:val="22"/>
          <w:szCs w:val="22"/>
        </w:rPr>
      </w:pPr>
    </w:p>
    <w:p w14:paraId="00000098" w14:textId="77777777" w:rsidR="00414D55" w:rsidRDefault="004C1F5A">
      <w:pPr>
        <w:rPr>
          <w:rFonts w:ascii="Arial" w:eastAsia="Arial" w:hAnsi="Arial" w:cs="Arial"/>
          <w:sz w:val="22"/>
          <w:szCs w:val="22"/>
        </w:rPr>
      </w:pPr>
      <w:r>
        <w:rPr>
          <w:rFonts w:ascii="Arial" w:eastAsia="Arial" w:hAnsi="Arial" w:cs="Arial"/>
          <w:sz w:val="22"/>
          <w:szCs w:val="22"/>
        </w:rPr>
        <w:t xml:space="preserve">The reason for granting access to data subjects is to enable them to verify the lawfulness of the processing of data held about them. In addition, data subjects can authorise third party access, e.g., for solicitors and insurers, under the UK GDPR. </w:t>
      </w:r>
    </w:p>
    <w:p w14:paraId="00000099" w14:textId="77777777" w:rsidR="00414D55" w:rsidRDefault="00414D55">
      <w:pPr>
        <w:rPr>
          <w:rFonts w:ascii="Arial" w:eastAsia="Arial" w:hAnsi="Arial" w:cs="Arial"/>
          <w:color w:val="202A30"/>
          <w:sz w:val="22"/>
          <w:szCs w:val="22"/>
        </w:rPr>
      </w:pPr>
    </w:p>
    <w:p w14:paraId="0000009A" w14:textId="6F33C46B" w:rsidR="00414D55" w:rsidRDefault="004C1F5A">
      <w:pPr>
        <w:rPr>
          <w:rFonts w:ascii="Arial" w:eastAsia="Arial" w:hAnsi="Arial" w:cs="Arial"/>
          <w:i/>
          <w:sz w:val="22"/>
          <w:szCs w:val="22"/>
        </w:rPr>
      </w:pPr>
      <w:r>
        <w:rPr>
          <w:rFonts w:ascii="Arial" w:eastAsia="Arial" w:hAnsi="Arial" w:cs="Arial"/>
          <w:color w:val="202A30"/>
          <w:sz w:val="22"/>
          <w:szCs w:val="22"/>
        </w:rPr>
        <w:t xml:space="preserve">When a data subject (individual) wishes to access their data, they are to be </w:t>
      </w:r>
      <w:r>
        <w:rPr>
          <w:rFonts w:ascii="Arial" w:eastAsia="Arial" w:hAnsi="Arial" w:cs="Arial"/>
          <w:sz w:val="22"/>
          <w:szCs w:val="22"/>
        </w:rPr>
        <w:t xml:space="preserve">encouraged to use the SAR </w:t>
      </w:r>
      <w:r w:rsidR="00037806">
        <w:rPr>
          <w:rFonts w:ascii="Arial" w:eastAsia="Arial" w:hAnsi="Arial" w:cs="Arial"/>
          <w:sz w:val="22"/>
          <w:szCs w:val="22"/>
        </w:rPr>
        <w:t xml:space="preserve">request </w:t>
      </w:r>
      <w:r>
        <w:rPr>
          <w:rFonts w:ascii="Arial" w:eastAsia="Arial" w:hAnsi="Arial" w:cs="Arial"/>
          <w:sz w:val="22"/>
          <w:szCs w:val="22"/>
        </w:rPr>
        <w:t xml:space="preserve">form. All staff must note that the ICO states, </w:t>
      </w:r>
      <w:r>
        <w:rPr>
          <w:rFonts w:ascii="Arial" w:eastAsia="Arial" w:hAnsi="Arial" w:cs="Arial"/>
          <w:i/>
          <w:sz w:val="22"/>
          <w:szCs w:val="22"/>
        </w:rPr>
        <w:t xml:space="preserve">“An individual can make a SAR verbally or in writing, including on social media. A request is valid if </w:t>
      </w:r>
      <w:proofErr w:type="gramStart"/>
      <w:r>
        <w:rPr>
          <w:rFonts w:ascii="Arial" w:eastAsia="Arial" w:hAnsi="Arial" w:cs="Arial"/>
          <w:i/>
          <w:sz w:val="22"/>
          <w:szCs w:val="22"/>
        </w:rPr>
        <w:t>it is clear that the</w:t>
      </w:r>
      <w:proofErr w:type="gramEnd"/>
      <w:r>
        <w:rPr>
          <w:rFonts w:ascii="Arial" w:eastAsia="Arial" w:hAnsi="Arial" w:cs="Arial"/>
          <w:i/>
          <w:sz w:val="22"/>
          <w:szCs w:val="22"/>
        </w:rPr>
        <w:t xml:space="preserve"> individual is asking for their own personal data”.</w:t>
      </w:r>
    </w:p>
    <w:p w14:paraId="0000009B" w14:textId="77777777" w:rsidR="00414D55" w:rsidRDefault="00414D55">
      <w:pPr>
        <w:rPr>
          <w:rFonts w:ascii="Arial" w:eastAsia="Arial" w:hAnsi="Arial" w:cs="Arial"/>
          <w:color w:val="000000"/>
          <w:sz w:val="22"/>
          <w:szCs w:val="22"/>
        </w:rPr>
      </w:pPr>
    </w:p>
    <w:p w14:paraId="0000009C" w14:textId="77777777" w:rsidR="00414D55" w:rsidRDefault="004C1F5A">
      <w:pPr>
        <w:rPr>
          <w:rFonts w:ascii="Arial" w:eastAsia="Arial" w:hAnsi="Arial" w:cs="Arial"/>
          <w:color w:val="000000"/>
          <w:sz w:val="22"/>
          <w:szCs w:val="22"/>
        </w:rPr>
      </w:pPr>
      <w:r>
        <w:rPr>
          <w:rFonts w:ascii="Arial" w:eastAsia="Arial" w:hAnsi="Arial" w:cs="Arial"/>
          <w:color w:val="000000"/>
          <w:sz w:val="22"/>
          <w:szCs w:val="22"/>
        </w:rPr>
        <w:t xml:space="preserve">To request a SAR, the requester must be: </w:t>
      </w:r>
    </w:p>
    <w:p w14:paraId="0000009D" w14:textId="77777777" w:rsidR="00414D55" w:rsidRDefault="00414D55">
      <w:pPr>
        <w:rPr>
          <w:rFonts w:ascii="Arial" w:eastAsia="Arial" w:hAnsi="Arial" w:cs="Arial"/>
          <w:color w:val="000000"/>
          <w:sz w:val="22"/>
          <w:szCs w:val="22"/>
        </w:rPr>
      </w:pPr>
    </w:p>
    <w:p w14:paraId="0000009E" w14:textId="77777777" w:rsidR="00414D55" w:rsidRDefault="004C1F5A">
      <w:pPr>
        <w:numPr>
          <w:ilvl w:val="0"/>
          <w:numId w:val="25"/>
        </w:numPr>
        <w:rPr>
          <w:rFonts w:ascii="Arial" w:eastAsia="Arial" w:hAnsi="Arial" w:cs="Arial"/>
          <w:color w:val="000000"/>
          <w:sz w:val="22"/>
          <w:szCs w:val="22"/>
        </w:rPr>
      </w:pPr>
      <w:r>
        <w:rPr>
          <w:rFonts w:ascii="Arial" w:eastAsia="Arial" w:hAnsi="Arial" w:cs="Arial"/>
          <w:color w:val="000000"/>
          <w:sz w:val="22"/>
          <w:szCs w:val="22"/>
        </w:rPr>
        <w:t xml:space="preserve">The data subject OR </w:t>
      </w:r>
    </w:p>
    <w:p w14:paraId="0000009F" w14:textId="77777777" w:rsidR="00414D55" w:rsidRDefault="004C1F5A">
      <w:pPr>
        <w:numPr>
          <w:ilvl w:val="0"/>
          <w:numId w:val="25"/>
        </w:numPr>
        <w:rPr>
          <w:rFonts w:ascii="Arial" w:eastAsia="Arial" w:hAnsi="Arial" w:cs="Arial"/>
          <w:color w:val="000000"/>
          <w:sz w:val="22"/>
          <w:szCs w:val="22"/>
        </w:rPr>
      </w:pPr>
      <w:r>
        <w:rPr>
          <w:rFonts w:ascii="Arial" w:eastAsia="Arial" w:hAnsi="Arial" w:cs="Arial"/>
          <w:color w:val="000000"/>
          <w:sz w:val="22"/>
          <w:szCs w:val="22"/>
        </w:rPr>
        <w:t xml:space="preserve">Have the written permission of the data subject OR </w:t>
      </w:r>
    </w:p>
    <w:p w14:paraId="000000A0" w14:textId="77777777" w:rsidR="00414D55" w:rsidRDefault="004C1F5A">
      <w:pPr>
        <w:numPr>
          <w:ilvl w:val="0"/>
          <w:numId w:val="25"/>
        </w:numPr>
        <w:rPr>
          <w:rFonts w:ascii="Arial" w:eastAsia="Arial" w:hAnsi="Arial" w:cs="Arial"/>
          <w:color w:val="000000"/>
          <w:sz w:val="22"/>
          <w:szCs w:val="22"/>
        </w:rPr>
      </w:pPr>
      <w:r>
        <w:rPr>
          <w:rFonts w:ascii="Arial" w:eastAsia="Arial" w:hAnsi="Arial" w:cs="Arial"/>
          <w:color w:val="000000"/>
          <w:sz w:val="22"/>
          <w:szCs w:val="22"/>
        </w:rPr>
        <w:t>Have legal responsibility for managing the subject's affairs to access personal information about that person, such as a lasting power of attorney (LPA)</w:t>
      </w:r>
    </w:p>
    <w:p w14:paraId="000000A1" w14:textId="77777777" w:rsidR="00414D55" w:rsidRDefault="00414D55">
      <w:pPr>
        <w:rPr>
          <w:rFonts w:ascii="Arial" w:eastAsia="Arial" w:hAnsi="Arial" w:cs="Arial"/>
          <w:color w:val="000000"/>
          <w:sz w:val="22"/>
          <w:szCs w:val="22"/>
        </w:rPr>
      </w:pPr>
    </w:p>
    <w:p w14:paraId="000000A2" w14:textId="604F1D98" w:rsidR="00414D55" w:rsidRDefault="004C1F5A">
      <w:pPr>
        <w:rPr>
          <w:rFonts w:ascii="Arial" w:eastAsia="Arial" w:hAnsi="Arial" w:cs="Arial"/>
          <w:sz w:val="22"/>
          <w:szCs w:val="22"/>
        </w:rPr>
      </w:pPr>
      <w:r>
        <w:rPr>
          <w:rFonts w:ascii="Arial" w:eastAsia="Arial" w:hAnsi="Arial" w:cs="Arial"/>
          <w:color w:val="000000"/>
          <w:sz w:val="22"/>
          <w:szCs w:val="22"/>
        </w:rPr>
        <w:t>It is the requester’s responsibility to satisfy t</w:t>
      </w:r>
      <w:r w:rsidR="00037806">
        <w:rPr>
          <w:rFonts w:ascii="Arial" w:eastAsia="Arial" w:hAnsi="Arial" w:cs="Arial"/>
          <w:color w:val="000000"/>
          <w:sz w:val="22"/>
          <w:szCs w:val="22"/>
        </w:rPr>
        <w:t xml:space="preserve">he Practice </w:t>
      </w:r>
      <w:r>
        <w:rPr>
          <w:rFonts w:ascii="Arial" w:eastAsia="Arial" w:hAnsi="Arial" w:cs="Arial"/>
          <w:color w:val="000000"/>
          <w:sz w:val="22"/>
          <w:szCs w:val="22"/>
        </w:rPr>
        <w:t xml:space="preserve">of their legal authority to act on behalf of the data subject. </w:t>
      </w:r>
      <w:r>
        <w:rPr>
          <w:rFonts w:ascii="Arial" w:eastAsia="Arial" w:hAnsi="Arial" w:cs="Arial"/>
          <w:sz w:val="22"/>
          <w:szCs w:val="22"/>
        </w:rPr>
        <w:t xml:space="preserve">The </w:t>
      </w:r>
      <w:r w:rsidR="00037806">
        <w:rPr>
          <w:rFonts w:ascii="Arial" w:eastAsia="Arial" w:hAnsi="Arial" w:cs="Arial"/>
          <w:sz w:val="22"/>
          <w:szCs w:val="22"/>
        </w:rPr>
        <w:t>Practice</w:t>
      </w:r>
      <w:r>
        <w:rPr>
          <w:rFonts w:ascii="Arial" w:eastAsia="Arial" w:hAnsi="Arial" w:cs="Arial"/>
          <w:sz w:val="22"/>
          <w:szCs w:val="22"/>
        </w:rPr>
        <w:t xml:space="preserve"> must be satisfied of the identity of the requester before </w:t>
      </w:r>
      <w:r w:rsidR="00037806">
        <w:rPr>
          <w:rFonts w:ascii="Arial" w:eastAsia="Arial" w:hAnsi="Arial" w:cs="Arial"/>
          <w:sz w:val="22"/>
          <w:szCs w:val="22"/>
        </w:rPr>
        <w:t>we</w:t>
      </w:r>
      <w:r>
        <w:rPr>
          <w:rFonts w:ascii="Arial" w:eastAsia="Arial" w:hAnsi="Arial" w:cs="Arial"/>
          <w:sz w:val="22"/>
          <w:szCs w:val="22"/>
        </w:rPr>
        <w:t xml:space="preserve"> can provide any personal information (see </w:t>
      </w:r>
      <w:hyperlink w:anchor="_heading=h.lh3z0i7zpj8j">
        <w:r w:rsidR="00414D55">
          <w:rPr>
            <w:rFonts w:ascii="Arial" w:eastAsia="Arial" w:hAnsi="Arial" w:cs="Arial"/>
            <w:color w:val="0563C1"/>
            <w:sz w:val="22"/>
            <w:szCs w:val="22"/>
            <w:u w:val="single"/>
          </w:rPr>
          <w:t>Identity verification section</w:t>
        </w:r>
      </w:hyperlink>
      <w:r>
        <w:rPr>
          <w:rFonts w:ascii="Arial" w:eastAsia="Arial" w:hAnsi="Arial" w:cs="Arial"/>
          <w:sz w:val="22"/>
          <w:szCs w:val="22"/>
        </w:rPr>
        <w:t>).</w:t>
      </w:r>
    </w:p>
    <w:p w14:paraId="000000A3" w14:textId="77777777" w:rsidR="00414D55" w:rsidRDefault="00414D55">
      <w:pPr>
        <w:ind w:right="240"/>
        <w:rPr>
          <w:rFonts w:ascii="Arial" w:eastAsia="Arial" w:hAnsi="Arial" w:cs="Arial"/>
          <w:color w:val="000000"/>
          <w:sz w:val="22"/>
          <w:szCs w:val="22"/>
        </w:rPr>
      </w:pPr>
    </w:p>
    <w:p w14:paraId="000000A4" w14:textId="77777777" w:rsidR="00414D55" w:rsidRDefault="004C1F5A">
      <w:pPr>
        <w:ind w:right="240"/>
        <w:rPr>
          <w:rFonts w:ascii="Arial" w:eastAsia="Arial" w:hAnsi="Arial" w:cs="Arial"/>
          <w:color w:val="000000"/>
          <w:sz w:val="22"/>
          <w:szCs w:val="22"/>
        </w:rPr>
      </w:pPr>
      <w:r>
        <w:rPr>
          <w:rFonts w:ascii="Arial" w:eastAsia="Arial" w:hAnsi="Arial" w:cs="Arial"/>
          <w:color w:val="000000"/>
          <w:sz w:val="22"/>
          <w:szCs w:val="22"/>
        </w:rPr>
        <w:t>Requests may be received from the following:</w:t>
      </w:r>
    </w:p>
    <w:p w14:paraId="000000A5" w14:textId="77777777" w:rsidR="00414D55" w:rsidRDefault="00414D55">
      <w:pPr>
        <w:ind w:right="240"/>
        <w:rPr>
          <w:rFonts w:ascii="Arial" w:eastAsia="Arial" w:hAnsi="Arial" w:cs="Arial"/>
          <w:color w:val="000000"/>
          <w:sz w:val="22"/>
          <w:szCs w:val="22"/>
        </w:rPr>
      </w:pPr>
    </w:p>
    <w:p w14:paraId="000000A6" w14:textId="77777777" w:rsidR="00414D55" w:rsidRDefault="004C1F5A">
      <w:pPr>
        <w:numPr>
          <w:ilvl w:val="0"/>
          <w:numId w:val="22"/>
        </w:numPr>
        <w:pBdr>
          <w:top w:val="nil"/>
          <w:left w:val="nil"/>
          <w:bottom w:val="nil"/>
          <w:right w:val="nil"/>
          <w:between w:val="nil"/>
        </w:pBdr>
        <w:ind w:right="240"/>
        <w:rPr>
          <w:rFonts w:ascii="Arial" w:eastAsia="Arial" w:hAnsi="Arial" w:cs="Arial"/>
          <w:color w:val="000000"/>
          <w:sz w:val="22"/>
          <w:szCs w:val="22"/>
        </w:rPr>
      </w:pPr>
      <w:r>
        <w:rPr>
          <w:rFonts w:ascii="Arial" w:eastAsia="Arial" w:hAnsi="Arial" w:cs="Arial"/>
          <w:b/>
          <w:color w:val="000000"/>
          <w:sz w:val="22"/>
          <w:szCs w:val="22"/>
        </w:rPr>
        <w:t xml:space="preserve">Competent patients </w:t>
      </w:r>
      <w:r>
        <w:rPr>
          <w:rFonts w:ascii="Arial" w:eastAsia="Arial" w:hAnsi="Arial" w:cs="Arial"/>
          <w:color w:val="000000"/>
          <w:sz w:val="22"/>
          <w:szCs w:val="22"/>
        </w:rPr>
        <w:t>–</w:t>
      </w:r>
      <w:r>
        <w:rPr>
          <w:rFonts w:ascii="Arial" w:eastAsia="Arial" w:hAnsi="Arial" w:cs="Arial"/>
          <w:b/>
          <w:color w:val="000000"/>
          <w:sz w:val="22"/>
          <w:szCs w:val="22"/>
        </w:rPr>
        <w:t xml:space="preserve"> </w:t>
      </w:r>
      <w:r>
        <w:rPr>
          <w:rFonts w:ascii="Arial" w:eastAsia="Arial" w:hAnsi="Arial" w:cs="Arial"/>
          <w:color w:val="000000"/>
          <w:sz w:val="22"/>
          <w:szCs w:val="22"/>
        </w:rPr>
        <w:t>May apply for access to their own records or authorise third party access to their records</w:t>
      </w:r>
    </w:p>
    <w:p w14:paraId="000000A7" w14:textId="77777777" w:rsidR="00414D55" w:rsidRDefault="00414D55">
      <w:pPr>
        <w:ind w:right="240"/>
        <w:rPr>
          <w:rFonts w:ascii="Arial" w:eastAsia="Arial" w:hAnsi="Arial" w:cs="Arial"/>
          <w:color w:val="000000"/>
          <w:sz w:val="22"/>
          <w:szCs w:val="22"/>
        </w:rPr>
      </w:pPr>
    </w:p>
    <w:p w14:paraId="000000A8" w14:textId="306CEAA3" w:rsidR="00414D55" w:rsidRDefault="004C1F5A">
      <w:pPr>
        <w:numPr>
          <w:ilvl w:val="0"/>
          <w:numId w:val="22"/>
        </w:numPr>
        <w:pBdr>
          <w:top w:val="nil"/>
          <w:left w:val="nil"/>
          <w:bottom w:val="nil"/>
          <w:right w:val="nil"/>
          <w:between w:val="nil"/>
        </w:pBdr>
        <w:ind w:right="240"/>
        <w:rPr>
          <w:rFonts w:ascii="Arial" w:eastAsia="Arial" w:hAnsi="Arial" w:cs="Arial"/>
          <w:color w:val="000000"/>
          <w:sz w:val="22"/>
          <w:szCs w:val="22"/>
        </w:rPr>
      </w:pPr>
      <w:r>
        <w:rPr>
          <w:rFonts w:ascii="Arial" w:eastAsia="Arial" w:hAnsi="Arial" w:cs="Arial"/>
          <w:b/>
          <w:color w:val="000000"/>
          <w:sz w:val="22"/>
          <w:szCs w:val="22"/>
        </w:rPr>
        <w:t xml:space="preserve">Children and young people </w:t>
      </w:r>
      <w:r>
        <w:rPr>
          <w:rFonts w:ascii="Arial" w:eastAsia="Arial" w:hAnsi="Arial" w:cs="Arial"/>
          <w:color w:val="000000"/>
          <w:sz w:val="22"/>
          <w:szCs w:val="22"/>
        </w:rPr>
        <w:t>–</w:t>
      </w:r>
      <w:r>
        <w:rPr>
          <w:rFonts w:ascii="Arial" w:eastAsia="Arial" w:hAnsi="Arial" w:cs="Arial"/>
          <w:b/>
          <w:color w:val="000000"/>
          <w:sz w:val="22"/>
          <w:szCs w:val="22"/>
        </w:rPr>
        <w:t xml:space="preserve"> </w:t>
      </w:r>
      <w:r>
        <w:rPr>
          <w:rFonts w:ascii="Arial" w:eastAsia="Arial" w:hAnsi="Arial" w:cs="Arial"/>
          <w:color w:val="000000"/>
          <w:sz w:val="22"/>
          <w:szCs w:val="22"/>
        </w:rPr>
        <w:t>May also apply in the same manner as other competent patients. Th</w:t>
      </w:r>
      <w:r w:rsidR="00037806">
        <w:rPr>
          <w:rFonts w:ascii="Arial" w:eastAsia="Arial" w:hAnsi="Arial" w:cs="Arial"/>
          <w:color w:val="000000"/>
          <w:sz w:val="22"/>
          <w:szCs w:val="22"/>
        </w:rPr>
        <w:t>e Practice</w:t>
      </w:r>
      <w:r>
        <w:rPr>
          <w:rFonts w:ascii="Arial" w:eastAsia="Arial" w:hAnsi="Arial" w:cs="Arial"/>
          <w:color w:val="000000"/>
          <w:sz w:val="22"/>
          <w:szCs w:val="22"/>
        </w:rPr>
        <w:t xml:space="preserve"> will not automatically presume a </w:t>
      </w:r>
      <w:proofErr w:type="gramStart"/>
      <w:r>
        <w:rPr>
          <w:rFonts w:ascii="Arial" w:eastAsia="Arial" w:hAnsi="Arial" w:cs="Arial"/>
          <w:color w:val="000000"/>
          <w:sz w:val="22"/>
          <w:szCs w:val="22"/>
        </w:rPr>
        <w:t>child</w:t>
      </w:r>
      <w:proofErr w:type="gramEnd"/>
      <w:r>
        <w:rPr>
          <w:rFonts w:ascii="Arial" w:eastAsia="Arial" w:hAnsi="Arial" w:cs="Arial"/>
          <w:color w:val="000000"/>
          <w:sz w:val="22"/>
          <w:szCs w:val="22"/>
        </w:rPr>
        <w:t xml:space="preserve"> or young person has capacity under the age of 16. However, those aged 13 or over are expected to have the capacity to consent to medical information being disclosed. This reflects the information given in the UK GDPR and also in CQC </w:t>
      </w:r>
      <w:hyperlink r:id="rId26">
        <w:r w:rsidR="00414D55">
          <w:rPr>
            <w:rFonts w:ascii="Arial" w:eastAsia="Arial" w:hAnsi="Arial" w:cs="Arial"/>
            <w:color w:val="0563C1"/>
            <w:sz w:val="22"/>
            <w:szCs w:val="22"/>
            <w:u w:val="single"/>
          </w:rPr>
          <w:t xml:space="preserve">GP </w:t>
        </w:r>
        <w:proofErr w:type="spellStart"/>
        <w:r w:rsidR="00414D55">
          <w:rPr>
            <w:rFonts w:ascii="Arial" w:eastAsia="Arial" w:hAnsi="Arial" w:cs="Arial"/>
            <w:color w:val="0563C1"/>
            <w:sz w:val="22"/>
            <w:szCs w:val="22"/>
            <w:u w:val="single"/>
          </w:rPr>
          <w:t>Mythbuster</w:t>
        </w:r>
        <w:proofErr w:type="spellEnd"/>
        <w:r w:rsidR="00414D55">
          <w:rPr>
            <w:rFonts w:ascii="Arial" w:eastAsia="Arial" w:hAnsi="Arial" w:cs="Arial"/>
            <w:color w:val="0563C1"/>
            <w:sz w:val="22"/>
            <w:szCs w:val="22"/>
            <w:u w:val="single"/>
          </w:rPr>
          <w:t xml:space="preserve"> 8: Gillick competency and Fraser guidelines</w:t>
        </w:r>
      </w:hyperlink>
      <w:r>
        <w:rPr>
          <w:color w:val="000000"/>
        </w:rPr>
        <w:t>.</w:t>
      </w:r>
    </w:p>
    <w:p w14:paraId="000000A9" w14:textId="77777777" w:rsidR="00414D55" w:rsidRDefault="00414D55">
      <w:pPr>
        <w:ind w:right="240"/>
        <w:rPr>
          <w:rFonts w:ascii="Arial" w:eastAsia="Arial" w:hAnsi="Arial" w:cs="Arial"/>
          <w:sz w:val="22"/>
          <w:szCs w:val="22"/>
        </w:rPr>
      </w:pPr>
    </w:p>
    <w:p w14:paraId="000000AA" w14:textId="77777777" w:rsidR="00414D55" w:rsidRDefault="004C1F5A">
      <w:pPr>
        <w:numPr>
          <w:ilvl w:val="0"/>
          <w:numId w:val="22"/>
        </w:numPr>
        <w:pBdr>
          <w:top w:val="nil"/>
          <w:left w:val="nil"/>
          <w:bottom w:val="nil"/>
          <w:right w:val="nil"/>
          <w:between w:val="nil"/>
        </w:pBdr>
        <w:ind w:right="240"/>
        <w:rPr>
          <w:rFonts w:ascii="Arial" w:eastAsia="Arial" w:hAnsi="Arial" w:cs="Arial"/>
          <w:color w:val="000000"/>
          <w:sz w:val="22"/>
          <w:szCs w:val="22"/>
        </w:rPr>
      </w:pPr>
      <w:r>
        <w:rPr>
          <w:rFonts w:ascii="Arial" w:eastAsia="Arial" w:hAnsi="Arial" w:cs="Arial"/>
          <w:b/>
          <w:color w:val="000000"/>
          <w:sz w:val="22"/>
          <w:szCs w:val="22"/>
        </w:rPr>
        <w:t xml:space="preserve">Parents </w:t>
      </w:r>
      <w:r>
        <w:rPr>
          <w:rFonts w:ascii="Arial" w:eastAsia="Arial" w:hAnsi="Arial" w:cs="Arial"/>
          <w:color w:val="000000"/>
          <w:sz w:val="22"/>
          <w:szCs w:val="22"/>
        </w:rPr>
        <w:t>–</w:t>
      </w:r>
      <w:r>
        <w:rPr>
          <w:rFonts w:ascii="Arial" w:eastAsia="Arial" w:hAnsi="Arial" w:cs="Arial"/>
          <w:b/>
          <w:color w:val="000000"/>
          <w:sz w:val="22"/>
          <w:szCs w:val="22"/>
        </w:rPr>
        <w:t xml:space="preserve"> </w:t>
      </w:r>
      <w:r>
        <w:rPr>
          <w:rFonts w:ascii="Arial" w:eastAsia="Arial" w:hAnsi="Arial" w:cs="Arial"/>
          <w:color w:val="000000"/>
          <w:sz w:val="22"/>
          <w:szCs w:val="22"/>
        </w:rPr>
        <w:t xml:space="preserve">May apply to access their child’s health record providing this is not in contradiction of the wishes of the competent child. Further guidance on parental access to a child’s healthcare records is detailed within the BMA guidance titled </w:t>
      </w:r>
      <w:hyperlink r:id="rId27">
        <w:r w:rsidR="00414D55">
          <w:rPr>
            <w:rFonts w:ascii="Arial" w:eastAsia="Arial" w:hAnsi="Arial" w:cs="Arial"/>
            <w:color w:val="0563C1"/>
            <w:sz w:val="22"/>
            <w:szCs w:val="22"/>
            <w:u w:val="single"/>
          </w:rPr>
          <w:t>Children and young people ethics toolkit</w:t>
        </w:r>
      </w:hyperlink>
      <w:r>
        <w:rPr>
          <w:rFonts w:ascii="Arial" w:eastAsia="Arial" w:hAnsi="Arial" w:cs="Arial"/>
          <w:color w:val="000000"/>
          <w:sz w:val="22"/>
          <w:szCs w:val="22"/>
        </w:rPr>
        <w:t xml:space="preserve"> and at </w:t>
      </w:r>
      <w:hyperlink w:anchor="_heading=h.8g6c1ymklr3q">
        <w:r w:rsidR="00414D55">
          <w:rPr>
            <w:rFonts w:ascii="Arial" w:eastAsia="Arial" w:hAnsi="Arial" w:cs="Arial"/>
            <w:color w:val="0563C1"/>
            <w:sz w:val="22"/>
            <w:szCs w:val="22"/>
            <w:u w:val="single"/>
          </w:rPr>
          <w:t>Section 10.4</w:t>
        </w:r>
      </w:hyperlink>
      <w:r>
        <w:rPr>
          <w:color w:val="000000"/>
        </w:rPr>
        <w:t>.</w:t>
      </w:r>
    </w:p>
    <w:p w14:paraId="000000AB" w14:textId="77777777" w:rsidR="00414D55" w:rsidRDefault="00414D55">
      <w:pPr>
        <w:ind w:right="240"/>
        <w:rPr>
          <w:rFonts w:ascii="Arial" w:eastAsia="Arial" w:hAnsi="Arial" w:cs="Arial"/>
          <w:color w:val="202A30"/>
          <w:sz w:val="22"/>
          <w:szCs w:val="22"/>
        </w:rPr>
      </w:pPr>
    </w:p>
    <w:p w14:paraId="000000AC" w14:textId="03BEEAC6" w:rsidR="00414D55" w:rsidRDefault="004C1F5A">
      <w:pPr>
        <w:numPr>
          <w:ilvl w:val="0"/>
          <w:numId w:val="22"/>
        </w:numPr>
        <w:pBdr>
          <w:top w:val="nil"/>
          <w:left w:val="nil"/>
          <w:bottom w:val="nil"/>
          <w:right w:val="nil"/>
          <w:between w:val="nil"/>
        </w:pBdr>
        <w:ind w:right="240"/>
        <w:rPr>
          <w:rFonts w:ascii="Arial" w:eastAsia="Arial" w:hAnsi="Arial" w:cs="Arial"/>
          <w:color w:val="202A30"/>
          <w:sz w:val="22"/>
          <w:szCs w:val="22"/>
        </w:rPr>
      </w:pPr>
      <w:r>
        <w:rPr>
          <w:rFonts w:ascii="Arial" w:eastAsia="Arial" w:hAnsi="Arial" w:cs="Arial"/>
          <w:b/>
          <w:color w:val="202A30"/>
          <w:sz w:val="22"/>
          <w:szCs w:val="22"/>
        </w:rPr>
        <w:t>Individuals with a responsibility for adults who lack capacity</w:t>
      </w:r>
      <w:r>
        <w:rPr>
          <w:rFonts w:ascii="Arial" w:eastAsia="Arial" w:hAnsi="Arial" w:cs="Arial"/>
          <w:color w:val="202A30"/>
          <w:sz w:val="22"/>
          <w:szCs w:val="22"/>
        </w:rPr>
        <w:t xml:space="preserve"> –</w:t>
      </w:r>
      <w:r>
        <w:rPr>
          <w:rFonts w:ascii="Arial" w:eastAsia="Arial" w:hAnsi="Arial" w:cs="Arial"/>
          <w:b/>
          <w:color w:val="202A30"/>
          <w:sz w:val="22"/>
          <w:szCs w:val="22"/>
        </w:rPr>
        <w:t xml:space="preserve"> </w:t>
      </w:r>
      <w:r>
        <w:rPr>
          <w:rFonts w:ascii="Arial" w:eastAsia="Arial" w:hAnsi="Arial" w:cs="Arial"/>
          <w:color w:val="202A30"/>
          <w:sz w:val="22"/>
          <w:szCs w:val="22"/>
        </w:rPr>
        <w:t>Are not automatically entitled to access the individual’s health records. Th</w:t>
      </w:r>
      <w:r w:rsidR="00037806">
        <w:rPr>
          <w:rFonts w:ascii="Arial" w:eastAsia="Arial" w:hAnsi="Arial" w:cs="Arial"/>
          <w:color w:val="202A30"/>
          <w:sz w:val="22"/>
          <w:szCs w:val="22"/>
        </w:rPr>
        <w:t xml:space="preserve">e Practice </w:t>
      </w:r>
      <w:r>
        <w:rPr>
          <w:rFonts w:ascii="Arial" w:eastAsia="Arial" w:hAnsi="Arial" w:cs="Arial"/>
          <w:color w:val="202A30"/>
          <w:sz w:val="22"/>
          <w:szCs w:val="22"/>
        </w:rPr>
        <w:t xml:space="preserve">will ensure that the patient’s capacity is judged in relation to the </w:t>
      </w:r>
      <w:proofErr w:type="gramStart"/>
      <w:r>
        <w:rPr>
          <w:rFonts w:ascii="Arial" w:eastAsia="Arial" w:hAnsi="Arial" w:cs="Arial"/>
          <w:color w:val="202A30"/>
          <w:sz w:val="22"/>
          <w:szCs w:val="22"/>
        </w:rPr>
        <w:t>particular decisions</w:t>
      </w:r>
      <w:proofErr w:type="gramEnd"/>
      <w:r>
        <w:rPr>
          <w:rFonts w:ascii="Arial" w:eastAsia="Arial" w:hAnsi="Arial" w:cs="Arial"/>
          <w:color w:val="202A30"/>
          <w:sz w:val="22"/>
          <w:szCs w:val="22"/>
        </w:rPr>
        <w:t xml:space="preserve"> being made. Any consideration to nominate an authorised individual to make proxy decisions for an individual who lacks capacity will comply with the </w:t>
      </w:r>
      <w:hyperlink r:id="rId28">
        <w:r w:rsidR="00414D55">
          <w:rPr>
            <w:rFonts w:ascii="Arial" w:eastAsia="Arial" w:hAnsi="Arial" w:cs="Arial"/>
            <w:color w:val="0563C1"/>
            <w:sz w:val="22"/>
            <w:szCs w:val="22"/>
            <w:u w:val="single"/>
          </w:rPr>
          <w:t>Mental Capacity Act 2005</w:t>
        </w:r>
      </w:hyperlink>
      <w:r>
        <w:rPr>
          <w:rFonts w:ascii="Arial" w:eastAsia="Arial" w:hAnsi="Arial" w:cs="Arial"/>
          <w:color w:val="202A30"/>
          <w:sz w:val="22"/>
          <w:szCs w:val="22"/>
        </w:rPr>
        <w:t xml:space="preserve"> in England and Wales and the Adults with Incapacity Act in Scotland.</w:t>
      </w:r>
    </w:p>
    <w:p w14:paraId="000000AD" w14:textId="77777777" w:rsidR="00414D55" w:rsidRDefault="00414D55">
      <w:pPr>
        <w:ind w:right="240"/>
        <w:rPr>
          <w:rFonts w:ascii="Arial" w:eastAsia="Arial" w:hAnsi="Arial" w:cs="Arial"/>
          <w:color w:val="202A30"/>
          <w:sz w:val="22"/>
          <w:szCs w:val="22"/>
        </w:rPr>
      </w:pPr>
    </w:p>
    <w:p w14:paraId="000000AE" w14:textId="77777777" w:rsidR="00414D55" w:rsidRDefault="004C1F5A">
      <w:pPr>
        <w:numPr>
          <w:ilvl w:val="0"/>
          <w:numId w:val="22"/>
        </w:numPr>
        <w:pBdr>
          <w:top w:val="nil"/>
          <w:left w:val="nil"/>
          <w:bottom w:val="nil"/>
          <w:right w:val="nil"/>
          <w:between w:val="nil"/>
        </w:pBdr>
        <w:ind w:right="240"/>
        <w:rPr>
          <w:rFonts w:ascii="Arial" w:eastAsia="Arial" w:hAnsi="Arial" w:cs="Arial"/>
          <w:color w:val="202A30"/>
          <w:sz w:val="22"/>
          <w:szCs w:val="22"/>
        </w:rPr>
      </w:pPr>
      <w:r>
        <w:rPr>
          <w:rFonts w:ascii="Arial" w:eastAsia="Arial" w:hAnsi="Arial" w:cs="Arial"/>
          <w:b/>
          <w:color w:val="202A30"/>
          <w:sz w:val="22"/>
          <w:szCs w:val="22"/>
        </w:rPr>
        <w:t xml:space="preserve">Next of kin </w:t>
      </w:r>
      <w:r>
        <w:rPr>
          <w:rFonts w:ascii="Arial" w:eastAsia="Arial" w:hAnsi="Arial" w:cs="Arial"/>
          <w:color w:val="202A30"/>
          <w:sz w:val="22"/>
          <w:szCs w:val="22"/>
        </w:rPr>
        <w:t>–</w:t>
      </w:r>
      <w:r>
        <w:rPr>
          <w:rFonts w:ascii="Arial" w:eastAsia="Arial" w:hAnsi="Arial" w:cs="Arial"/>
          <w:b/>
          <w:color w:val="202A30"/>
          <w:sz w:val="22"/>
          <w:szCs w:val="22"/>
        </w:rPr>
        <w:t xml:space="preserve"> </w:t>
      </w:r>
      <w:r>
        <w:rPr>
          <w:rFonts w:ascii="Arial" w:eastAsia="Arial" w:hAnsi="Arial" w:cs="Arial"/>
          <w:color w:val="202A30"/>
          <w:sz w:val="22"/>
          <w:szCs w:val="22"/>
        </w:rPr>
        <w:t xml:space="preserve">Have no rights of access to health records </w:t>
      </w:r>
    </w:p>
    <w:p w14:paraId="000000AF" w14:textId="77777777" w:rsidR="00414D55" w:rsidRDefault="00414D55">
      <w:pPr>
        <w:ind w:right="240"/>
        <w:rPr>
          <w:rFonts w:ascii="Arial" w:eastAsia="Arial" w:hAnsi="Arial" w:cs="Arial"/>
          <w:color w:val="202A30"/>
          <w:sz w:val="22"/>
          <w:szCs w:val="22"/>
        </w:rPr>
      </w:pPr>
    </w:p>
    <w:p w14:paraId="000000B0" w14:textId="3413845D" w:rsidR="00414D55" w:rsidRDefault="004C1F5A">
      <w:pPr>
        <w:numPr>
          <w:ilvl w:val="0"/>
          <w:numId w:val="26"/>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202A30"/>
          <w:sz w:val="22"/>
          <w:szCs w:val="22"/>
        </w:rPr>
        <w:t>Police</w:t>
      </w:r>
      <w:r>
        <w:rPr>
          <w:rFonts w:ascii="Arial" w:eastAsia="Arial" w:hAnsi="Arial" w:cs="Arial"/>
          <w:color w:val="000000"/>
          <w:sz w:val="22"/>
          <w:szCs w:val="22"/>
        </w:rPr>
        <w:t xml:space="preserve"> </w:t>
      </w:r>
      <w:r>
        <w:rPr>
          <w:rFonts w:ascii="Arial" w:eastAsia="Arial" w:hAnsi="Arial" w:cs="Arial"/>
          <w:color w:val="202A30"/>
          <w:sz w:val="22"/>
          <w:szCs w:val="22"/>
        </w:rPr>
        <w:t xml:space="preserve">– </w:t>
      </w:r>
      <w:r>
        <w:rPr>
          <w:rFonts w:ascii="Arial" w:eastAsia="Arial" w:hAnsi="Arial" w:cs="Arial"/>
          <w:color w:val="000000"/>
          <w:sz w:val="22"/>
          <w:szCs w:val="22"/>
        </w:rPr>
        <w:t xml:space="preserve">In all cases, the </w:t>
      </w:r>
      <w:r w:rsidR="0040789A">
        <w:rPr>
          <w:rFonts w:ascii="Arial" w:eastAsia="Arial" w:hAnsi="Arial" w:cs="Arial"/>
          <w:color w:val="000000"/>
          <w:sz w:val="22"/>
          <w:szCs w:val="22"/>
        </w:rPr>
        <w:t>Practice</w:t>
      </w:r>
      <w:r>
        <w:rPr>
          <w:rFonts w:ascii="Arial" w:eastAsia="Arial" w:hAnsi="Arial" w:cs="Arial"/>
          <w:color w:val="000000"/>
          <w:sz w:val="22"/>
          <w:szCs w:val="22"/>
        </w:rPr>
        <w:t xml:space="preserve"> can release confidential information if the patient has given his/her consent (preferably in writing) and understands the consequences of making that decision. There is, however, no legal obligation to disclose information to the police unless there is a court order or this is required under statutes (e.g., </w:t>
      </w:r>
      <w:hyperlink r:id="rId29">
        <w:r w:rsidR="00414D55">
          <w:rPr>
            <w:rFonts w:ascii="Arial" w:eastAsia="Arial" w:hAnsi="Arial" w:cs="Arial"/>
            <w:color w:val="0563C1"/>
            <w:sz w:val="22"/>
            <w:szCs w:val="22"/>
            <w:u w:val="single"/>
          </w:rPr>
          <w:t>Road Traffic Act 2006</w:t>
        </w:r>
      </w:hyperlink>
      <w:r>
        <w:rPr>
          <w:rFonts w:ascii="Arial" w:eastAsia="Arial" w:hAnsi="Arial" w:cs="Arial"/>
          <w:color w:val="000000"/>
          <w:sz w:val="22"/>
          <w:szCs w:val="22"/>
        </w:rPr>
        <w:t xml:space="preserve">). </w:t>
      </w:r>
    </w:p>
    <w:p w14:paraId="000000B1" w14:textId="77777777" w:rsidR="00414D55" w:rsidRDefault="00414D55">
      <w:pPr>
        <w:pBdr>
          <w:top w:val="nil"/>
          <w:left w:val="nil"/>
          <w:bottom w:val="nil"/>
          <w:right w:val="nil"/>
          <w:between w:val="nil"/>
        </w:pBdr>
        <w:ind w:left="720"/>
        <w:rPr>
          <w:rFonts w:ascii="Arial" w:eastAsia="Arial" w:hAnsi="Arial" w:cs="Arial"/>
          <w:b/>
          <w:color w:val="202A30"/>
          <w:sz w:val="22"/>
          <w:szCs w:val="22"/>
        </w:rPr>
      </w:pPr>
    </w:p>
    <w:p w14:paraId="000000B2" w14:textId="77777777" w:rsidR="00414D55" w:rsidRDefault="004C1F5A">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202A30"/>
          <w:sz w:val="22"/>
          <w:szCs w:val="22"/>
        </w:rPr>
        <w:t xml:space="preserve">Nevertheless, health professionals </w:t>
      </w:r>
      <w:r>
        <w:rPr>
          <w:rFonts w:ascii="Arial" w:eastAsia="Arial" w:hAnsi="Arial" w:cs="Arial"/>
          <w:color w:val="000000"/>
          <w:sz w:val="22"/>
          <w:szCs w:val="22"/>
        </w:rPr>
        <w:t xml:space="preserve">have power under the </w:t>
      </w:r>
      <w:hyperlink r:id="rId30">
        <w:r w:rsidR="00414D55">
          <w:rPr>
            <w:rFonts w:ascii="Arial" w:eastAsia="Arial" w:hAnsi="Arial" w:cs="Arial"/>
            <w:color w:val="0563C1"/>
            <w:sz w:val="22"/>
            <w:szCs w:val="22"/>
            <w:u w:val="single"/>
          </w:rPr>
          <w:t>Data Protection Act 2018</w:t>
        </w:r>
      </w:hyperlink>
      <w:r>
        <w:rPr>
          <w:rFonts w:ascii="Arial" w:eastAsia="Arial" w:hAnsi="Arial" w:cs="Arial"/>
          <w:color w:val="000000"/>
          <w:sz w:val="22"/>
          <w:szCs w:val="22"/>
        </w:rPr>
        <w:t xml:space="preserve"> and the </w:t>
      </w:r>
      <w:hyperlink r:id="rId31">
        <w:r w:rsidR="00414D55">
          <w:rPr>
            <w:rFonts w:ascii="Arial" w:eastAsia="Arial" w:hAnsi="Arial" w:cs="Arial"/>
            <w:color w:val="0563C1"/>
            <w:sz w:val="22"/>
            <w:szCs w:val="22"/>
            <w:u w:val="single"/>
          </w:rPr>
          <w:t>Crime Disorder Act 1998</w:t>
        </w:r>
      </w:hyperlink>
      <w:r>
        <w:rPr>
          <w:rFonts w:ascii="Arial" w:eastAsia="Arial" w:hAnsi="Arial" w:cs="Arial"/>
          <w:color w:val="000000"/>
          <w:sz w:val="22"/>
          <w:szCs w:val="22"/>
        </w:rPr>
        <w:t xml:space="preserve"> to release confidential health records without consent for the purposes of the prevention or detection of crime or the apprehension or prosecution of offenders. The release of the information must be necessary for the administration of justice and is only lawful if this is necessary: </w:t>
      </w:r>
    </w:p>
    <w:p w14:paraId="000000B3" w14:textId="77777777" w:rsidR="00414D55" w:rsidRDefault="00414D55">
      <w:pPr>
        <w:ind w:left="720"/>
        <w:rPr>
          <w:rFonts w:ascii="Arial" w:eastAsia="Arial" w:hAnsi="Arial" w:cs="Arial"/>
          <w:color w:val="000000"/>
          <w:sz w:val="22"/>
          <w:szCs w:val="22"/>
        </w:rPr>
      </w:pPr>
    </w:p>
    <w:p w14:paraId="000000B4" w14:textId="77777777" w:rsidR="00414D55" w:rsidRDefault="004C1F5A">
      <w:pPr>
        <w:numPr>
          <w:ilvl w:val="1"/>
          <w:numId w:val="26"/>
        </w:numPr>
        <w:rPr>
          <w:rFonts w:ascii="Arial" w:eastAsia="Arial" w:hAnsi="Arial" w:cs="Arial"/>
          <w:color w:val="000000"/>
          <w:sz w:val="22"/>
          <w:szCs w:val="22"/>
        </w:rPr>
      </w:pPr>
      <w:r>
        <w:rPr>
          <w:rFonts w:ascii="Arial" w:eastAsia="Arial" w:hAnsi="Arial" w:cs="Arial"/>
          <w:color w:val="000000"/>
          <w:sz w:val="22"/>
          <w:szCs w:val="22"/>
        </w:rPr>
        <w:t xml:space="preserve">To protect the patient or another person’s vital interests, or </w:t>
      </w:r>
    </w:p>
    <w:p w14:paraId="000000B5" w14:textId="77777777" w:rsidR="00414D55" w:rsidRDefault="00414D55">
      <w:pPr>
        <w:ind w:left="1440"/>
        <w:rPr>
          <w:rFonts w:ascii="Arial" w:eastAsia="Arial" w:hAnsi="Arial" w:cs="Arial"/>
          <w:color w:val="000000"/>
          <w:sz w:val="22"/>
          <w:szCs w:val="22"/>
        </w:rPr>
      </w:pPr>
    </w:p>
    <w:p w14:paraId="000000B6" w14:textId="77777777" w:rsidR="00414D55" w:rsidRDefault="004C1F5A">
      <w:pPr>
        <w:numPr>
          <w:ilvl w:val="1"/>
          <w:numId w:val="26"/>
        </w:numPr>
        <w:rPr>
          <w:rFonts w:ascii="Arial" w:eastAsia="Arial" w:hAnsi="Arial" w:cs="Arial"/>
          <w:color w:val="000000"/>
          <w:sz w:val="22"/>
          <w:szCs w:val="22"/>
        </w:rPr>
      </w:pPr>
      <w:r>
        <w:rPr>
          <w:rFonts w:ascii="Arial" w:eastAsia="Arial" w:hAnsi="Arial" w:cs="Arial"/>
          <w:color w:val="000000"/>
          <w:sz w:val="22"/>
          <w:szCs w:val="22"/>
        </w:rPr>
        <w:t xml:space="preserve">For the purposes of the prevention or detection of any unlawful act where seeking consent would prejudice those purposes and disclosure is in the substantial public interest (e.g., when the seriousness of the crime means there is a pressing social need for disclosure) </w:t>
      </w:r>
    </w:p>
    <w:p w14:paraId="000000B7" w14:textId="77777777" w:rsidR="00414D55" w:rsidRDefault="00414D55">
      <w:pPr>
        <w:ind w:left="1440"/>
        <w:rPr>
          <w:rFonts w:ascii="Arial" w:eastAsia="Arial" w:hAnsi="Arial" w:cs="Arial"/>
          <w:color w:val="000000"/>
          <w:sz w:val="22"/>
          <w:szCs w:val="22"/>
        </w:rPr>
      </w:pPr>
    </w:p>
    <w:p w14:paraId="000000B8" w14:textId="33B8CD95" w:rsidR="00414D55" w:rsidRDefault="004C1F5A">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Only information that is strictly relevant to a specific police investigation should be considered for release and only then if the police investigation would be seriously prejudiced or delayed without it. </w:t>
      </w:r>
    </w:p>
    <w:p w14:paraId="000000B9" w14:textId="77777777" w:rsidR="00414D55" w:rsidRDefault="00414D55">
      <w:pPr>
        <w:ind w:right="240"/>
        <w:rPr>
          <w:rFonts w:ascii="Arial" w:eastAsia="Arial" w:hAnsi="Arial" w:cs="Arial"/>
          <w:color w:val="202A30"/>
          <w:sz w:val="22"/>
          <w:szCs w:val="22"/>
        </w:rPr>
      </w:pPr>
    </w:p>
    <w:p w14:paraId="000000BA" w14:textId="77777777" w:rsidR="00414D55" w:rsidRDefault="004C1F5A">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202A30"/>
          <w:sz w:val="22"/>
          <w:szCs w:val="22"/>
        </w:rPr>
        <w:t xml:space="preserve">Court representatives </w:t>
      </w:r>
      <w:r>
        <w:rPr>
          <w:rFonts w:ascii="Arial" w:eastAsia="Arial" w:hAnsi="Arial" w:cs="Arial"/>
          <w:color w:val="202A30"/>
          <w:sz w:val="22"/>
          <w:szCs w:val="22"/>
        </w:rPr>
        <w:t>–</w:t>
      </w:r>
      <w:r>
        <w:rPr>
          <w:rFonts w:ascii="Arial" w:eastAsia="Arial" w:hAnsi="Arial" w:cs="Arial"/>
          <w:b/>
          <w:color w:val="202A30"/>
          <w:sz w:val="22"/>
          <w:szCs w:val="22"/>
        </w:rPr>
        <w:t xml:space="preserve"> </w:t>
      </w:r>
      <w:r>
        <w:rPr>
          <w:rFonts w:ascii="Arial" w:eastAsia="Arial" w:hAnsi="Arial" w:cs="Arial"/>
          <w:color w:val="000000"/>
          <w:sz w:val="22"/>
          <w:szCs w:val="22"/>
        </w:rPr>
        <w:t xml:space="preserve">A person appointed by the court to manage the affairs of a patient who is incapable of managing his or her own affairs may make an application. Access may be denied when the responsible clinician is of the opinion that the patient underwent relevant examinations or investigations in the expectation that the information would not be disclosed to the applicant. </w:t>
      </w:r>
    </w:p>
    <w:p w14:paraId="000000BB" w14:textId="77777777" w:rsidR="00414D55" w:rsidRDefault="00414D55">
      <w:pPr>
        <w:pBdr>
          <w:top w:val="nil"/>
          <w:left w:val="nil"/>
          <w:bottom w:val="nil"/>
          <w:right w:val="nil"/>
          <w:between w:val="nil"/>
        </w:pBdr>
        <w:ind w:left="720" w:right="240"/>
        <w:rPr>
          <w:rFonts w:ascii="Arial" w:eastAsia="Arial" w:hAnsi="Arial" w:cs="Arial"/>
          <w:color w:val="202A30"/>
          <w:sz w:val="22"/>
          <w:szCs w:val="22"/>
        </w:rPr>
      </w:pPr>
    </w:p>
    <w:p w14:paraId="000000BC" w14:textId="1E4A7CDF" w:rsidR="00414D55" w:rsidRDefault="004C1F5A">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202A30"/>
          <w:sz w:val="22"/>
          <w:szCs w:val="22"/>
        </w:rPr>
        <w:t xml:space="preserve">Patient representatives/solicitors </w:t>
      </w:r>
      <w:r>
        <w:rPr>
          <w:rFonts w:ascii="Arial" w:eastAsia="Arial" w:hAnsi="Arial" w:cs="Arial"/>
          <w:color w:val="202A30"/>
          <w:sz w:val="22"/>
          <w:szCs w:val="22"/>
        </w:rPr>
        <w:t xml:space="preserve">– </w:t>
      </w:r>
      <w:r>
        <w:rPr>
          <w:rFonts w:ascii="Arial" w:eastAsia="Arial" w:hAnsi="Arial" w:cs="Arial"/>
          <w:color w:val="000000"/>
          <w:sz w:val="22"/>
          <w:szCs w:val="22"/>
        </w:rPr>
        <w:t>A patient can give written authorisation for a person (for example a solicitor or relative) to make an application on their behalf for copies of their medical records. Th</w:t>
      </w:r>
      <w:r w:rsidR="0040789A">
        <w:rPr>
          <w:rFonts w:ascii="Arial" w:eastAsia="Arial" w:hAnsi="Arial" w:cs="Arial"/>
          <w:color w:val="000000"/>
          <w:sz w:val="22"/>
          <w:szCs w:val="22"/>
        </w:rPr>
        <w:t>e Practice</w:t>
      </w:r>
      <w:r>
        <w:rPr>
          <w:rFonts w:ascii="Arial" w:eastAsia="Arial" w:hAnsi="Arial" w:cs="Arial"/>
          <w:color w:val="000000"/>
          <w:sz w:val="22"/>
          <w:szCs w:val="22"/>
        </w:rPr>
        <w:t xml:space="preserve"> may withhold access if it is of the view that the patient authorising the access has not understood the meaning of the authorisation. It is important to stress to the patient that under a SAR, all health records are provided unless a specific time period is </w:t>
      </w:r>
      <w:proofErr w:type="gramStart"/>
      <w:r>
        <w:rPr>
          <w:rFonts w:ascii="Arial" w:eastAsia="Arial" w:hAnsi="Arial" w:cs="Arial"/>
          <w:color w:val="000000"/>
          <w:sz w:val="22"/>
          <w:szCs w:val="22"/>
        </w:rPr>
        <w:t>stated</w:t>
      </w:r>
      <w:proofErr w:type="gramEnd"/>
      <w:r>
        <w:rPr>
          <w:rFonts w:ascii="Arial" w:eastAsia="Arial" w:hAnsi="Arial" w:cs="Arial"/>
          <w:color w:val="000000"/>
          <w:sz w:val="22"/>
          <w:szCs w:val="22"/>
        </w:rPr>
        <w:t xml:space="preserve"> and patients should be mindful of giving access to this level of health data. </w:t>
      </w:r>
    </w:p>
    <w:p w14:paraId="000000BD" w14:textId="77777777" w:rsidR="00414D55" w:rsidRDefault="00414D55">
      <w:pPr>
        <w:rPr>
          <w:rFonts w:ascii="Arial" w:eastAsia="Arial" w:hAnsi="Arial" w:cs="Arial"/>
          <w:sz w:val="22"/>
          <w:szCs w:val="22"/>
        </w:rPr>
      </w:pPr>
    </w:p>
    <w:p w14:paraId="000000BE" w14:textId="77777777" w:rsidR="00414D55" w:rsidRDefault="004C1F5A">
      <w:pPr>
        <w:ind w:left="720"/>
        <w:rPr>
          <w:rFonts w:ascii="Arial" w:eastAsia="Arial" w:hAnsi="Arial" w:cs="Arial"/>
          <w:sz w:val="22"/>
          <w:szCs w:val="22"/>
        </w:rPr>
      </w:pPr>
      <w:r>
        <w:rPr>
          <w:rFonts w:ascii="Arial" w:eastAsia="Arial" w:hAnsi="Arial" w:cs="Arial"/>
          <w:sz w:val="22"/>
          <w:szCs w:val="22"/>
        </w:rPr>
        <w:t xml:space="preserve">Solicitors who are acting in civil litigation cases for patients should obtain consent from the patient using the form that has been agreed with the BMA and the Law </w:t>
      </w:r>
      <w:r>
        <w:rPr>
          <w:rFonts w:ascii="Arial" w:eastAsia="Arial" w:hAnsi="Arial" w:cs="Arial"/>
          <w:sz w:val="22"/>
          <w:szCs w:val="22"/>
        </w:rPr>
        <w:lastRenderedPageBreak/>
        <w:t xml:space="preserve">Society. If a consent form from the patient is not received with the application </w:t>
      </w:r>
      <w:proofErr w:type="gramStart"/>
      <w:r>
        <w:rPr>
          <w:rFonts w:ascii="Arial" w:eastAsia="Arial" w:hAnsi="Arial" w:cs="Arial"/>
          <w:sz w:val="22"/>
          <w:szCs w:val="22"/>
        </w:rPr>
        <w:t>form</w:t>
      </w:r>
      <w:proofErr w:type="gramEnd"/>
      <w:r>
        <w:rPr>
          <w:rFonts w:ascii="Arial" w:eastAsia="Arial" w:hAnsi="Arial" w:cs="Arial"/>
          <w:sz w:val="22"/>
          <w:szCs w:val="22"/>
        </w:rPr>
        <w:t xml:space="preserve"> then no information must be provided until this has been received. </w:t>
      </w:r>
    </w:p>
    <w:p w14:paraId="000000BF" w14:textId="77777777" w:rsidR="00414D55" w:rsidRDefault="00414D55">
      <w:pPr>
        <w:ind w:left="720"/>
        <w:rPr>
          <w:rFonts w:ascii="Arial" w:eastAsia="Arial" w:hAnsi="Arial" w:cs="Arial"/>
          <w:sz w:val="22"/>
          <w:szCs w:val="22"/>
        </w:rPr>
      </w:pPr>
    </w:p>
    <w:p w14:paraId="000000C0" w14:textId="0A3D5063" w:rsidR="00414D55" w:rsidRDefault="004C1F5A">
      <w:pPr>
        <w:numPr>
          <w:ilvl w:val="0"/>
          <w:numId w:val="22"/>
        </w:numPr>
        <w:pBdr>
          <w:top w:val="nil"/>
          <w:left w:val="nil"/>
          <w:bottom w:val="nil"/>
          <w:right w:val="nil"/>
          <w:between w:val="nil"/>
        </w:pBdr>
        <w:ind w:right="240"/>
        <w:rPr>
          <w:rFonts w:ascii="Arial" w:eastAsia="Arial" w:hAnsi="Arial" w:cs="Arial"/>
          <w:color w:val="202A30"/>
          <w:sz w:val="22"/>
          <w:szCs w:val="22"/>
        </w:rPr>
      </w:pPr>
      <w:r>
        <w:rPr>
          <w:rFonts w:ascii="Arial" w:eastAsia="Arial" w:hAnsi="Arial" w:cs="Arial"/>
          <w:b/>
          <w:color w:val="202A30"/>
          <w:sz w:val="22"/>
          <w:szCs w:val="22"/>
        </w:rPr>
        <w:t xml:space="preserve">Requests for insurance medical reports </w:t>
      </w:r>
      <w:r>
        <w:rPr>
          <w:rFonts w:ascii="Arial" w:eastAsia="Arial" w:hAnsi="Arial" w:cs="Arial"/>
          <w:color w:val="202A30"/>
          <w:sz w:val="22"/>
          <w:szCs w:val="22"/>
        </w:rPr>
        <w:t xml:space="preserve">– </w:t>
      </w:r>
      <w:r>
        <w:rPr>
          <w:rFonts w:ascii="Arial" w:eastAsia="Arial" w:hAnsi="Arial" w:cs="Arial"/>
          <w:color w:val="000000"/>
          <w:sz w:val="22"/>
          <w:szCs w:val="22"/>
        </w:rPr>
        <w:t xml:space="preserve">SARs are not appropriate should an insurance company require health data to assess a claim. The correct process for this at </w:t>
      </w:r>
      <w:r w:rsidR="00037806">
        <w:rPr>
          <w:rFonts w:ascii="Arial" w:eastAsia="Arial" w:hAnsi="Arial" w:cs="Arial"/>
          <w:color w:val="000000"/>
          <w:sz w:val="22"/>
          <w:szCs w:val="22"/>
        </w:rPr>
        <w:t>the Empingham Medical Centre</w:t>
      </w:r>
      <w:r>
        <w:rPr>
          <w:rFonts w:ascii="Arial" w:eastAsia="Arial" w:hAnsi="Arial" w:cs="Arial"/>
          <w:color w:val="000000"/>
          <w:sz w:val="22"/>
          <w:szCs w:val="22"/>
        </w:rPr>
        <w:t xml:space="preserve"> is for the insurer to use the </w:t>
      </w:r>
      <w:hyperlink r:id="rId32">
        <w:r w:rsidR="00414D55">
          <w:rPr>
            <w:rFonts w:ascii="Arial" w:eastAsia="Arial" w:hAnsi="Arial" w:cs="Arial"/>
            <w:color w:val="0563C1"/>
            <w:sz w:val="22"/>
            <w:szCs w:val="22"/>
            <w:u w:val="single"/>
          </w:rPr>
          <w:t>Access to Medical Reports Act 1988</w:t>
        </w:r>
      </w:hyperlink>
      <w:r>
        <w:rPr>
          <w:rFonts w:ascii="Arial" w:eastAsia="Arial" w:hAnsi="Arial" w:cs="Arial"/>
          <w:color w:val="000000"/>
          <w:sz w:val="22"/>
          <w:szCs w:val="22"/>
        </w:rPr>
        <w:t xml:space="preserve"> when requesting a GP report. </w:t>
      </w:r>
    </w:p>
    <w:p w14:paraId="000000C1" w14:textId="77777777" w:rsidR="00414D55" w:rsidRDefault="00414D55">
      <w:pPr>
        <w:ind w:left="720"/>
        <w:rPr>
          <w:rFonts w:ascii="Arial" w:eastAsia="Arial" w:hAnsi="Arial" w:cs="Arial"/>
          <w:sz w:val="22"/>
          <w:szCs w:val="22"/>
        </w:rPr>
      </w:pPr>
    </w:p>
    <w:p w14:paraId="000000C2" w14:textId="77777777" w:rsidR="00414D55" w:rsidRDefault="004C1F5A">
      <w:pPr>
        <w:pBdr>
          <w:top w:val="nil"/>
          <w:left w:val="nil"/>
          <w:bottom w:val="nil"/>
          <w:right w:val="nil"/>
          <w:between w:val="nil"/>
        </w:pBdr>
        <w:ind w:left="720" w:right="240"/>
        <w:rPr>
          <w:rFonts w:ascii="Arial" w:eastAsia="Arial" w:hAnsi="Arial" w:cs="Arial"/>
          <w:color w:val="000000"/>
          <w:sz w:val="22"/>
          <w:szCs w:val="22"/>
        </w:rPr>
      </w:pPr>
      <w:bookmarkStart w:id="13" w:name="_heading=h.43s0061wv1s4" w:colFirst="0" w:colLast="0"/>
      <w:bookmarkEnd w:id="13"/>
      <w:r>
        <w:rPr>
          <w:rFonts w:ascii="Arial" w:eastAsia="Arial" w:hAnsi="Arial" w:cs="Arial"/>
          <w:color w:val="000000"/>
          <w:sz w:val="22"/>
          <w:szCs w:val="22"/>
        </w:rPr>
        <w:t xml:space="preserve">In most cases, the requester will provide the patient’s signed consent to release information held in their health record. The BMA have issued </w:t>
      </w:r>
      <w:hyperlink r:id="rId33">
        <w:r w:rsidR="00414D55">
          <w:rPr>
            <w:rFonts w:ascii="Arial" w:eastAsia="Arial" w:hAnsi="Arial" w:cs="Arial"/>
            <w:color w:val="0563C1"/>
            <w:sz w:val="22"/>
            <w:szCs w:val="22"/>
            <w:u w:val="single"/>
          </w:rPr>
          <w:t>guidance</w:t>
        </w:r>
      </w:hyperlink>
      <w:r>
        <w:rPr>
          <w:rFonts w:ascii="Arial" w:eastAsia="Arial" w:hAnsi="Arial" w:cs="Arial"/>
          <w:color w:val="000000"/>
          <w:sz w:val="22"/>
          <w:szCs w:val="22"/>
        </w:rPr>
        <w:t xml:space="preserve"> on requests for medical information from insurers.</w:t>
      </w:r>
    </w:p>
    <w:p w14:paraId="000000C3" w14:textId="77777777" w:rsidR="00414D55" w:rsidRDefault="00414D55">
      <w:pPr>
        <w:rPr>
          <w:rFonts w:ascii="Arial" w:eastAsia="Arial" w:hAnsi="Arial" w:cs="Arial"/>
          <w:sz w:val="20"/>
          <w:szCs w:val="20"/>
        </w:rPr>
      </w:pPr>
    </w:p>
    <w:p w14:paraId="000000C4" w14:textId="5EECEB30" w:rsidR="00414D55" w:rsidRDefault="004C1F5A">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Therefore, th</w:t>
      </w:r>
      <w:r w:rsidR="00037806">
        <w:rPr>
          <w:rFonts w:ascii="Arial" w:eastAsia="Arial" w:hAnsi="Arial" w:cs="Arial"/>
          <w:color w:val="000000"/>
          <w:sz w:val="22"/>
          <w:szCs w:val="22"/>
        </w:rPr>
        <w:t>e Practice</w:t>
      </w:r>
      <w:r>
        <w:rPr>
          <w:rFonts w:ascii="Arial" w:eastAsia="Arial" w:hAnsi="Arial" w:cs="Arial"/>
          <w:color w:val="000000"/>
          <w:sz w:val="22"/>
          <w:szCs w:val="22"/>
        </w:rPr>
        <w:t xml:space="preserve"> will contact the patient to explain the extent of disclosure sought by the third party. The </w:t>
      </w:r>
      <w:r w:rsidR="00037806">
        <w:rPr>
          <w:rFonts w:ascii="Arial" w:eastAsia="Arial" w:hAnsi="Arial" w:cs="Arial"/>
          <w:color w:val="000000"/>
          <w:sz w:val="22"/>
          <w:szCs w:val="22"/>
        </w:rPr>
        <w:t>Practice</w:t>
      </w:r>
      <w:r>
        <w:rPr>
          <w:rFonts w:ascii="Arial" w:eastAsia="Arial" w:hAnsi="Arial" w:cs="Arial"/>
          <w:color w:val="000000"/>
          <w:sz w:val="22"/>
          <w:szCs w:val="22"/>
        </w:rPr>
        <w:t xml:space="preserve"> can then provide the patient with the medical record as opposed to the insurer. The patient is then given the opportunity to review their record and decide whether they are content to share the information with the insurance company.</w:t>
      </w:r>
    </w:p>
    <w:p w14:paraId="000000C5" w14:textId="77777777" w:rsidR="00414D55" w:rsidRDefault="00414D55">
      <w:pPr>
        <w:rPr>
          <w:rFonts w:ascii="Arial" w:eastAsia="Arial" w:hAnsi="Arial" w:cs="Arial"/>
          <w:sz w:val="22"/>
          <w:szCs w:val="22"/>
        </w:rPr>
      </w:pPr>
    </w:p>
    <w:p w14:paraId="000000C6" w14:textId="77777777" w:rsidR="00414D55" w:rsidRDefault="004C1F5A">
      <w:pPr>
        <w:ind w:left="720"/>
        <w:rPr>
          <w:rFonts w:ascii="Arial" w:eastAsia="Arial" w:hAnsi="Arial" w:cs="Arial"/>
          <w:sz w:val="22"/>
          <w:szCs w:val="22"/>
        </w:rPr>
      </w:pPr>
      <w:r>
        <w:rPr>
          <w:rFonts w:ascii="Arial" w:eastAsia="Arial" w:hAnsi="Arial" w:cs="Arial"/>
          <w:sz w:val="22"/>
          <w:szCs w:val="22"/>
        </w:rPr>
        <w:t xml:space="preserve">Insurers are to be advised that the following fees are applicable and as detailed within </w:t>
      </w:r>
      <w:hyperlink r:id="rId34">
        <w:r w:rsidR="00414D55">
          <w:rPr>
            <w:rFonts w:ascii="Arial" w:eastAsia="Arial" w:hAnsi="Arial" w:cs="Arial"/>
            <w:color w:val="0563C1"/>
            <w:sz w:val="22"/>
            <w:szCs w:val="22"/>
            <w:u w:val="single"/>
          </w:rPr>
          <w:t>BMA Guidance Fees</w:t>
        </w:r>
      </w:hyperlink>
      <w:r>
        <w:rPr>
          <w:rFonts w:ascii="Arial" w:eastAsia="Arial" w:hAnsi="Arial" w:cs="Arial"/>
          <w:sz w:val="22"/>
          <w:szCs w:val="22"/>
        </w:rPr>
        <w:t>:</w:t>
      </w:r>
    </w:p>
    <w:p w14:paraId="000000C7" w14:textId="77777777" w:rsidR="00414D55" w:rsidRDefault="00414D55">
      <w:pPr>
        <w:ind w:left="720"/>
        <w:rPr>
          <w:rFonts w:ascii="Arial" w:eastAsia="Arial" w:hAnsi="Arial" w:cs="Arial"/>
          <w:sz w:val="22"/>
          <w:szCs w:val="22"/>
        </w:rPr>
      </w:pPr>
    </w:p>
    <w:p w14:paraId="000000C8" w14:textId="77777777" w:rsidR="00414D55" w:rsidRDefault="004C1F5A">
      <w:pPr>
        <w:numPr>
          <w:ilvl w:val="0"/>
          <w:numId w:val="9"/>
        </w:numPr>
        <w:ind w:left="1440"/>
        <w:rPr>
          <w:rFonts w:ascii="Arial" w:eastAsia="Arial" w:hAnsi="Arial" w:cs="Arial"/>
          <w:sz w:val="22"/>
          <w:szCs w:val="22"/>
        </w:rPr>
      </w:pPr>
      <w:r>
        <w:rPr>
          <w:rFonts w:ascii="Arial" w:eastAsia="Arial" w:hAnsi="Arial" w:cs="Arial"/>
          <w:sz w:val="22"/>
          <w:szCs w:val="22"/>
        </w:rPr>
        <w:t>GP report for insurance applicants £104.00</w:t>
      </w:r>
    </w:p>
    <w:p w14:paraId="000000C9" w14:textId="77777777" w:rsidR="00414D55" w:rsidRDefault="004C1F5A">
      <w:pPr>
        <w:numPr>
          <w:ilvl w:val="0"/>
          <w:numId w:val="9"/>
        </w:numPr>
        <w:ind w:left="1440"/>
        <w:rPr>
          <w:rFonts w:ascii="Arial" w:eastAsia="Arial" w:hAnsi="Arial" w:cs="Arial"/>
          <w:sz w:val="22"/>
          <w:szCs w:val="22"/>
        </w:rPr>
      </w:pPr>
      <w:r>
        <w:rPr>
          <w:rFonts w:ascii="Arial" w:eastAsia="Arial" w:hAnsi="Arial" w:cs="Arial"/>
          <w:sz w:val="22"/>
          <w:szCs w:val="22"/>
        </w:rPr>
        <w:t>GP supplementary report £27.00</w:t>
      </w:r>
    </w:p>
    <w:p w14:paraId="000000CA" w14:textId="77777777" w:rsidR="00414D55" w:rsidRDefault="00414D55">
      <w:pPr>
        <w:rPr>
          <w:rFonts w:ascii="Arial" w:eastAsia="Arial" w:hAnsi="Arial" w:cs="Arial"/>
          <w:sz w:val="22"/>
          <w:szCs w:val="22"/>
        </w:rPr>
      </w:pPr>
    </w:p>
    <w:p w14:paraId="000000CB" w14:textId="6612DB76" w:rsidR="00414D55" w:rsidRDefault="004C1F5A">
      <w:pPr>
        <w:rPr>
          <w:rFonts w:ascii="Arial" w:eastAsia="Arial" w:hAnsi="Arial" w:cs="Arial"/>
          <w:sz w:val="22"/>
          <w:szCs w:val="22"/>
        </w:rPr>
      </w:pPr>
      <w:r>
        <w:rPr>
          <w:rFonts w:ascii="Arial" w:eastAsia="Arial" w:hAnsi="Arial" w:cs="Arial"/>
          <w:sz w:val="22"/>
          <w:szCs w:val="22"/>
        </w:rPr>
        <w:t>It is the responsibility of the data controller to verify all requests from data subjects using reasonable measures. The use of the</w:t>
      </w:r>
      <w:r w:rsidR="00037806">
        <w:rPr>
          <w:rFonts w:ascii="Arial" w:eastAsia="Arial" w:hAnsi="Arial" w:cs="Arial"/>
          <w:sz w:val="22"/>
          <w:szCs w:val="22"/>
        </w:rPr>
        <w:t xml:space="preserve"> Practice’s</w:t>
      </w:r>
      <w:r>
        <w:rPr>
          <w:rFonts w:ascii="Arial" w:eastAsia="Arial" w:hAnsi="Arial" w:cs="Arial"/>
          <w:sz w:val="22"/>
          <w:szCs w:val="22"/>
        </w:rPr>
        <w:t xml:space="preserve"> SAR form supports the data controller in verifying the request. In addition, the data controller is permitted to ask for evidence to identify the data subject, usually by using photographic identification, i.e., driving licence or passport.</w:t>
      </w:r>
    </w:p>
    <w:p w14:paraId="000000CC" w14:textId="77777777" w:rsidR="00414D55" w:rsidRDefault="00414D55">
      <w:pPr>
        <w:rPr>
          <w:rFonts w:ascii="Arial" w:eastAsia="Arial" w:hAnsi="Arial" w:cs="Arial"/>
          <w:sz w:val="22"/>
          <w:szCs w:val="22"/>
        </w:rPr>
      </w:pPr>
    </w:p>
    <w:p w14:paraId="000000CD" w14:textId="77777777" w:rsidR="00414D55" w:rsidRDefault="004C1F5A">
      <w:pPr>
        <w:pStyle w:val="Heading2"/>
        <w:numPr>
          <w:ilvl w:val="1"/>
          <w:numId w:val="1"/>
        </w:numPr>
        <w:rPr>
          <w:rFonts w:ascii="Arial" w:eastAsia="Arial" w:hAnsi="Arial" w:cs="Arial"/>
          <w:smallCaps w:val="0"/>
          <w:sz w:val="24"/>
          <w:szCs w:val="24"/>
        </w:rPr>
      </w:pPr>
      <w:bookmarkStart w:id="14" w:name="_Toc215131173"/>
      <w:r>
        <w:rPr>
          <w:rFonts w:ascii="Arial" w:eastAsia="Arial" w:hAnsi="Arial" w:cs="Arial"/>
          <w:smallCaps w:val="0"/>
          <w:sz w:val="24"/>
          <w:szCs w:val="24"/>
        </w:rPr>
        <w:t>Processing a SAR request</w:t>
      </w:r>
      <w:bookmarkEnd w:id="14"/>
    </w:p>
    <w:p w14:paraId="000000CE" w14:textId="77777777" w:rsidR="00414D55" w:rsidRDefault="00414D55">
      <w:pPr>
        <w:rPr>
          <w:rFonts w:ascii="Arial" w:eastAsia="Arial" w:hAnsi="Arial" w:cs="Arial"/>
          <w:sz w:val="22"/>
          <w:szCs w:val="22"/>
        </w:rPr>
      </w:pPr>
    </w:p>
    <w:p w14:paraId="000000CF" w14:textId="00FB1A29" w:rsidR="00414D55" w:rsidRDefault="004C1F5A">
      <w:pPr>
        <w:ind w:right="240"/>
        <w:rPr>
          <w:rFonts w:ascii="Arial" w:eastAsia="Arial" w:hAnsi="Arial" w:cs="Arial"/>
          <w:sz w:val="22"/>
          <w:szCs w:val="22"/>
        </w:rPr>
      </w:pPr>
      <w:r>
        <w:rPr>
          <w:rFonts w:ascii="Arial" w:eastAsia="Arial" w:hAnsi="Arial" w:cs="Arial"/>
          <w:sz w:val="22"/>
          <w:szCs w:val="22"/>
        </w:rPr>
        <w:t xml:space="preserve">Upon receipt of a SAR, a record of this is to be detailed within the individuals’ health record, as well as </w:t>
      </w:r>
      <w:r w:rsidR="00037806">
        <w:rPr>
          <w:rFonts w:ascii="Arial" w:eastAsia="Arial" w:hAnsi="Arial" w:cs="Arial"/>
          <w:sz w:val="22"/>
          <w:szCs w:val="22"/>
        </w:rPr>
        <w:t>being added to the Practice’s</w:t>
      </w:r>
      <w:r>
        <w:rPr>
          <w:rFonts w:ascii="Arial" w:eastAsia="Arial" w:hAnsi="Arial" w:cs="Arial"/>
          <w:sz w:val="22"/>
          <w:szCs w:val="22"/>
        </w:rPr>
        <w:t xml:space="preserve"> Data Subject Access Request (SAR) Register. Once processed, another entry onto the health record should be made, including the date of postage or the date the record was collected by the patient or authorised individual in addition to updating the SAR Register.</w:t>
      </w:r>
    </w:p>
    <w:p w14:paraId="000000D0" w14:textId="77777777" w:rsidR="00414D55" w:rsidRDefault="00414D55">
      <w:pPr>
        <w:ind w:right="240"/>
        <w:rPr>
          <w:rFonts w:ascii="Arial" w:eastAsia="Arial" w:hAnsi="Arial" w:cs="Arial"/>
          <w:sz w:val="22"/>
          <w:szCs w:val="22"/>
        </w:rPr>
      </w:pPr>
    </w:p>
    <w:p w14:paraId="000000D1" w14:textId="77777777" w:rsidR="00414D55" w:rsidRDefault="004C1F5A">
      <w:pPr>
        <w:ind w:right="240"/>
        <w:rPr>
          <w:rFonts w:ascii="Arial" w:eastAsia="Arial" w:hAnsi="Arial" w:cs="Arial"/>
          <w:sz w:val="22"/>
          <w:szCs w:val="22"/>
        </w:rPr>
      </w:pPr>
      <w:r>
        <w:rPr>
          <w:rFonts w:ascii="Arial" w:eastAsia="Arial" w:hAnsi="Arial" w:cs="Arial"/>
          <w:color w:val="000000"/>
          <w:sz w:val="22"/>
          <w:szCs w:val="22"/>
        </w:rPr>
        <w:t xml:space="preserve">Under </w:t>
      </w:r>
      <w:hyperlink r:id="rId35">
        <w:r w:rsidR="00414D55">
          <w:rPr>
            <w:rFonts w:ascii="Arial" w:eastAsia="Arial" w:hAnsi="Arial" w:cs="Arial"/>
            <w:sz w:val="22"/>
            <w:szCs w:val="22"/>
          </w:rPr>
          <w:t>the</w:t>
        </w:r>
      </w:hyperlink>
      <w:hyperlink r:id="rId36">
        <w:r w:rsidR="00414D55">
          <w:rPr>
            <w:rFonts w:ascii="Arial" w:eastAsia="Arial" w:hAnsi="Arial" w:cs="Arial"/>
            <w:color w:val="0563C1"/>
            <w:sz w:val="22"/>
            <w:szCs w:val="22"/>
          </w:rPr>
          <w:t xml:space="preserve"> </w:t>
        </w:r>
      </w:hyperlink>
      <w:hyperlink r:id="rId37">
        <w:r w:rsidR="00414D55">
          <w:rPr>
            <w:rFonts w:ascii="Arial" w:eastAsia="Arial" w:hAnsi="Arial" w:cs="Arial"/>
            <w:color w:val="0563C1"/>
            <w:sz w:val="22"/>
            <w:szCs w:val="22"/>
            <w:u w:val="single"/>
          </w:rPr>
          <w:t>Data Protection (Subject Access Modification) (Health) Order 2000</w:t>
        </w:r>
      </w:hyperlink>
      <w:r>
        <w:rPr>
          <w:rFonts w:ascii="Arial" w:eastAsia="Arial" w:hAnsi="Arial" w:cs="Arial"/>
          <w:sz w:val="22"/>
          <w:szCs w:val="22"/>
        </w:rPr>
        <w:t>,</w:t>
      </w:r>
      <w:r>
        <w:rPr>
          <w:rFonts w:ascii="Arial" w:eastAsia="Arial" w:hAnsi="Arial" w:cs="Arial"/>
          <w:color w:val="000000"/>
          <w:sz w:val="22"/>
          <w:szCs w:val="22"/>
        </w:rPr>
        <w:t xml:space="preserve"> </w:t>
      </w:r>
      <w:r>
        <w:rPr>
          <w:rFonts w:ascii="Arial" w:eastAsia="Arial" w:hAnsi="Arial" w:cs="Arial"/>
          <w:sz w:val="22"/>
          <w:szCs w:val="22"/>
        </w:rPr>
        <w:t>an appropriate healthcare professional (responsible clinician) manages all access matters. Whenever possible, the healthcare professional most recently involved in the care of the patient will review and deal with the request. If, for some reason, they are unable to manage the request, an appropriate professional will assume responsibility and manage the access request.</w:t>
      </w:r>
    </w:p>
    <w:p w14:paraId="000000D2" w14:textId="77777777" w:rsidR="00414D55" w:rsidRDefault="00414D55">
      <w:pPr>
        <w:ind w:right="240"/>
        <w:rPr>
          <w:rFonts w:ascii="Arial" w:eastAsia="Arial" w:hAnsi="Arial" w:cs="Arial"/>
          <w:color w:val="202A30"/>
          <w:sz w:val="22"/>
          <w:szCs w:val="22"/>
        </w:rPr>
      </w:pPr>
    </w:p>
    <w:p w14:paraId="000000D3" w14:textId="77777777" w:rsidR="00414D55" w:rsidRDefault="004C1F5A">
      <w:pPr>
        <w:ind w:right="240"/>
        <w:rPr>
          <w:rFonts w:ascii="Arial" w:eastAsia="Arial" w:hAnsi="Arial" w:cs="Arial"/>
          <w:color w:val="202A30"/>
          <w:sz w:val="22"/>
          <w:szCs w:val="22"/>
        </w:rPr>
      </w:pPr>
      <w:r>
        <w:rPr>
          <w:rFonts w:ascii="Arial" w:eastAsia="Arial" w:hAnsi="Arial" w:cs="Arial"/>
          <w:sz w:val="22"/>
          <w:szCs w:val="22"/>
        </w:rPr>
        <w:t xml:space="preserve">To ensure compliance, the data controller will ensure data is processed in accordance with </w:t>
      </w:r>
      <w:hyperlink r:id="rId38">
        <w:r w:rsidR="00414D55">
          <w:rPr>
            <w:rFonts w:ascii="Arial" w:eastAsia="Arial" w:hAnsi="Arial" w:cs="Arial"/>
            <w:color w:val="0563C1"/>
            <w:sz w:val="22"/>
            <w:szCs w:val="22"/>
            <w:u w:val="single"/>
          </w:rPr>
          <w:t>Article 5</w:t>
        </w:r>
      </w:hyperlink>
      <w:r>
        <w:rPr>
          <w:rFonts w:ascii="Arial" w:eastAsia="Arial" w:hAnsi="Arial" w:cs="Arial"/>
          <w:sz w:val="22"/>
          <w:szCs w:val="22"/>
        </w:rPr>
        <w:t xml:space="preserve"> of the UK GDPR. Individuals will have to verify their identity, and it is the responsibility of the data controller to verify all requests using reasonable measures. For further detailed information, refer to NHS England’s </w:t>
      </w:r>
      <w:hyperlink r:id="rId39">
        <w:r w:rsidR="00414D55">
          <w:rPr>
            <w:rFonts w:ascii="Arial" w:eastAsia="Arial" w:hAnsi="Arial" w:cs="Arial"/>
            <w:color w:val="0563C1"/>
            <w:sz w:val="22"/>
            <w:szCs w:val="22"/>
            <w:u w:val="single"/>
          </w:rPr>
          <w:t xml:space="preserve">Good practice guidance on identity verification </w:t>
        </w:r>
      </w:hyperlink>
      <w:r>
        <w:rPr>
          <w:rFonts w:ascii="Arial" w:eastAsia="Arial" w:hAnsi="Arial" w:cs="Arial"/>
          <w:sz w:val="22"/>
          <w:szCs w:val="22"/>
        </w:rPr>
        <w:t xml:space="preserve">and the </w:t>
      </w:r>
      <w:hyperlink w:anchor="_heading=h.lh3z0i7zpj8j">
        <w:r w:rsidR="00414D55">
          <w:rPr>
            <w:rFonts w:ascii="Arial" w:eastAsia="Arial" w:hAnsi="Arial" w:cs="Arial"/>
            <w:color w:val="0563C1"/>
            <w:sz w:val="22"/>
            <w:szCs w:val="22"/>
            <w:u w:val="single"/>
          </w:rPr>
          <w:t>Identity verification section</w:t>
        </w:r>
      </w:hyperlink>
      <w:r>
        <w:rPr>
          <w:rFonts w:ascii="Arial" w:eastAsia="Arial" w:hAnsi="Arial" w:cs="Arial"/>
          <w:sz w:val="22"/>
          <w:szCs w:val="22"/>
        </w:rPr>
        <w:t xml:space="preserve">. </w:t>
      </w:r>
    </w:p>
    <w:p w14:paraId="000000D4" w14:textId="77777777" w:rsidR="00414D55" w:rsidRDefault="00414D55">
      <w:pPr>
        <w:ind w:right="240"/>
        <w:rPr>
          <w:rFonts w:ascii="Arial" w:eastAsia="Arial" w:hAnsi="Arial" w:cs="Arial"/>
          <w:color w:val="202A30"/>
          <w:sz w:val="22"/>
          <w:szCs w:val="22"/>
        </w:rPr>
      </w:pPr>
    </w:p>
    <w:p w14:paraId="000000D6" w14:textId="77777777" w:rsidR="00414D55" w:rsidRDefault="004C1F5A">
      <w:pPr>
        <w:pStyle w:val="Heading2"/>
        <w:numPr>
          <w:ilvl w:val="1"/>
          <w:numId w:val="1"/>
        </w:numPr>
        <w:rPr>
          <w:rFonts w:ascii="Arial" w:eastAsia="Arial" w:hAnsi="Arial" w:cs="Arial"/>
          <w:smallCaps w:val="0"/>
          <w:sz w:val="24"/>
          <w:szCs w:val="24"/>
        </w:rPr>
      </w:pPr>
      <w:bookmarkStart w:id="15" w:name="_Toc215131174"/>
      <w:r>
        <w:rPr>
          <w:rFonts w:ascii="Arial" w:eastAsia="Arial" w:hAnsi="Arial" w:cs="Arial"/>
          <w:smallCaps w:val="0"/>
          <w:sz w:val="24"/>
          <w:szCs w:val="24"/>
        </w:rPr>
        <w:lastRenderedPageBreak/>
        <w:t>Timeframe for responding to requests</w:t>
      </w:r>
      <w:bookmarkEnd w:id="15"/>
    </w:p>
    <w:p w14:paraId="000000D7" w14:textId="77777777" w:rsidR="00414D55" w:rsidRDefault="00414D55">
      <w:pPr>
        <w:ind w:right="240"/>
        <w:rPr>
          <w:rFonts w:ascii="Arial" w:eastAsia="Arial" w:hAnsi="Arial" w:cs="Arial"/>
          <w:color w:val="000000"/>
          <w:sz w:val="22"/>
          <w:szCs w:val="22"/>
        </w:rPr>
      </w:pPr>
    </w:p>
    <w:p w14:paraId="000000D8" w14:textId="1DA04EED" w:rsidR="00414D55" w:rsidRDefault="004C1F5A">
      <w:pPr>
        <w:ind w:right="240"/>
        <w:rPr>
          <w:rFonts w:ascii="Arial" w:eastAsia="Arial" w:hAnsi="Arial" w:cs="Arial"/>
          <w:color w:val="000000"/>
          <w:sz w:val="22"/>
          <w:szCs w:val="22"/>
        </w:rPr>
      </w:pPr>
      <w:r>
        <w:rPr>
          <w:rFonts w:ascii="Arial" w:eastAsia="Arial" w:hAnsi="Arial" w:cs="Arial"/>
          <w:color w:val="000000"/>
          <w:sz w:val="22"/>
          <w:szCs w:val="22"/>
        </w:rPr>
        <w:t xml:space="preserve">In accordance with </w:t>
      </w:r>
      <w:hyperlink r:id="rId40">
        <w:r w:rsidR="00414D55">
          <w:rPr>
            <w:rFonts w:ascii="Arial" w:eastAsia="Arial" w:hAnsi="Arial" w:cs="Arial"/>
            <w:color w:val="0563C1"/>
            <w:sz w:val="22"/>
            <w:szCs w:val="22"/>
            <w:u w:val="single"/>
          </w:rPr>
          <w:t>Article 12</w:t>
        </w:r>
      </w:hyperlink>
      <w:r>
        <w:rPr>
          <w:rFonts w:ascii="Arial" w:eastAsia="Arial" w:hAnsi="Arial" w:cs="Arial"/>
          <w:color w:val="000000"/>
          <w:sz w:val="22"/>
          <w:szCs w:val="22"/>
        </w:rPr>
        <w:t xml:space="preserve"> of the UK GDPR, t</w:t>
      </w:r>
      <w:r w:rsidR="00037806">
        <w:rPr>
          <w:rFonts w:ascii="Arial" w:eastAsia="Arial" w:hAnsi="Arial" w:cs="Arial"/>
          <w:color w:val="000000"/>
          <w:sz w:val="22"/>
          <w:szCs w:val="22"/>
        </w:rPr>
        <w:t>he Practice</w:t>
      </w:r>
      <w:r>
        <w:rPr>
          <w:rFonts w:ascii="Arial" w:eastAsia="Arial" w:hAnsi="Arial" w:cs="Arial"/>
          <w:color w:val="000000"/>
          <w:sz w:val="22"/>
          <w:szCs w:val="22"/>
        </w:rPr>
        <w:t xml:space="preserve"> must respond to a SAR without undue delay and at the latest within one month of the receipt of the request. In the case of complex or multiple requests, the data controller may extend the response time by a period of two months. In such instances, the applicant must be informed in the first month and the reasons for the extension given.</w:t>
      </w:r>
    </w:p>
    <w:p w14:paraId="000000D9" w14:textId="77777777" w:rsidR="00414D55" w:rsidRDefault="00414D55">
      <w:pPr>
        <w:ind w:right="240"/>
        <w:rPr>
          <w:rFonts w:ascii="Arial" w:eastAsia="Arial" w:hAnsi="Arial" w:cs="Arial"/>
          <w:color w:val="000000"/>
          <w:sz w:val="22"/>
          <w:szCs w:val="22"/>
        </w:rPr>
      </w:pPr>
    </w:p>
    <w:p w14:paraId="000000DA" w14:textId="77777777" w:rsidR="00414D55" w:rsidRDefault="004C1F5A">
      <w:pPr>
        <w:ind w:right="240"/>
        <w:rPr>
          <w:rFonts w:ascii="Arial" w:eastAsia="Arial" w:hAnsi="Arial" w:cs="Arial"/>
          <w:color w:val="000000"/>
          <w:sz w:val="22"/>
          <w:szCs w:val="22"/>
        </w:rPr>
      </w:pPr>
      <w:r>
        <w:rPr>
          <w:rFonts w:ascii="Arial" w:eastAsia="Arial" w:hAnsi="Arial" w:cs="Arial"/>
          <w:color w:val="000000"/>
          <w:sz w:val="22"/>
          <w:szCs w:val="22"/>
        </w:rPr>
        <w:t xml:space="preserve">As detailed in </w:t>
      </w:r>
      <w:hyperlink r:id="rId41">
        <w:r w:rsidR="00414D55">
          <w:rPr>
            <w:rFonts w:ascii="Arial" w:eastAsia="Arial" w:hAnsi="Arial" w:cs="Arial"/>
            <w:color w:val="0563C1"/>
            <w:sz w:val="22"/>
            <w:szCs w:val="22"/>
            <w:u w:val="single"/>
          </w:rPr>
          <w:t>Article 15</w:t>
        </w:r>
      </w:hyperlink>
      <w:r>
        <w:rPr>
          <w:rFonts w:ascii="Arial" w:eastAsia="Arial" w:hAnsi="Arial" w:cs="Arial"/>
          <w:color w:val="000000"/>
          <w:sz w:val="22"/>
          <w:szCs w:val="22"/>
        </w:rPr>
        <w:t xml:space="preserve"> of the UK GDPR, the data subject is only entitled to such confirmation, personal data and other information as the controller is able to provide based on a reasonable and proportionate search for the data. </w:t>
      </w:r>
    </w:p>
    <w:p w14:paraId="000000DB" w14:textId="77777777" w:rsidR="00414D55" w:rsidRDefault="00414D55">
      <w:pPr>
        <w:ind w:right="240"/>
        <w:rPr>
          <w:rFonts w:ascii="Arial" w:eastAsia="Arial" w:hAnsi="Arial" w:cs="Arial"/>
          <w:color w:val="000000"/>
          <w:sz w:val="22"/>
          <w:szCs w:val="22"/>
        </w:rPr>
      </w:pPr>
    </w:p>
    <w:p w14:paraId="000000DC" w14:textId="77777777" w:rsidR="00414D55" w:rsidRDefault="004C1F5A">
      <w:pPr>
        <w:ind w:right="240"/>
        <w:rPr>
          <w:rFonts w:ascii="Arial" w:eastAsia="Arial" w:hAnsi="Arial" w:cs="Arial"/>
          <w:sz w:val="22"/>
          <w:szCs w:val="22"/>
        </w:rPr>
      </w:pPr>
      <w:r>
        <w:rPr>
          <w:rFonts w:ascii="Arial" w:eastAsia="Arial" w:hAnsi="Arial" w:cs="Arial"/>
          <w:sz w:val="22"/>
          <w:szCs w:val="22"/>
        </w:rPr>
        <w:t xml:space="preserve">Should the request involve a large amount of information, the data controller will ask the data subject to specify what data they require before responding to the request. Data controllers are permitted to ‘stop the clock’ in relation to the response time until clarification is received. For further detailed information, see the BMA’s </w:t>
      </w:r>
      <w:hyperlink r:id="rId42">
        <w:r w:rsidR="00414D55">
          <w:rPr>
            <w:rFonts w:ascii="Arial" w:eastAsia="Arial" w:hAnsi="Arial" w:cs="Arial"/>
            <w:color w:val="0563C1"/>
            <w:sz w:val="22"/>
            <w:szCs w:val="22"/>
            <w:u w:val="single"/>
          </w:rPr>
          <w:t>Access to health records</w:t>
        </w:r>
      </w:hyperlink>
      <w:r>
        <w:rPr>
          <w:rFonts w:ascii="Arial" w:eastAsia="Arial" w:hAnsi="Arial" w:cs="Arial"/>
          <w:sz w:val="22"/>
          <w:szCs w:val="22"/>
        </w:rPr>
        <w:t>.</w:t>
      </w:r>
    </w:p>
    <w:p w14:paraId="000000DD" w14:textId="77777777" w:rsidR="00414D55" w:rsidRDefault="004C1F5A">
      <w:pPr>
        <w:pStyle w:val="Heading2"/>
        <w:numPr>
          <w:ilvl w:val="1"/>
          <w:numId w:val="1"/>
        </w:numPr>
        <w:rPr>
          <w:rFonts w:ascii="Arial" w:eastAsia="Arial" w:hAnsi="Arial" w:cs="Arial"/>
          <w:smallCaps w:val="0"/>
          <w:sz w:val="24"/>
          <w:szCs w:val="24"/>
        </w:rPr>
      </w:pPr>
      <w:bookmarkStart w:id="16" w:name="_Toc215131175"/>
      <w:r>
        <w:rPr>
          <w:rFonts w:ascii="Arial" w:eastAsia="Arial" w:hAnsi="Arial" w:cs="Arial"/>
          <w:smallCaps w:val="0"/>
          <w:sz w:val="24"/>
          <w:szCs w:val="24"/>
        </w:rPr>
        <w:t>Fees</w:t>
      </w:r>
      <w:bookmarkEnd w:id="16"/>
    </w:p>
    <w:p w14:paraId="000000DE" w14:textId="77777777" w:rsidR="00414D55" w:rsidRDefault="00414D55">
      <w:pPr>
        <w:rPr>
          <w:rFonts w:ascii="Arial" w:eastAsia="Arial" w:hAnsi="Arial" w:cs="Arial"/>
          <w:sz w:val="22"/>
          <w:szCs w:val="22"/>
        </w:rPr>
      </w:pPr>
    </w:p>
    <w:p w14:paraId="000000DF" w14:textId="0A8228C3" w:rsidR="00414D55" w:rsidRDefault="004C1F5A">
      <w:pPr>
        <w:rPr>
          <w:rFonts w:ascii="Arial" w:eastAsia="Arial" w:hAnsi="Arial" w:cs="Arial"/>
          <w:sz w:val="22"/>
          <w:szCs w:val="22"/>
        </w:rPr>
      </w:pPr>
      <w:bookmarkStart w:id="17" w:name="_heading=h.g5mrspjl11mi" w:colFirst="0" w:colLast="0"/>
      <w:bookmarkEnd w:id="17"/>
      <w:r>
        <w:rPr>
          <w:rFonts w:ascii="Arial" w:eastAsia="Arial" w:hAnsi="Arial" w:cs="Arial"/>
          <w:sz w:val="22"/>
          <w:szCs w:val="22"/>
        </w:rPr>
        <w:t xml:space="preserve">As stated by the </w:t>
      </w:r>
      <w:hyperlink r:id="rId43" w:anchor="fee">
        <w:r w:rsidR="00414D55">
          <w:rPr>
            <w:rFonts w:ascii="Arial" w:eastAsia="Arial" w:hAnsi="Arial" w:cs="Arial"/>
            <w:color w:val="0563C1"/>
            <w:sz w:val="22"/>
            <w:szCs w:val="22"/>
            <w:u w:val="single"/>
          </w:rPr>
          <w:t>ICO</w:t>
        </w:r>
      </w:hyperlink>
      <w:r>
        <w:rPr>
          <w:rFonts w:ascii="Arial" w:eastAsia="Arial" w:hAnsi="Arial" w:cs="Arial"/>
          <w:sz w:val="22"/>
          <w:szCs w:val="22"/>
        </w:rPr>
        <w:t xml:space="preserve">, </w:t>
      </w:r>
      <w:r w:rsidR="00BB2B69">
        <w:rPr>
          <w:rFonts w:ascii="Arial" w:eastAsia="Arial" w:hAnsi="Arial" w:cs="Arial"/>
          <w:sz w:val="22"/>
          <w:szCs w:val="22"/>
        </w:rPr>
        <w:t xml:space="preserve">GP </w:t>
      </w:r>
      <w:proofErr w:type="spellStart"/>
      <w:r w:rsidR="00BB2B69">
        <w:rPr>
          <w:rFonts w:ascii="Arial" w:eastAsia="Arial" w:hAnsi="Arial" w:cs="Arial"/>
          <w:sz w:val="22"/>
          <w:szCs w:val="22"/>
        </w:rPr>
        <w:t>Practice’s</w:t>
      </w:r>
      <w:proofErr w:type="spellEnd"/>
      <w:r w:rsidR="00BB2B69">
        <w:rPr>
          <w:rFonts w:ascii="Arial" w:eastAsia="Arial" w:hAnsi="Arial" w:cs="Arial"/>
          <w:sz w:val="22"/>
          <w:szCs w:val="22"/>
        </w:rPr>
        <w:t xml:space="preserve"> are</w:t>
      </w:r>
      <w:r>
        <w:rPr>
          <w:rFonts w:ascii="Arial" w:eastAsia="Arial" w:hAnsi="Arial" w:cs="Arial"/>
          <w:sz w:val="22"/>
          <w:szCs w:val="22"/>
        </w:rPr>
        <w:t xml:space="preserve"> not permitted to charge a fee to comply with a SAR. However, a reasonable fee may be charged if the request is deemed to be </w:t>
      </w:r>
      <w:hyperlink r:id="rId44" w:anchor="f">
        <w:r w:rsidR="00414D55">
          <w:rPr>
            <w:rFonts w:ascii="Arial" w:eastAsia="Arial" w:hAnsi="Arial" w:cs="Arial"/>
            <w:color w:val="0563C1"/>
            <w:sz w:val="22"/>
            <w:szCs w:val="22"/>
            <w:u w:val="single"/>
          </w:rPr>
          <w:t>manifestly unfounded or excessive</w:t>
        </w:r>
      </w:hyperlink>
      <w:r>
        <w:rPr>
          <w:rFonts w:ascii="Arial" w:eastAsia="Arial" w:hAnsi="Arial" w:cs="Arial"/>
          <w:sz w:val="22"/>
          <w:szCs w:val="22"/>
        </w:rPr>
        <w:t>, or if an individual requests further copies of their data.</w:t>
      </w:r>
    </w:p>
    <w:p w14:paraId="000000E0" w14:textId="77777777" w:rsidR="00414D55" w:rsidRDefault="004C1F5A">
      <w:pPr>
        <w:pStyle w:val="Heading2"/>
        <w:numPr>
          <w:ilvl w:val="1"/>
          <w:numId w:val="1"/>
        </w:numPr>
        <w:rPr>
          <w:rFonts w:ascii="Arial" w:eastAsia="Arial" w:hAnsi="Arial" w:cs="Arial"/>
          <w:smallCaps w:val="0"/>
          <w:sz w:val="24"/>
          <w:szCs w:val="24"/>
        </w:rPr>
      </w:pPr>
      <w:bookmarkStart w:id="18" w:name="_Toc215131176"/>
      <w:r>
        <w:rPr>
          <w:rFonts w:ascii="Arial" w:eastAsia="Arial" w:hAnsi="Arial" w:cs="Arial"/>
          <w:smallCaps w:val="0"/>
          <w:sz w:val="24"/>
          <w:szCs w:val="24"/>
        </w:rPr>
        <w:t>Method of response to requests</w:t>
      </w:r>
      <w:bookmarkEnd w:id="18"/>
    </w:p>
    <w:p w14:paraId="000000E1" w14:textId="77777777" w:rsidR="00414D55" w:rsidRDefault="00414D55">
      <w:pPr>
        <w:ind w:right="240"/>
        <w:rPr>
          <w:rFonts w:ascii="Arial" w:eastAsia="Arial" w:hAnsi="Arial" w:cs="Arial"/>
          <w:color w:val="000000"/>
          <w:sz w:val="22"/>
          <w:szCs w:val="22"/>
        </w:rPr>
      </w:pPr>
    </w:p>
    <w:p w14:paraId="000000E2" w14:textId="77777777" w:rsidR="00414D55" w:rsidRDefault="00414D55">
      <w:pPr>
        <w:rPr>
          <w:rFonts w:ascii="Arial" w:eastAsia="Arial" w:hAnsi="Arial" w:cs="Arial"/>
          <w:sz w:val="22"/>
          <w:szCs w:val="22"/>
        </w:rPr>
      </w:pPr>
      <w:hyperlink r:id="rId45">
        <w:r>
          <w:rPr>
            <w:rFonts w:ascii="Arial" w:eastAsia="Arial" w:hAnsi="Arial" w:cs="Arial"/>
            <w:color w:val="0563C1"/>
            <w:sz w:val="22"/>
            <w:szCs w:val="22"/>
            <w:u w:val="single"/>
          </w:rPr>
          <w:t>ICO guidance</w:t>
        </w:r>
      </w:hyperlink>
      <w:r>
        <w:rPr>
          <w:rFonts w:ascii="Arial" w:eastAsia="Arial" w:hAnsi="Arial" w:cs="Arial"/>
          <w:sz w:val="22"/>
          <w:szCs w:val="22"/>
        </w:rPr>
        <w:t xml:space="preserve"> explains that the decision on what format to provide the requested information in should take into consideration the circumstances of the request and whether the individual can access the data in the format provided. It is considered good practice to establish the individual’s preferred method before fulfilling their request. </w:t>
      </w:r>
    </w:p>
    <w:p w14:paraId="000000E3" w14:textId="77777777" w:rsidR="00414D55" w:rsidRDefault="00414D55">
      <w:pPr>
        <w:rPr>
          <w:rFonts w:ascii="Arial" w:eastAsia="Arial" w:hAnsi="Arial" w:cs="Arial"/>
          <w:sz w:val="22"/>
          <w:szCs w:val="22"/>
        </w:rPr>
      </w:pPr>
    </w:p>
    <w:p w14:paraId="000000E4" w14:textId="77777777" w:rsidR="00414D55" w:rsidRDefault="00414D55">
      <w:pPr>
        <w:rPr>
          <w:rFonts w:ascii="Arial" w:eastAsia="Arial" w:hAnsi="Arial" w:cs="Arial"/>
          <w:sz w:val="22"/>
          <w:szCs w:val="22"/>
        </w:rPr>
      </w:pPr>
      <w:hyperlink r:id="rId46">
        <w:r>
          <w:rPr>
            <w:rFonts w:ascii="Arial" w:eastAsia="Arial" w:hAnsi="Arial" w:cs="Arial"/>
            <w:color w:val="0563C1"/>
            <w:sz w:val="22"/>
            <w:szCs w:val="22"/>
            <w:u w:val="single"/>
          </w:rPr>
          <w:t>Article 15</w:t>
        </w:r>
      </w:hyperlink>
      <w:r>
        <w:rPr>
          <w:rFonts w:ascii="Arial" w:eastAsia="Arial" w:hAnsi="Arial" w:cs="Arial"/>
          <w:sz w:val="22"/>
          <w:szCs w:val="22"/>
        </w:rPr>
        <w:t xml:space="preserve"> explains that when a data subject makes a request by electronic means, and unless otherwise requested by the data subject, the information is to be provided in a commonly used electronic format.</w:t>
      </w:r>
    </w:p>
    <w:p w14:paraId="000000E5" w14:textId="77777777" w:rsidR="00414D55" w:rsidRDefault="00414D55">
      <w:pPr>
        <w:rPr>
          <w:rFonts w:ascii="Arial" w:eastAsia="Arial" w:hAnsi="Arial" w:cs="Arial"/>
          <w:sz w:val="22"/>
          <w:szCs w:val="22"/>
        </w:rPr>
      </w:pPr>
    </w:p>
    <w:p w14:paraId="000000E6" w14:textId="454AAD38" w:rsidR="00414D55" w:rsidRDefault="004C1F5A">
      <w:pPr>
        <w:rPr>
          <w:rFonts w:ascii="Arial" w:eastAsia="Arial" w:hAnsi="Arial" w:cs="Arial"/>
          <w:sz w:val="22"/>
          <w:szCs w:val="22"/>
        </w:rPr>
      </w:pPr>
      <w:r>
        <w:rPr>
          <w:rFonts w:ascii="Arial" w:eastAsia="Arial" w:hAnsi="Arial" w:cs="Arial"/>
          <w:sz w:val="22"/>
          <w:szCs w:val="22"/>
        </w:rPr>
        <w:t xml:space="preserve">When the patient/applicant requests their information to be emailed to them, </w:t>
      </w:r>
      <w:r w:rsidR="00BB2B69">
        <w:rPr>
          <w:rFonts w:ascii="Arial" w:eastAsia="Arial" w:hAnsi="Arial" w:cs="Arial"/>
          <w:sz w:val="22"/>
          <w:szCs w:val="22"/>
        </w:rPr>
        <w:t xml:space="preserve">the Practice should inform the patient/their representative and explain </w:t>
      </w:r>
      <w:r>
        <w:rPr>
          <w:rFonts w:ascii="Arial" w:eastAsia="Arial" w:hAnsi="Arial" w:cs="Arial"/>
          <w:sz w:val="22"/>
          <w:szCs w:val="22"/>
        </w:rPr>
        <w:t xml:space="preserve">the risks (for example, unauthorised interception of the data) of receiving the data via unencrypted means to a non-NHS email address. The </w:t>
      </w:r>
      <w:r w:rsidR="00BB2B69">
        <w:rPr>
          <w:rFonts w:ascii="Arial" w:eastAsia="Arial" w:hAnsi="Arial" w:cs="Arial"/>
          <w:sz w:val="22"/>
          <w:szCs w:val="22"/>
        </w:rPr>
        <w:t>Practice</w:t>
      </w:r>
      <w:r>
        <w:rPr>
          <w:rFonts w:ascii="Arial" w:eastAsia="Arial" w:hAnsi="Arial" w:cs="Arial"/>
          <w:sz w:val="22"/>
          <w:szCs w:val="22"/>
        </w:rPr>
        <w:t xml:space="preserve"> should document the patient’s agreement (expressed in writing or via email) to receive their data via unencrypted means in the medical record. If the patient/applicant agrees, a USB stick or a CD can be used as alternative electronic formats.</w:t>
      </w:r>
    </w:p>
    <w:p w14:paraId="000000E7" w14:textId="77777777" w:rsidR="00414D55" w:rsidRDefault="00414D55">
      <w:pPr>
        <w:rPr>
          <w:rFonts w:ascii="Arial" w:eastAsia="Arial" w:hAnsi="Arial" w:cs="Arial"/>
          <w:sz w:val="22"/>
          <w:szCs w:val="22"/>
        </w:rPr>
      </w:pPr>
    </w:p>
    <w:p w14:paraId="000000E8" w14:textId="77777777" w:rsidR="00414D55" w:rsidRDefault="004C1F5A">
      <w:pPr>
        <w:rPr>
          <w:rFonts w:ascii="Arial" w:eastAsia="Arial" w:hAnsi="Arial" w:cs="Arial"/>
          <w:sz w:val="22"/>
          <w:szCs w:val="22"/>
        </w:rPr>
      </w:pPr>
      <w:bookmarkStart w:id="19" w:name="_heading=h.2vsoryayaprf" w:colFirst="0" w:colLast="0"/>
      <w:bookmarkEnd w:id="19"/>
      <w:r>
        <w:rPr>
          <w:rFonts w:ascii="Arial" w:eastAsia="Arial" w:hAnsi="Arial" w:cs="Arial"/>
          <w:sz w:val="22"/>
          <w:szCs w:val="22"/>
        </w:rPr>
        <w:t xml:space="preserve">For those requests that are not made electronically, a paper copy can be provided unless the patient has explicitly requested a different format. </w:t>
      </w:r>
    </w:p>
    <w:p w14:paraId="000000E9" w14:textId="77777777" w:rsidR="00414D55" w:rsidRDefault="004C1F5A">
      <w:pPr>
        <w:pStyle w:val="Heading2"/>
        <w:numPr>
          <w:ilvl w:val="1"/>
          <w:numId w:val="1"/>
        </w:numPr>
        <w:rPr>
          <w:rFonts w:ascii="Arial" w:eastAsia="Arial" w:hAnsi="Arial" w:cs="Arial"/>
          <w:smallCaps w:val="0"/>
          <w:sz w:val="24"/>
          <w:szCs w:val="24"/>
        </w:rPr>
      </w:pPr>
      <w:bookmarkStart w:id="20" w:name="_Toc215131177"/>
      <w:r>
        <w:rPr>
          <w:rFonts w:ascii="Arial" w:eastAsia="Arial" w:hAnsi="Arial" w:cs="Arial"/>
          <w:smallCaps w:val="0"/>
          <w:sz w:val="24"/>
          <w:szCs w:val="24"/>
        </w:rPr>
        <w:t>Amendments to medical records</w:t>
      </w:r>
      <w:bookmarkEnd w:id="20"/>
    </w:p>
    <w:p w14:paraId="000000EA" w14:textId="77777777" w:rsidR="00414D55" w:rsidRDefault="00414D55">
      <w:pPr>
        <w:rPr>
          <w:rFonts w:ascii="Arial" w:eastAsia="Arial" w:hAnsi="Arial" w:cs="Arial"/>
          <w:sz w:val="22"/>
          <w:szCs w:val="22"/>
        </w:rPr>
      </w:pPr>
    </w:p>
    <w:p w14:paraId="000000EB" w14:textId="77777777" w:rsidR="00414D55" w:rsidRDefault="004C1F5A">
      <w:pPr>
        <w:rPr>
          <w:rFonts w:ascii="Arial" w:eastAsia="Arial" w:hAnsi="Arial" w:cs="Arial"/>
          <w:sz w:val="22"/>
          <w:szCs w:val="22"/>
        </w:rPr>
      </w:pPr>
      <w:r>
        <w:rPr>
          <w:rFonts w:ascii="Arial" w:eastAsia="Arial" w:hAnsi="Arial" w:cs="Arial"/>
          <w:sz w:val="22"/>
          <w:szCs w:val="22"/>
        </w:rPr>
        <w:t xml:space="preserve">Records should not be amended because of a request for access; it is a criminal offence under the </w:t>
      </w:r>
      <w:hyperlink r:id="rId47">
        <w:r w:rsidR="00414D55">
          <w:rPr>
            <w:rFonts w:ascii="Arial" w:eastAsia="Arial" w:hAnsi="Arial" w:cs="Arial"/>
            <w:color w:val="0563C1"/>
            <w:sz w:val="22"/>
            <w:szCs w:val="22"/>
            <w:u w:val="single"/>
          </w:rPr>
          <w:t>Data Protection Act 2018</w:t>
        </w:r>
      </w:hyperlink>
      <w:r>
        <w:rPr>
          <w:rFonts w:ascii="Arial" w:eastAsia="Arial" w:hAnsi="Arial" w:cs="Arial"/>
          <w:sz w:val="22"/>
          <w:szCs w:val="22"/>
        </w:rPr>
        <w:t xml:space="preserve"> to amend or delete records in response to a SAR. If amendments are made between the time that the request for access was received and the time at which the records were supplied, these must only be amendments that would have been made </w:t>
      </w:r>
      <w:proofErr w:type="gramStart"/>
      <w:r>
        <w:rPr>
          <w:rFonts w:ascii="Arial" w:eastAsia="Arial" w:hAnsi="Arial" w:cs="Arial"/>
          <w:sz w:val="22"/>
          <w:szCs w:val="22"/>
        </w:rPr>
        <w:t>whether or not</w:t>
      </w:r>
      <w:proofErr w:type="gramEnd"/>
      <w:r>
        <w:rPr>
          <w:rFonts w:ascii="Arial" w:eastAsia="Arial" w:hAnsi="Arial" w:cs="Arial"/>
          <w:sz w:val="22"/>
          <w:szCs w:val="22"/>
        </w:rPr>
        <w:t xml:space="preserve"> the request for access was made. When dealing with a SAR, the most up to date information should be provided. </w:t>
      </w:r>
    </w:p>
    <w:p w14:paraId="000000EC" w14:textId="77777777" w:rsidR="00414D55" w:rsidRDefault="00414D55">
      <w:pPr>
        <w:rPr>
          <w:rFonts w:ascii="Arial" w:eastAsia="Arial" w:hAnsi="Arial" w:cs="Arial"/>
          <w:sz w:val="22"/>
          <w:szCs w:val="22"/>
        </w:rPr>
      </w:pPr>
    </w:p>
    <w:p w14:paraId="000000ED" w14:textId="77777777" w:rsidR="00414D55" w:rsidRDefault="004C1F5A">
      <w:pPr>
        <w:rPr>
          <w:rFonts w:ascii="Arial" w:eastAsia="Arial" w:hAnsi="Arial" w:cs="Arial"/>
          <w:sz w:val="22"/>
          <w:szCs w:val="22"/>
        </w:rPr>
      </w:pPr>
      <w:r>
        <w:rPr>
          <w:rFonts w:ascii="Arial" w:eastAsia="Arial" w:hAnsi="Arial" w:cs="Arial"/>
          <w:sz w:val="22"/>
          <w:szCs w:val="22"/>
        </w:rPr>
        <w:t xml:space="preserve">Information that is clinically relevant must not be deleted from medical records. For electronic records, information can be removed from display but the audit trail will always keep the record complete. Amendments to records can be made provided the amendments are made in a way that indicates why the alteration was made so that </w:t>
      </w:r>
      <w:proofErr w:type="gramStart"/>
      <w:r>
        <w:rPr>
          <w:rFonts w:ascii="Arial" w:eastAsia="Arial" w:hAnsi="Arial" w:cs="Arial"/>
          <w:sz w:val="22"/>
          <w:szCs w:val="22"/>
        </w:rPr>
        <w:t>it is clear that records</w:t>
      </w:r>
      <w:proofErr w:type="gramEnd"/>
      <w:r>
        <w:rPr>
          <w:rFonts w:ascii="Arial" w:eastAsia="Arial" w:hAnsi="Arial" w:cs="Arial"/>
          <w:sz w:val="22"/>
          <w:szCs w:val="22"/>
        </w:rPr>
        <w:t xml:space="preserve"> have not been tampered with for any underhand reason. </w:t>
      </w:r>
    </w:p>
    <w:p w14:paraId="000000EE" w14:textId="77777777" w:rsidR="00414D55" w:rsidRDefault="00414D55">
      <w:pPr>
        <w:rPr>
          <w:rFonts w:ascii="Arial" w:eastAsia="Arial" w:hAnsi="Arial" w:cs="Arial"/>
          <w:sz w:val="22"/>
          <w:szCs w:val="22"/>
        </w:rPr>
      </w:pPr>
    </w:p>
    <w:p w14:paraId="000000EF" w14:textId="77777777" w:rsidR="00414D55" w:rsidRDefault="004C1F5A">
      <w:pPr>
        <w:rPr>
          <w:rFonts w:ascii="Arial" w:eastAsia="Arial" w:hAnsi="Arial" w:cs="Arial"/>
          <w:sz w:val="22"/>
          <w:szCs w:val="22"/>
        </w:rPr>
      </w:pPr>
      <w:r>
        <w:rPr>
          <w:rFonts w:ascii="Arial" w:eastAsia="Arial" w:hAnsi="Arial" w:cs="Arial"/>
          <w:sz w:val="22"/>
          <w:szCs w:val="22"/>
        </w:rPr>
        <w:t xml:space="preserve">Patients may also seek correction of information that they believe is inaccurate. See the </w:t>
      </w:r>
      <w:hyperlink w:anchor="_heading=h.8rko91ml9fdh">
        <w:r w:rsidR="00414D55">
          <w:rPr>
            <w:rFonts w:ascii="Arial" w:eastAsia="Arial" w:hAnsi="Arial" w:cs="Arial"/>
            <w:color w:val="0563C1"/>
            <w:sz w:val="22"/>
            <w:szCs w:val="22"/>
            <w:u w:val="single"/>
          </w:rPr>
          <w:t>Disputes concerning content of records</w:t>
        </w:r>
      </w:hyperlink>
      <w:r>
        <w:rPr>
          <w:rFonts w:ascii="Arial" w:eastAsia="Arial" w:hAnsi="Arial" w:cs="Arial"/>
          <w:sz w:val="22"/>
          <w:szCs w:val="22"/>
        </w:rPr>
        <w:t xml:space="preserve"> section. </w:t>
      </w:r>
    </w:p>
    <w:p w14:paraId="000000F0" w14:textId="77777777" w:rsidR="00414D55" w:rsidRDefault="004C1F5A">
      <w:pPr>
        <w:pStyle w:val="Heading2"/>
        <w:numPr>
          <w:ilvl w:val="1"/>
          <w:numId w:val="1"/>
        </w:numPr>
        <w:rPr>
          <w:rFonts w:ascii="Arial" w:eastAsia="Arial" w:hAnsi="Arial" w:cs="Arial"/>
          <w:smallCaps w:val="0"/>
          <w:sz w:val="24"/>
          <w:szCs w:val="24"/>
        </w:rPr>
      </w:pPr>
      <w:bookmarkStart w:id="21" w:name="_Toc215131178"/>
      <w:r>
        <w:rPr>
          <w:rFonts w:ascii="Arial" w:eastAsia="Arial" w:hAnsi="Arial" w:cs="Arial"/>
          <w:smallCaps w:val="0"/>
          <w:sz w:val="24"/>
          <w:szCs w:val="24"/>
        </w:rPr>
        <w:t>Additional Privacy Information notice</w:t>
      </w:r>
      <w:bookmarkEnd w:id="21"/>
    </w:p>
    <w:p w14:paraId="000000F1" w14:textId="77777777" w:rsidR="00414D55" w:rsidRDefault="00414D55">
      <w:pPr>
        <w:ind w:right="240"/>
        <w:rPr>
          <w:rFonts w:ascii="Arial" w:eastAsia="Arial" w:hAnsi="Arial" w:cs="Arial"/>
          <w:color w:val="202A30"/>
          <w:sz w:val="22"/>
          <w:szCs w:val="22"/>
        </w:rPr>
      </w:pPr>
    </w:p>
    <w:p w14:paraId="000000F2" w14:textId="0FF93FCC" w:rsidR="00414D55" w:rsidRDefault="004C1F5A">
      <w:pPr>
        <w:ind w:right="240"/>
        <w:rPr>
          <w:rFonts w:ascii="Arial" w:eastAsia="Arial" w:hAnsi="Arial" w:cs="Arial"/>
          <w:sz w:val="22"/>
          <w:szCs w:val="22"/>
        </w:rPr>
      </w:pPr>
      <w:r>
        <w:rPr>
          <w:rFonts w:ascii="Arial" w:eastAsia="Arial" w:hAnsi="Arial" w:cs="Arial"/>
          <w:sz w:val="22"/>
          <w:szCs w:val="22"/>
        </w:rPr>
        <w:t xml:space="preserve">Once the relevant information has been processed and is ready for issue to the patient, it is a requirement, in accordance with </w:t>
      </w:r>
      <w:hyperlink r:id="rId48">
        <w:r w:rsidR="00414D55">
          <w:rPr>
            <w:rFonts w:ascii="Arial" w:eastAsia="Arial" w:hAnsi="Arial" w:cs="Arial"/>
            <w:color w:val="0563C1"/>
            <w:sz w:val="22"/>
            <w:szCs w:val="22"/>
            <w:u w:val="single"/>
          </w:rPr>
          <w:t>Article 15</w:t>
        </w:r>
      </w:hyperlink>
      <w:r>
        <w:rPr>
          <w:rFonts w:ascii="Arial" w:eastAsia="Arial" w:hAnsi="Arial" w:cs="Arial"/>
          <w:sz w:val="22"/>
          <w:szCs w:val="22"/>
        </w:rPr>
        <w:t xml:space="preserve"> of UK GDPR, </w:t>
      </w:r>
      <w:r w:rsidR="00BB2B69">
        <w:rPr>
          <w:rFonts w:ascii="Arial" w:eastAsia="Arial" w:hAnsi="Arial" w:cs="Arial"/>
          <w:sz w:val="22"/>
          <w:szCs w:val="22"/>
        </w:rPr>
        <w:t>for the Practice t</w:t>
      </w:r>
      <w:r>
        <w:rPr>
          <w:rFonts w:ascii="Arial" w:eastAsia="Arial" w:hAnsi="Arial" w:cs="Arial"/>
          <w:sz w:val="22"/>
          <w:szCs w:val="22"/>
        </w:rPr>
        <w:t>o provide an Additional Privacy Information notice (</w:t>
      </w:r>
      <w:proofErr w:type="spellStart"/>
      <w:r>
        <w:rPr>
          <w:rFonts w:ascii="Arial" w:eastAsia="Arial" w:hAnsi="Arial" w:cs="Arial"/>
          <w:sz w:val="22"/>
          <w:szCs w:val="22"/>
        </w:rPr>
        <w:t>APIn</w:t>
      </w:r>
      <w:proofErr w:type="spellEnd"/>
      <w:r>
        <w:rPr>
          <w:rFonts w:ascii="Arial" w:eastAsia="Arial" w:hAnsi="Arial" w:cs="Arial"/>
          <w:sz w:val="22"/>
          <w:szCs w:val="22"/>
        </w:rPr>
        <w:t>)</w:t>
      </w:r>
      <w:r w:rsidR="00BB2B69">
        <w:rPr>
          <w:rFonts w:ascii="Arial" w:eastAsia="Arial" w:hAnsi="Arial" w:cs="Arial"/>
          <w:sz w:val="22"/>
          <w:szCs w:val="22"/>
        </w:rPr>
        <w:t>.</w:t>
      </w:r>
    </w:p>
    <w:p w14:paraId="000000F3" w14:textId="19143357" w:rsidR="00414D55" w:rsidRDefault="00BB2B69">
      <w:pPr>
        <w:pStyle w:val="Heading2"/>
        <w:numPr>
          <w:ilvl w:val="1"/>
          <w:numId w:val="1"/>
        </w:numPr>
        <w:rPr>
          <w:rFonts w:ascii="Arial" w:eastAsia="Arial" w:hAnsi="Arial" w:cs="Arial"/>
          <w:smallCaps w:val="0"/>
          <w:sz w:val="24"/>
          <w:szCs w:val="24"/>
        </w:rPr>
      </w:pPr>
      <w:bookmarkStart w:id="22" w:name="_Toc215131179"/>
      <w:r>
        <w:rPr>
          <w:rFonts w:ascii="Arial" w:eastAsia="Arial" w:hAnsi="Arial" w:cs="Arial"/>
          <w:smallCaps w:val="0"/>
          <w:sz w:val="24"/>
          <w:szCs w:val="24"/>
        </w:rPr>
        <w:t>Collection of Records</w:t>
      </w:r>
      <w:bookmarkEnd w:id="22"/>
    </w:p>
    <w:p w14:paraId="000000F4" w14:textId="77777777" w:rsidR="00414D55" w:rsidRDefault="00414D55">
      <w:pPr>
        <w:ind w:right="240"/>
        <w:rPr>
          <w:rFonts w:ascii="Arial" w:eastAsia="Arial" w:hAnsi="Arial" w:cs="Arial"/>
          <w:sz w:val="22"/>
          <w:szCs w:val="22"/>
        </w:rPr>
      </w:pPr>
    </w:p>
    <w:p w14:paraId="000000F6" w14:textId="489543F4" w:rsidR="00414D55" w:rsidRDefault="00BB2B69">
      <w:pPr>
        <w:ind w:right="240"/>
        <w:rPr>
          <w:rFonts w:ascii="Arial" w:eastAsia="Arial" w:hAnsi="Arial" w:cs="Arial"/>
          <w:sz w:val="22"/>
          <w:szCs w:val="22"/>
        </w:rPr>
      </w:pPr>
      <w:r>
        <w:rPr>
          <w:rFonts w:ascii="Arial" w:eastAsia="Arial" w:hAnsi="Arial" w:cs="Arial"/>
          <w:sz w:val="22"/>
          <w:szCs w:val="22"/>
        </w:rPr>
        <w:t xml:space="preserve">On collection of any hard copy of medical records, the patient/their representative will sign the Practice’s form confirming that they have collected </w:t>
      </w:r>
      <w:proofErr w:type="gramStart"/>
      <w:r>
        <w:rPr>
          <w:rFonts w:ascii="Arial" w:eastAsia="Arial" w:hAnsi="Arial" w:cs="Arial"/>
          <w:sz w:val="22"/>
          <w:szCs w:val="22"/>
        </w:rPr>
        <w:t>them</w:t>
      </w:r>
      <w:proofErr w:type="gramEnd"/>
      <w:r>
        <w:rPr>
          <w:rFonts w:ascii="Arial" w:eastAsia="Arial" w:hAnsi="Arial" w:cs="Arial"/>
          <w:sz w:val="22"/>
          <w:szCs w:val="22"/>
        </w:rPr>
        <w:t xml:space="preserve"> and this form then gets added to their medical record.</w:t>
      </w:r>
    </w:p>
    <w:p w14:paraId="000000F7"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23" w:name="_Toc215131180"/>
      <w:r>
        <w:rPr>
          <w:sz w:val="28"/>
          <w:szCs w:val="28"/>
        </w:rPr>
        <w:t>Refusal to comply with a request</w:t>
      </w:r>
      <w:bookmarkEnd w:id="23"/>
    </w:p>
    <w:p w14:paraId="000000F8" w14:textId="77777777" w:rsidR="00414D55" w:rsidRDefault="00414D55">
      <w:pPr>
        <w:rPr>
          <w:rFonts w:ascii="Arial" w:eastAsia="Arial" w:hAnsi="Arial" w:cs="Arial"/>
          <w:sz w:val="10"/>
          <w:szCs w:val="10"/>
        </w:rPr>
      </w:pPr>
    </w:p>
    <w:p w14:paraId="000000F9" w14:textId="038881C3" w:rsidR="00414D55" w:rsidRDefault="004C1F5A">
      <w:pPr>
        <w:rPr>
          <w:rFonts w:ascii="Arial" w:eastAsia="Arial" w:hAnsi="Arial" w:cs="Arial"/>
          <w:sz w:val="22"/>
          <w:szCs w:val="22"/>
        </w:rPr>
      </w:pPr>
      <w:r>
        <w:rPr>
          <w:rFonts w:ascii="Arial" w:eastAsia="Arial" w:hAnsi="Arial" w:cs="Arial"/>
          <w:sz w:val="22"/>
          <w:szCs w:val="22"/>
        </w:rPr>
        <w:t>Th</w:t>
      </w:r>
      <w:r w:rsidR="0040789A">
        <w:rPr>
          <w:rFonts w:ascii="Arial" w:eastAsia="Arial" w:hAnsi="Arial" w:cs="Arial"/>
          <w:sz w:val="22"/>
          <w:szCs w:val="22"/>
        </w:rPr>
        <w:t>e Practice</w:t>
      </w:r>
      <w:r>
        <w:rPr>
          <w:rFonts w:ascii="Arial" w:eastAsia="Arial" w:hAnsi="Arial" w:cs="Arial"/>
          <w:sz w:val="22"/>
          <w:szCs w:val="22"/>
        </w:rPr>
        <w:t xml:space="preserve"> will only refuse to comply with a SAR when exemption applies or when the request is manifestly unfounded or manifestly excessive. In such situations, the data controller will inform the individual of:</w:t>
      </w:r>
    </w:p>
    <w:p w14:paraId="000000FA" w14:textId="77777777" w:rsidR="00414D55" w:rsidRDefault="00414D55">
      <w:pPr>
        <w:rPr>
          <w:rFonts w:ascii="Arial" w:eastAsia="Arial" w:hAnsi="Arial" w:cs="Arial"/>
          <w:sz w:val="22"/>
          <w:szCs w:val="22"/>
        </w:rPr>
      </w:pPr>
    </w:p>
    <w:p w14:paraId="000000FB" w14:textId="77777777" w:rsidR="00414D55" w:rsidRDefault="004C1F5A">
      <w:pPr>
        <w:numPr>
          <w:ilvl w:val="0"/>
          <w:numId w:val="1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reasons why the SAR was refused</w:t>
      </w:r>
    </w:p>
    <w:p w14:paraId="000000FC" w14:textId="77777777" w:rsidR="00414D55" w:rsidRDefault="004C1F5A">
      <w:pPr>
        <w:numPr>
          <w:ilvl w:val="0"/>
          <w:numId w:val="1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Their right to submit a complaint to the ICO</w:t>
      </w:r>
    </w:p>
    <w:p w14:paraId="000000FD" w14:textId="77777777" w:rsidR="00414D55" w:rsidRDefault="004C1F5A">
      <w:pPr>
        <w:numPr>
          <w:ilvl w:val="0"/>
          <w:numId w:val="1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Their ability to seek enforcement of this right through the courts </w:t>
      </w:r>
    </w:p>
    <w:p w14:paraId="000000FE" w14:textId="77777777" w:rsidR="00414D55" w:rsidRDefault="00414D55">
      <w:pPr>
        <w:rPr>
          <w:rFonts w:ascii="Arial" w:eastAsia="Arial" w:hAnsi="Arial" w:cs="Arial"/>
          <w:sz w:val="22"/>
          <w:szCs w:val="22"/>
        </w:rPr>
      </w:pPr>
    </w:p>
    <w:p w14:paraId="62B75D21" w14:textId="172F22EB" w:rsidR="00BB2B69" w:rsidRDefault="004C1F5A" w:rsidP="00BB2B69">
      <w:pPr>
        <w:rPr>
          <w:rFonts w:ascii="Arial" w:eastAsia="Arial" w:hAnsi="Arial" w:cs="Arial"/>
          <w:sz w:val="22"/>
          <w:szCs w:val="22"/>
        </w:rPr>
      </w:pPr>
      <w:r>
        <w:rPr>
          <w:rFonts w:ascii="Arial" w:eastAsia="Arial" w:hAnsi="Arial" w:cs="Arial"/>
          <w:sz w:val="22"/>
          <w:szCs w:val="22"/>
        </w:rPr>
        <w:t xml:space="preserve">Each request must be given careful consideration and, should it be refused, this must be recorded and the reasons for refusal justifiable. The </w:t>
      </w:r>
      <w:hyperlink r:id="rId49">
        <w:r w:rsidR="00414D55">
          <w:rPr>
            <w:rFonts w:ascii="Arial" w:eastAsia="Arial" w:hAnsi="Arial" w:cs="Arial"/>
            <w:color w:val="0563C1"/>
            <w:sz w:val="22"/>
            <w:szCs w:val="22"/>
            <w:u w:val="single"/>
          </w:rPr>
          <w:t>ICO</w:t>
        </w:r>
      </w:hyperlink>
      <w:hyperlink r:id="rId50">
        <w:r w:rsidR="00414D55">
          <w:rPr>
            <w:rFonts w:ascii="Arial" w:eastAsia="Arial" w:hAnsi="Arial" w:cs="Arial"/>
            <w:color w:val="0563C1"/>
            <w:sz w:val="22"/>
            <w:szCs w:val="22"/>
          </w:rPr>
          <w:t xml:space="preserve"> </w:t>
        </w:r>
      </w:hyperlink>
      <w:hyperlink r:id="rId51">
        <w:r w:rsidR="00414D55">
          <w:rPr>
            <w:rFonts w:ascii="Arial" w:eastAsia="Arial" w:hAnsi="Arial" w:cs="Arial"/>
            <w:sz w:val="22"/>
            <w:szCs w:val="22"/>
          </w:rPr>
          <w:t>explains</w:t>
        </w:r>
      </w:hyperlink>
      <w:r>
        <w:rPr>
          <w:rFonts w:ascii="Arial" w:eastAsia="Arial" w:hAnsi="Arial" w:cs="Arial"/>
          <w:sz w:val="22"/>
          <w:szCs w:val="22"/>
        </w:rPr>
        <w:t xml:space="preserve"> that a</w:t>
      </w:r>
      <w:r w:rsidR="0040789A">
        <w:rPr>
          <w:rFonts w:ascii="Arial" w:eastAsia="Arial" w:hAnsi="Arial" w:cs="Arial"/>
          <w:sz w:val="22"/>
          <w:szCs w:val="22"/>
        </w:rPr>
        <w:t xml:space="preserve"> Practice</w:t>
      </w:r>
      <w:r>
        <w:rPr>
          <w:rFonts w:ascii="Arial" w:eastAsia="Arial" w:hAnsi="Arial" w:cs="Arial"/>
          <w:sz w:val="22"/>
          <w:szCs w:val="22"/>
        </w:rPr>
        <w:t xml:space="preserve"> has the right to refuse any online access or SAR although any such refusal will be within the allotted timescale and the reasons for the refusal will be given. A letter </w:t>
      </w:r>
      <w:r w:rsidR="00BB2B69">
        <w:rPr>
          <w:rFonts w:ascii="Arial" w:eastAsia="Arial" w:hAnsi="Arial" w:cs="Arial"/>
          <w:sz w:val="22"/>
          <w:szCs w:val="22"/>
        </w:rPr>
        <w:t>will be sent.</w:t>
      </w:r>
    </w:p>
    <w:p w14:paraId="36E85DDD" w14:textId="77777777" w:rsidR="00BB2B69" w:rsidRDefault="00BB2B69" w:rsidP="00BB2B69">
      <w:pPr>
        <w:rPr>
          <w:rFonts w:ascii="Arial" w:eastAsia="Arial" w:hAnsi="Arial" w:cs="Arial"/>
          <w:sz w:val="22"/>
          <w:szCs w:val="22"/>
        </w:rPr>
      </w:pPr>
    </w:p>
    <w:p w14:paraId="00000101" w14:textId="539C86B3" w:rsidR="00414D55" w:rsidRDefault="004C1F5A" w:rsidP="00BB2B69">
      <w:pPr>
        <w:rPr>
          <w:rFonts w:ascii="Arial" w:eastAsia="Arial" w:hAnsi="Arial" w:cs="Arial"/>
          <w:color w:val="000000"/>
          <w:sz w:val="22"/>
          <w:szCs w:val="22"/>
        </w:rPr>
      </w:pPr>
      <w:r>
        <w:rPr>
          <w:rFonts w:ascii="Arial" w:eastAsia="Arial" w:hAnsi="Arial" w:cs="Arial"/>
          <w:color w:val="000000"/>
          <w:sz w:val="22"/>
          <w:szCs w:val="22"/>
        </w:rPr>
        <w:t xml:space="preserve">There are occasions when a healthcare professional may firmly believe it is not appropriate to share all the information contained in the individual’s record, particularly if there is potential for such information to cause harm or distress to individuals or when the record contains information relating to a third party. This information can be redacted from the patient’s view but must not be deleted from the record (see </w:t>
      </w:r>
      <w:hyperlink w:anchor="_heading=h.np9bd7cqcr37">
        <w:proofErr w:type="gramStart"/>
        <w:r w:rsidR="00414D55">
          <w:rPr>
            <w:rFonts w:ascii="Arial" w:eastAsia="Arial" w:hAnsi="Arial" w:cs="Arial"/>
            <w:color w:val="0563C1"/>
            <w:sz w:val="22"/>
            <w:szCs w:val="22"/>
            <w:u w:val="single"/>
          </w:rPr>
          <w:t>Non-disclosure</w:t>
        </w:r>
        <w:proofErr w:type="gramEnd"/>
        <w:r w:rsidR="00414D55">
          <w:rPr>
            <w:rFonts w:ascii="Arial" w:eastAsia="Arial" w:hAnsi="Arial" w:cs="Arial"/>
            <w:color w:val="0563C1"/>
            <w:sz w:val="22"/>
            <w:szCs w:val="22"/>
            <w:u w:val="single"/>
          </w:rPr>
          <w:t xml:space="preserve"> section</w:t>
        </w:r>
      </w:hyperlink>
      <w:r>
        <w:rPr>
          <w:rFonts w:ascii="Arial" w:eastAsia="Arial" w:hAnsi="Arial" w:cs="Arial"/>
          <w:color w:val="000000"/>
          <w:sz w:val="22"/>
          <w:szCs w:val="22"/>
        </w:rPr>
        <w:t>). If system functionality to redact information is not available, the record should not be shared with the patient.</w:t>
      </w:r>
    </w:p>
    <w:p w14:paraId="00000102" w14:textId="77777777" w:rsidR="00414D55" w:rsidRDefault="004C1F5A">
      <w:pPr>
        <w:ind w:right="238"/>
        <w:rPr>
          <w:rFonts w:ascii="Arial" w:eastAsia="Arial" w:hAnsi="Arial" w:cs="Arial"/>
          <w:color w:val="000000"/>
          <w:sz w:val="22"/>
          <w:szCs w:val="22"/>
          <w:vertAlign w:val="superscript"/>
        </w:rPr>
      </w:pPr>
      <w:r>
        <w:rPr>
          <w:rFonts w:ascii="Arial" w:eastAsia="Arial" w:hAnsi="Arial" w:cs="Arial"/>
          <w:color w:val="000000"/>
          <w:sz w:val="22"/>
          <w:szCs w:val="22"/>
        </w:rPr>
        <w:br/>
        <w:t xml:space="preserve">For further detailed information, refer to </w:t>
      </w:r>
      <w:hyperlink r:id="rId52">
        <w:r w:rsidR="00414D55">
          <w:rPr>
            <w:rFonts w:ascii="Arial" w:eastAsia="Arial" w:hAnsi="Arial" w:cs="Arial"/>
            <w:color w:val="0563C1"/>
            <w:sz w:val="22"/>
            <w:szCs w:val="22"/>
            <w:u w:val="single"/>
          </w:rPr>
          <w:t>When you can disclose personal information</w:t>
        </w:r>
      </w:hyperlink>
      <w:r>
        <w:rPr>
          <w:rFonts w:ascii="Arial" w:eastAsia="Arial" w:hAnsi="Arial" w:cs="Arial"/>
          <w:color w:val="000000"/>
          <w:sz w:val="22"/>
          <w:szCs w:val="22"/>
        </w:rPr>
        <w:t>.</w:t>
      </w:r>
    </w:p>
    <w:p w14:paraId="00000103"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24" w:name="_Toc215131181"/>
      <w:r>
        <w:rPr>
          <w:sz w:val="28"/>
          <w:szCs w:val="28"/>
        </w:rPr>
        <w:t>Coercion</w:t>
      </w:r>
      <w:bookmarkEnd w:id="24"/>
    </w:p>
    <w:p w14:paraId="00000104" w14:textId="77777777" w:rsidR="00414D55" w:rsidRDefault="00414D55">
      <w:pPr>
        <w:rPr>
          <w:rFonts w:ascii="Arial" w:eastAsia="Arial" w:hAnsi="Arial" w:cs="Arial"/>
          <w:sz w:val="10"/>
          <w:szCs w:val="10"/>
        </w:rPr>
      </w:pPr>
    </w:p>
    <w:p w14:paraId="00000105" w14:textId="09E87618" w:rsidR="00414D55" w:rsidRDefault="004C1F5A">
      <w:pPr>
        <w:rPr>
          <w:rFonts w:ascii="Arial" w:eastAsia="Arial" w:hAnsi="Arial" w:cs="Arial"/>
          <w:sz w:val="22"/>
          <w:szCs w:val="22"/>
        </w:rPr>
      </w:pPr>
      <w:r>
        <w:rPr>
          <w:rFonts w:ascii="Arial" w:eastAsia="Arial" w:hAnsi="Arial" w:cs="Arial"/>
          <w:sz w:val="22"/>
          <w:szCs w:val="22"/>
        </w:rPr>
        <w:t xml:space="preserve">The risk of coercion of patients with online access should always be borne in mind. Patients may be forced into sharing information from their record including log-in details, medical </w:t>
      </w:r>
      <w:r>
        <w:rPr>
          <w:rFonts w:ascii="Arial" w:eastAsia="Arial" w:hAnsi="Arial" w:cs="Arial"/>
          <w:sz w:val="22"/>
          <w:szCs w:val="22"/>
        </w:rPr>
        <w:lastRenderedPageBreak/>
        <w:t xml:space="preserve">history, repeat prescription orders, appointment details and other private, personal information. By gaining access to a person’s record, an abuser may gain further control or escalate harm. </w:t>
      </w:r>
    </w:p>
    <w:p w14:paraId="00000106" w14:textId="77777777" w:rsidR="00414D55" w:rsidRDefault="00414D55">
      <w:pPr>
        <w:rPr>
          <w:rFonts w:ascii="Arial" w:eastAsia="Arial" w:hAnsi="Arial" w:cs="Arial"/>
          <w:sz w:val="22"/>
          <w:szCs w:val="22"/>
        </w:rPr>
      </w:pPr>
    </w:p>
    <w:p w14:paraId="00000107" w14:textId="77777777" w:rsidR="00414D55" w:rsidRDefault="004C1F5A">
      <w:pPr>
        <w:rPr>
          <w:rFonts w:ascii="Arial" w:eastAsia="Arial" w:hAnsi="Arial" w:cs="Arial"/>
          <w:sz w:val="22"/>
          <w:szCs w:val="22"/>
        </w:rPr>
      </w:pPr>
      <w:r>
        <w:rPr>
          <w:rFonts w:ascii="Arial" w:eastAsia="Arial" w:hAnsi="Arial" w:cs="Arial"/>
          <w:sz w:val="22"/>
          <w:szCs w:val="22"/>
        </w:rPr>
        <w:t>Registering patients for online services requires awareness of the potential impact of coercion and children, adults in an abusive relationship and the elderly or otherwise vulnerable adults can all be victims. Access to a patient’s health record can be particularly attractive to an abusive partner, carer or parent. All staff involved in registering patients for online services are aware of the potential impact of coercion and the signs to look out for to help patients who might be subject to coercion.</w:t>
      </w:r>
    </w:p>
    <w:p w14:paraId="00000108" w14:textId="77777777" w:rsidR="00414D55" w:rsidRDefault="00414D55">
      <w:pPr>
        <w:rPr>
          <w:rFonts w:ascii="Arial" w:eastAsia="Arial" w:hAnsi="Arial" w:cs="Arial"/>
          <w:sz w:val="22"/>
          <w:szCs w:val="22"/>
        </w:rPr>
      </w:pPr>
    </w:p>
    <w:p w14:paraId="0000010A"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25" w:name="_Toc215131182"/>
      <w:r>
        <w:rPr>
          <w:sz w:val="28"/>
          <w:szCs w:val="28"/>
        </w:rPr>
        <w:t>Non-disclosure</w:t>
      </w:r>
      <w:bookmarkEnd w:id="25"/>
    </w:p>
    <w:p w14:paraId="0000010B" w14:textId="77777777" w:rsidR="00414D55" w:rsidRDefault="00414D55">
      <w:pPr>
        <w:rPr>
          <w:rFonts w:ascii="Arial" w:eastAsia="Arial" w:hAnsi="Arial" w:cs="Arial"/>
          <w:sz w:val="10"/>
          <w:szCs w:val="10"/>
        </w:rPr>
      </w:pPr>
    </w:p>
    <w:p w14:paraId="0000010C" w14:textId="77777777" w:rsidR="00414D55" w:rsidRDefault="004C1F5A">
      <w:pPr>
        <w:rPr>
          <w:rFonts w:ascii="Arial" w:eastAsia="Arial" w:hAnsi="Arial" w:cs="Arial"/>
          <w:sz w:val="22"/>
          <w:szCs w:val="22"/>
        </w:rPr>
      </w:pPr>
      <w:r>
        <w:rPr>
          <w:rFonts w:ascii="Arial" w:eastAsia="Arial" w:hAnsi="Arial" w:cs="Arial"/>
          <w:sz w:val="22"/>
          <w:szCs w:val="22"/>
        </w:rPr>
        <w:t>The UK GDPR provides for several exemptions in respect of information falling within the scope of a SAR. Information can generally be treated as exempt from disclosure and should not be disclosed, if:</w:t>
      </w:r>
    </w:p>
    <w:p w14:paraId="0000010D" w14:textId="77777777" w:rsidR="00414D55" w:rsidRDefault="00414D55">
      <w:pPr>
        <w:rPr>
          <w:rFonts w:ascii="Arial" w:eastAsia="Arial" w:hAnsi="Arial" w:cs="Arial"/>
          <w:sz w:val="22"/>
          <w:szCs w:val="22"/>
        </w:rPr>
      </w:pPr>
    </w:p>
    <w:p w14:paraId="0000010E" w14:textId="77777777" w:rsidR="00414D55" w:rsidRDefault="004C1F5A">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It is likely to cause serious physical or mental harm to the patient or another person </w:t>
      </w:r>
    </w:p>
    <w:p w14:paraId="0000010F" w14:textId="77777777" w:rsidR="00414D55" w:rsidRDefault="00414D55">
      <w:pPr>
        <w:rPr>
          <w:rFonts w:ascii="Arial" w:eastAsia="Arial" w:hAnsi="Arial" w:cs="Arial"/>
          <w:sz w:val="22"/>
          <w:szCs w:val="22"/>
        </w:rPr>
      </w:pPr>
    </w:p>
    <w:p w14:paraId="00000110" w14:textId="77777777" w:rsidR="00414D55" w:rsidRDefault="004C1F5A">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It relates to a third party who has not given consent for disclosure (when that third party is not a health professional who has cared for the patient) and after considering the balance between the duty of confidentiality to the third party and the right of access of the applicant, the data controller concludes it is reasonable to withhold third party information </w:t>
      </w:r>
    </w:p>
    <w:p w14:paraId="00000111" w14:textId="77777777" w:rsidR="00414D55" w:rsidRDefault="00414D55">
      <w:pPr>
        <w:rPr>
          <w:rFonts w:ascii="Arial" w:eastAsia="Arial" w:hAnsi="Arial" w:cs="Arial"/>
          <w:sz w:val="22"/>
          <w:szCs w:val="22"/>
        </w:rPr>
      </w:pPr>
    </w:p>
    <w:p w14:paraId="00000112" w14:textId="36073223" w:rsidR="00414D55" w:rsidRDefault="004C1F5A">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It is requested by a third party and the patient had asked that the information be kept confidential or the records are subject to legal professional privilege. This may arise in the case of an independent medical report written for the purpose of litigation. In such cases, the information will be exempt if, after considering the third party’s right to access and the patient’s right to confidentiality, the data controller reasonably concludes that confidentiality should prevail or it is restricted by order of the courts </w:t>
      </w:r>
    </w:p>
    <w:p w14:paraId="00000113" w14:textId="77777777" w:rsidR="00414D55" w:rsidRDefault="00414D55">
      <w:pPr>
        <w:rPr>
          <w:rFonts w:ascii="Arial" w:eastAsia="Arial" w:hAnsi="Arial" w:cs="Arial"/>
          <w:sz w:val="22"/>
          <w:szCs w:val="22"/>
        </w:rPr>
      </w:pPr>
    </w:p>
    <w:p w14:paraId="00000114" w14:textId="77777777" w:rsidR="00414D55" w:rsidRDefault="004C1F5A">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relates to the keeping or using of gametes or embryos or pertains to an individual being born because of in vitro fertilisation</w:t>
      </w:r>
    </w:p>
    <w:p w14:paraId="00000115" w14:textId="77777777" w:rsidR="00414D55" w:rsidRDefault="004C1F5A">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 </w:t>
      </w:r>
    </w:p>
    <w:p w14:paraId="00000116" w14:textId="77777777" w:rsidR="00414D55" w:rsidRDefault="004C1F5A">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the case of children’s records, disclosure is prohibited by law, e.g., adoption records </w:t>
      </w:r>
    </w:p>
    <w:p w14:paraId="00000117" w14:textId="77777777" w:rsidR="00414D55" w:rsidRDefault="00414D55">
      <w:pPr>
        <w:rPr>
          <w:rFonts w:ascii="Arial" w:eastAsia="Arial" w:hAnsi="Arial" w:cs="Arial"/>
          <w:sz w:val="22"/>
          <w:szCs w:val="22"/>
        </w:rPr>
      </w:pPr>
    </w:p>
    <w:p w14:paraId="00000118" w14:textId="77777777" w:rsidR="00414D55" w:rsidRDefault="004C1F5A">
      <w:pPr>
        <w:rPr>
          <w:rFonts w:ascii="Arial" w:eastAsia="Arial" w:hAnsi="Arial" w:cs="Arial"/>
          <w:sz w:val="22"/>
          <w:szCs w:val="22"/>
        </w:rPr>
      </w:pPr>
      <w:r>
        <w:rPr>
          <w:rFonts w:ascii="Arial" w:eastAsia="Arial" w:hAnsi="Arial" w:cs="Arial"/>
          <w:sz w:val="22"/>
          <w:szCs w:val="22"/>
        </w:rPr>
        <w:t xml:space="preserve">The data controller must redact or block out any exempt information. Depending on the circumstances, it may be that the data controller should take steps to explain to the applicant how the relevant exemption has been applied. For further detailed information, refer to section 4.9 of the </w:t>
      </w:r>
      <w:hyperlink r:id="rId53">
        <w:r w:rsidR="00414D55">
          <w:rPr>
            <w:rFonts w:ascii="Arial" w:eastAsia="Arial" w:hAnsi="Arial" w:cs="Arial"/>
            <w:color w:val="0563C1"/>
            <w:sz w:val="22"/>
            <w:szCs w:val="22"/>
            <w:u w:val="single"/>
          </w:rPr>
          <w:t>BMA Access to health records guidance.</w:t>
        </w:r>
      </w:hyperlink>
    </w:p>
    <w:p w14:paraId="00000119"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26" w:name="_Toc215131183"/>
      <w:r>
        <w:rPr>
          <w:sz w:val="28"/>
          <w:szCs w:val="28"/>
        </w:rPr>
        <w:t>Proxy access</w:t>
      </w:r>
      <w:bookmarkEnd w:id="26"/>
    </w:p>
    <w:p w14:paraId="0000011A" w14:textId="77777777" w:rsidR="00414D55" w:rsidRDefault="004C1F5A">
      <w:pPr>
        <w:pStyle w:val="Heading2"/>
        <w:numPr>
          <w:ilvl w:val="1"/>
          <w:numId w:val="1"/>
        </w:numPr>
        <w:rPr>
          <w:rFonts w:ascii="Arial" w:eastAsia="Arial" w:hAnsi="Arial" w:cs="Arial"/>
          <w:smallCaps w:val="0"/>
          <w:sz w:val="24"/>
          <w:szCs w:val="24"/>
        </w:rPr>
      </w:pPr>
      <w:bookmarkStart w:id="27" w:name="_Toc215131184"/>
      <w:r>
        <w:rPr>
          <w:rFonts w:ascii="Arial" w:eastAsia="Arial" w:hAnsi="Arial" w:cs="Arial"/>
          <w:smallCaps w:val="0"/>
          <w:sz w:val="24"/>
          <w:szCs w:val="24"/>
        </w:rPr>
        <w:t>Proxy access to medical records</w:t>
      </w:r>
      <w:bookmarkEnd w:id="27"/>
    </w:p>
    <w:p w14:paraId="0000011B" w14:textId="77777777" w:rsidR="00414D55" w:rsidRDefault="00414D55">
      <w:pPr>
        <w:jc w:val="both"/>
        <w:rPr>
          <w:rFonts w:ascii="Arial" w:eastAsia="Arial" w:hAnsi="Arial" w:cs="Arial"/>
          <w:sz w:val="22"/>
          <w:szCs w:val="22"/>
        </w:rPr>
      </w:pPr>
    </w:p>
    <w:p w14:paraId="0000011C" w14:textId="152D6BD8" w:rsidR="00414D55" w:rsidRDefault="00414D55">
      <w:pPr>
        <w:rPr>
          <w:rFonts w:ascii="Arial" w:eastAsia="Arial" w:hAnsi="Arial" w:cs="Arial"/>
          <w:sz w:val="22"/>
          <w:szCs w:val="22"/>
        </w:rPr>
      </w:pPr>
      <w:hyperlink r:id="rId54">
        <w:r>
          <w:rPr>
            <w:rFonts w:ascii="Arial" w:eastAsia="Arial" w:hAnsi="Arial" w:cs="Arial"/>
            <w:color w:val="0563C1"/>
            <w:sz w:val="22"/>
            <w:szCs w:val="22"/>
            <w:u w:val="single"/>
          </w:rPr>
          <w:t>NHS England</w:t>
        </w:r>
      </w:hyperlink>
      <w:sdt>
        <w:sdtPr>
          <w:tag w:val="goog_rdk_1"/>
          <w:id w:val="1357490492"/>
        </w:sdtPr>
        <w:sdtEndPr/>
        <w:sdtContent/>
      </w:sdt>
      <w:r>
        <w:rPr>
          <w:rFonts w:ascii="Arial" w:eastAsia="Arial" w:hAnsi="Arial" w:cs="Arial"/>
          <w:sz w:val="22"/>
          <w:szCs w:val="22"/>
        </w:rPr>
        <w:t xml:space="preserve"> explain</w:t>
      </w:r>
      <w:r w:rsidR="006E67ED">
        <w:rPr>
          <w:rFonts w:ascii="Arial" w:eastAsia="Arial" w:hAnsi="Arial" w:cs="Arial"/>
          <w:sz w:val="22"/>
          <w:szCs w:val="22"/>
        </w:rPr>
        <w:t>s</w:t>
      </w:r>
      <w:r>
        <w:rPr>
          <w:rFonts w:ascii="Arial" w:eastAsia="Arial" w:hAnsi="Arial" w:cs="Arial"/>
          <w:sz w:val="22"/>
          <w:szCs w:val="22"/>
        </w:rPr>
        <w:t xml:space="preserve"> that some patients find it helpful for a second person to have access to their online GP record.  This is often a family member, medical next of kin, a close friend or a carer whom they trust to act on their behalf. This is called proxy access, and the patient </w:t>
      </w:r>
      <w:r>
        <w:rPr>
          <w:rFonts w:ascii="Arial" w:eastAsia="Arial" w:hAnsi="Arial" w:cs="Arial"/>
          <w:sz w:val="22"/>
          <w:szCs w:val="22"/>
        </w:rPr>
        <w:lastRenderedPageBreak/>
        <w:t>can limit which online services they want the nominated individual to access. Proxy access should not be granted where:</w:t>
      </w:r>
    </w:p>
    <w:p w14:paraId="0000011D" w14:textId="77777777" w:rsidR="00414D55" w:rsidRDefault="00414D55">
      <w:pPr>
        <w:rPr>
          <w:rFonts w:ascii="Arial" w:eastAsia="Arial" w:hAnsi="Arial" w:cs="Arial"/>
          <w:sz w:val="22"/>
          <w:szCs w:val="22"/>
        </w:rPr>
      </w:pPr>
    </w:p>
    <w:p w14:paraId="0000011E" w14:textId="0681F46E" w:rsidR="00414D55" w:rsidRDefault="004C1F5A">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w:t>
      </w:r>
      <w:r w:rsidR="00BB2B69">
        <w:rPr>
          <w:rFonts w:ascii="Arial" w:eastAsia="Arial" w:hAnsi="Arial" w:cs="Arial"/>
          <w:color w:val="000000"/>
          <w:sz w:val="22"/>
          <w:szCs w:val="22"/>
        </w:rPr>
        <w:t>Practice</w:t>
      </w:r>
      <w:r>
        <w:rPr>
          <w:rFonts w:ascii="Arial" w:eastAsia="Arial" w:hAnsi="Arial" w:cs="Arial"/>
          <w:color w:val="000000"/>
          <w:sz w:val="22"/>
          <w:szCs w:val="22"/>
        </w:rPr>
        <w:t xml:space="preserve"> suspects coercive behaviour (See </w:t>
      </w:r>
      <w:hyperlink w:anchor="_heading=h.r2gqz8dazhs5">
        <w:r w:rsidR="00414D55">
          <w:rPr>
            <w:rFonts w:ascii="Arial" w:eastAsia="Arial" w:hAnsi="Arial" w:cs="Arial"/>
            <w:color w:val="0563C1"/>
            <w:sz w:val="22"/>
            <w:szCs w:val="22"/>
            <w:u w:val="single"/>
          </w:rPr>
          <w:t>Coercion chapter</w:t>
        </w:r>
      </w:hyperlink>
      <w:r>
        <w:rPr>
          <w:rFonts w:ascii="Arial" w:eastAsia="Arial" w:hAnsi="Arial" w:cs="Arial"/>
          <w:color w:val="000000"/>
          <w:sz w:val="22"/>
          <w:szCs w:val="22"/>
        </w:rPr>
        <w:t>)</w:t>
      </w:r>
    </w:p>
    <w:p w14:paraId="0000011F" w14:textId="77777777" w:rsidR="00414D55" w:rsidRDefault="00414D55">
      <w:pPr>
        <w:rPr>
          <w:rFonts w:ascii="Arial" w:eastAsia="Arial" w:hAnsi="Arial" w:cs="Arial"/>
          <w:sz w:val="22"/>
          <w:szCs w:val="22"/>
        </w:rPr>
      </w:pPr>
    </w:p>
    <w:p w14:paraId="00000120" w14:textId="77777777" w:rsidR="00414D55" w:rsidRDefault="004C1F5A">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There is a risk to the security of the patient’s record by the person being considered for proxy access</w:t>
      </w:r>
    </w:p>
    <w:p w14:paraId="00000121" w14:textId="77777777" w:rsidR="00414D55" w:rsidRDefault="00414D55">
      <w:pPr>
        <w:rPr>
          <w:rFonts w:ascii="Arial" w:eastAsia="Arial" w:hAnsi="Arial" w:cs="Arial"/>
          <w:sz w:val="22"/>
          <w:szCs w:val="22"/>
        </w:rPr>
      </w:pPr>
    </w:p>
    <w:p w14:paraId="00000122" w14:textId="77777777" w:rsidR="00414D55" w:rsidRDefault="004C1F5A">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patient has previously expressed the wish not to grant proxy access to specific individuals should they lose capacity, either permanently or temporarily; this should be recorded in the patient’s record</w:t>
      </w:r>
    </w:p>
    <w:p w14:paraId="00000123" w14:textId="77777777" w:rsidR="00414D55" w:rsidRDefault="00414D55">
      <w:pPr>
        <w:rPr>
          <w:rFonts w:ascii="Arial" w:eastAsia="Arial" w:hAnsi="Arial" w:cs="Arial"/>
          <w:sz w:val="22"/>
          <w:szCs w:val="22"/>
        </w:rPr>
      </w:pPr>
    </w:p>
    <w:p w14:paraId="00000124" w14:textId="77777777" w:rsidR="00414D55" w:rsidRDefault="004C1F5A">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responsible clinician assesses that it is not in the best interests of the patient and/or that there are reasons as detailed in denial or limitation of information</w:t>
      </w:r>
    </w:p>
    <w:p w14:paraId="00000125" w14:textId="77777777" w:rsidR="00414D55" w:rsidRDefault="00414D55"/>
    <w:p w14:paraId="00000127" w14:textId="0A8F08A0" w:rsidR="00414D55" w:rsidRPr="006E67ED" w:rsidRDefault="004C1F5A">
      <w:pPr>
        <w:rPr>
          <w:rFonts w:ascii="Arial" w:eastAsia="Arial" w:hAnsi="Arial" w:cs="Arial"/>
          <w:sz w:val="22"/>
          <w:szCs w:val="22"/>
        </w:rPr>
      </w:pPr>
      <w:r>
        <w:rPr>
          <w:rFonts w:ascii="Arial" w:eastAsia="Arial" w:hAnsi="Arial" w:cs="Arial"/>
          <w:sz w:val="22"/>
          <w:szCs w:val="22"/>
        </w:rPr>
        <w:t xml:space="preserve">The arrangement for proxy access may be formal or informal. For further detailed information, refer to NHS England’s </w:t>
      </w:r>
      <w:hyperlink r:id="rId55">
        <w:r w:rsidR="00414D55">
          <w:rPr>
            <w:rFonts w:ascii="Arial" w:eastAsia="Arial" w:hAnsi="Arial" w:cs="Arial"/>
            <w:color w:val="0563C1"/>
            <w:sz w:val="22"/>
            <w:szCs w:val="22"/>
            <w:u w:val="single"/>
          </w:rPr>
          <w:t>Linked profiles and proxy access</w:t>
        </w:r>
      </w:hyperlink>
      <w:r>
        <w:rPr>
          <w:rFonts w:ascii="Arial" w:eastAsia="Arial" w:hAnsi="Arial" w:cs="Arial"/>
          <w:sz w:val="22"/>
          <w:szCs w:val="22"/>
        </w:rPr>
        <w:t xml:space="preserve"> guidance. A more formal approach can be to delegate a lasting power of attorney (LPA). </w:t>
      </w:r>
      <w:r>
        <w:rPr>
          <w:rFonts w:ascii="Arial" w:eastAsia="Arial" w:hAnsi="Arial" w:cs="Arial"/>
          <w:color w:val="222222"/>
          <w:sz w:val="22"/>
          <w:szCs w:val="22"/>
        </w:rPr>
        <w:t xml:space="preserve">Further information about LPAs can be sought from </w:t>
      </w:r>
      <w:hyperlink w:anchor="_heading=h.j93vr2sr5u2x">
        <w:r w:rsidR="00414D55">
          <w:rPr>
            <w:rFonts w:ascii="Arial" w:eastAsia="Arial" w:hAnsi="Arial" w:cs="Arial"/>
            <w:color w:val="0563C1"/>
            <w:sz w:val="22"/>
            <w:szCs w:val="22"/>
            <w:u w:val="single"/>
          </w:rPr>
          <w:t>Chapter 11</w:t>
        </w:r>
      </w:hyperlink>
      <w:r>
        <w:rPr>
          <w:rFonts w:ascii="Arial" w:eastAsia="Arial" w:hAnsi="Arial" w:cs="Arial"/>
          <w:color w:val="222222"/>
          <w:sz w:val="22"/>
          <w:szCs w:val="22"/>
        </w:rPr>
        <w:t>.</w:t>
      </w:r>
    </w:p>
    <w:p w14:paraId="00000128" w14:textId="77777777" w:rsidR="00414D55" w:rsidRDefault="004C1F5A">
      <w:pPr>
        <w:pStyle w:val="Heading2"/>
        <w:numPr>
          <w:ilvl w:val="1"/>
          <w:numId w:val="1"/>
        </w:numPr>
        <w:rPr>
          <w:rFonts w:ascii="Arial" w:eastAsia="Arial" w:hAnsi="Arial" w:cs="Arial"/>
          <w:smallCaps w:val="0"/>
          <w:sz w:val="24"/>
          <w:szCs w:val="24"/>
        </w:rPr>
      </w:pPr>
      <w:bookmarkStart w:id="28" w:name="_Toc215131185"/>
      <w:r>
        <w:rPr>
          <w:rFonts w:ascii="Arial" w:eastAsia="Arial" w:hAnsi="Arial" w:cs="Arial"/>
          <w:smallCaps w:val="0"/>
          <w:sz w:val="24"/>
          <w:szCs w:val="24"/>
        </w:rPr>
        <w:t>Proxy access in adults with capacity</w:t>
      </w:r>
      <w:bookmarkEnd w:id="28"/>
    </w:p>
    <w:p w14:paraId="00000129" w14:textId="77777777" w:rsidR="00414D55" w:rsidRDefault="00414D55">
      <w:pPr>
        <w:rPr>
          <w:rFonts w:ascii="Arial" w:eastAsia="Arial" w:hAnsi="Arial" w:cs="Arial"/>
          <w:sz w:val="22"/>
          <w:szCs w:val="22"/>
        </w:rPr>
      </w:pPr>
    </w:p>
    <w:p w14:paraId="0000012A" w14:textId="77777777" w:rsidR="00414D55" w:rsidRDefault="004C1F5A">
      <w:pPr>
        <w:rPr>
          <w:rFonts w:ascii="Arial" w:eastAsia="Arial" w:hAnsi="Arial" w:cs="Arial"/>
          <w:sz w:val="22"/>
          <w:szCs w:val="22"/>
        </w:rPr>
      </w:pPr>
      <w:r>
        <w:rPr>
          <w:rFonts w:ascii="Arial" w:eastAsia="Arial" w:hAnsi="Arial" w:cs="Arial"/>
          <w:sz w:val="22"/>
          <w:szCs w:val="22"/>
        </w:rPr>
        <w:t xml:space="preserve">Under the Data Protection Act 2018, patients over the age of 13 are assumed to have mental capacity to consent to proxy access. When a patient with capacity gives their consent, the application should be dealt with on the same basis as the patient. </w:t>
      </w:r>
    </w:p>
    <w:p w14:paraId="0000012C" w14:textId="77777777" w:rsidR="00414D55" w:rsidRDefault="00414D55">
      <w:pPr>
        <w:rPr>
          <w:rFonts w:ascii="Arial" w:eastAsia="Arial" w:hAnsi="Arial" w:cs="Arial"/>
          <w:sz w:val="22"/>
          <w:szCs w:val="22"/>
        </w:rPr>
      </w:pPr>
    </w:p>
    <w:p w14:paraId="0000012D" w14:textId="26D84F73" w:rsidR="00414D55" w:rsidRDefault="004C1F5A">
      <w:pPr>
        <w:rPr>
          <w:rFonts w:ascii="Arial" w:eastAsia="Arial" w:hAnsi="Arial" w:cs="Arial"/>
          <w:sz w:val="22"/>
          <w:szCs w:val="22"/>
        </w:rPr>
      </w:pPr>
      <w:r>
        <w:rPr>
          <w:rFonts w:ascii="Arial" w:eastAsia="Arial" w:hAnsi="Arial" w:cs="Arial"/>
          <w:sz w:val="22"/>
          <w:szCs w:val="22"/>
        </w:rPr>
        <w:t xml:space="preserve">This form can be used for a named proxy to simply book an appointment or order medication, or for greater access such as to have access to obtaining test results or consultations. The form has tick boxes that specifically allow a named person to have partial or full access to the named person’s healthcare information. This form must be signed by the patient prior to being considered valid. Any concerns </w:t>
      </w:r>
      <w:proofErr w:type="gramStart"/>
      <w:r>
        <w:rPr>
          <w:rFonts w:ascii="Arial" w:eastAsia="Arial" w:hAnsi="Arial" w:cs="Arial"/>
          <w:sz w:val="22"/>
          <w:szCs w:val="22"/>
        </w:rPr>
        <w:t>with regard to</w:t>
      </w:r>
      <w:proofErr w:type="gramEnd"/>
      <w:r>
        <w:rPr>
          <w:rFonts w:ascii="Arial" w:eastAsia="Arial" w:hAnsi="Arial" w:cs="Arial"/>
          <w:sz w:val="22"/>
          <w:szCs w:val="22"/>
        </w:rPr>
        <w:t xml:space="preserve"> coercion must be discussed with the safeguarding lead</w:t>
      </w:r>
      <w:r w:rsidR="00BB2B69">
        <w:rPr>
          <w:rFonts w:ascii="Arial" w:eastAsia="Arial" w:hAnsi="Arial" w:cs="Arial"/>
          <w:sz w:val="22"/>
          <w:szCs w:val="22"/>
        </w:rPr>
        <w:t>, Dr David Steadman</w:t>
      </w:r>
      <w:r>
        <w:rPr>
          <w:rFonts w:ascii="Arial" w:eastAsia="Arial" w:hAnsi="Arial" w:cs="Arial"/>
          <w:sz w:val="22"/>
          <w:szCs w:val="22"/>
        </w:rPr>
        <w:t>.</w:t>
      </w:r>
    </w:p>
    <w:p w14:paraId="0000012E" w14:textId="77777777" w:rsidR="00414D55" w:rsidRDefault="00414D55">
      <w:pPr>
        <w:rPr>
          <w:rFonts w:ascii="Arial" w:eastAsia="Arial" w:hAnsi="Arial" w:cs="Arial"/>
          <w:sz w:val="22"/>
          <w:szCs w:val="22"/>
        </w:rPr>
      </w:pPr>
    </w:p>
    <w:p w14:paraId="0000012F" w14:textId="77777777" w:rsidR="00414D55" w:rsidRDefault="004C1F5A">
      <w:pPr>
        <w:rPr>
          <w:rFonts w:ascii="Arial" w:eastAsia="Arial" w:hAnsi="Arial" w:cs="Arial"/>
          <w:sz w:val="22"/>
          <w:szCs w:val="22"/>
        </w:rPr>
      </w:pPr>
      <w:r>
        <w:rPr>
          <w:rFonts w:ascii="Arial" w:eastAsia="Arial" w:hAnsi="Arial" w:cs="Arial"/>
          <w:sz w:val="22"/>
          <w:szCs w:val="22"/>
        </w:rPr>
        <w:t xml:space="preserve">It should be noted that this form does not permit any </w:t>
      </w:r>
      <w:proofErr w:type="gramStart"/>
      <w:r>
        <w:rPr>
          <w:rFonts w:ascii="Arial" w:eastAsia="Arial" w:hAnsi="Arial" w:cs="Arial"/>
          <w:sz w:val="22"/>
          <w:szCs w:val="22"/>
        </w:rPr>
        <w:t>third party</w:t>
      </w:r>
      <w:proofErr w:type="gramEnd"/>
      <w:r>
        <w:rPr>
          <w:rFonts w:ascii="Arial" w:eastAsia="Arial" w:hAnsi="Arial" w:cs="Arial"/>
          <w:sz w:val="22"/>
          <w:szCs w:val="22"/>
        </w:rPr>
        <w:t xml:space="preserve"> individual to make healthcare decisions on behalf of the named patient. Furthermore, the patient is responsible for this agreement and any changes or updates that may be required </w:t>
      </w:r>
      <w:proofErr w:type="gramStart"/>
      <w:r>
        <w:rPr>
          <w:rFonts w:ascii="Arial" w:eastAsia="Arial" w:hAnsi="Arial" w:cs="Arial"/>
          <w:sz w:val="22"/>
          <w:szCs w:val="22"/>
        </w:rPr>
        <w:t>at a later date</w:t>
      </w:r>
      <w:proofErr w:type="gramEnd"/>
      <w:r>
        <w:rPr>
          <w:rFonts w:ascii="Arial" w:eastAsia="Arial" w:hAnsi="Arial" w:cs="Arial"/>
          <w:sz w:val="22"/>
          <w:szCs w:val="22"/>
        </w:rPr>
        <w:t>.</w:t>
      </w:r>
    </w:p>
    <w:p w14:paraId="00000130" w14:textId="77777777" w:rsidR="00414D55" w:rsidRDefault="00414D55">
      <w:pPr>
        <w:rPr>
          <w:rFonts w:ascii="Arial" w:eastAsia="Arial" w:hAnsi="Arial" w:cs="Arial"/>
          <w:sz w:val="22"/>
          <w:szCs w:val="22"/>
        </w:rPr>
      </w:pPr>
    </w:p>
    <w:p w14:paraId="00000131" w14:textId="77777777" w:rsidR="00414D55" w:rsidRDefault="00414D55">
      <w:pPr>
        <w:rPr>
          <w:rFonts w:ascii="Arial" w:eastAsia="Arial" w:hAnsi="Arial" w:cs="Arial"/>
          <w:sz w:val="22"/>
          <w:szCs w:val="22"/>
        </w:rPr>
      </w:pPr>
      <w:hyperlink w:anchor="_heading=h.lh3z0i7zpj8j">
        <w:r>
          <w:rPr>
            <w:rFonts w:ascii="Arial" w:eastAsia="Arial" w:hAnsi="Arial" w:cs="Arial"/>
            <w:color w:val="0563C1"/>
            <w:sz w:val="22"/>
            <w:szCs w:val="22"/>
            <w:u w:val="single"/>
          </w:rPr>
          <w:t>Chapter 12</w:t>
        </w:r>
      </w:hyperlink>
      <w:r>
        <w:rPr>
          <w:rFonts w:ascii="Arial" w:eastAsia="Arial" w:hAnsi="Arial" w:cs="Arial"/>
          <w:sz w:val="22"/>
          <w:szCs w:val="22"/>
        </w:rPr>
        <w:t xml:space="preserve"> details the requirement to confirm any third party’s identity.  For children and young people, refer to </w:t>
      </w:r>
      <w:hyperlink w:anchor="_heading=h.8g6c1ymklr3q">
        <w:r>
          <w:rPr>
            <w:rFonts w:ascii="Arial" w:eastAsia="Arial" w:hAnsi="Arial" w:cs="Arial"/>
            <w:color w:val="0563C1"/>
            <w:sz w:val="22"/>
            <w:szCs w:val="22"/>
            <w:u w:val="single"/>
          </w:rPr>
          <w:t>Section 10.4</w:t>
        </w:r>
      </w:hyperlink>
      <w:r>
        <w:rPr>
          <w:rFonts w:ascii="Arial" w:eastAsia="Arial" w:hAnsi="Arial" w:cs="Arial"/>
          <w:sz w:val="22"/>
          <w:szCs w:val="22"/>
        </w:rPr>
        <w:t>.</w:t>
      </w:r>
    </w:p>
    <w:p w14:paraId="00000132" w14:textId="77777777" w:rsidR="00414D55" w:rsidRDefault="004C1F5A">
      <w:pPr>
        <w:pStyle w:val="Heading2"/>
        <w:numPr>
          <w:ilvl w:val="1"/>
          <w:numId w:val="1"/>
        </w:numPr>
        <w:rPr>
          <w:rFonts w:ascii="Arial" w:eastAsia="Arial" w:hAnsi="Arial" w:cs="Arial"/>
          <w:smallCaps w:val="0"/>
          <w:sz w:val="24"/>
          <w:szCs w:val="24"/>
        </w:rPr>
      </w:pPr>
      <w:bookmarkStart w:id="29" w:name="_Toc215131186"/>
      <w:r>
        <w:rPr>
          <w:rFonts w:ascii="Arial" w:eastAsia="Arial" w:hAnsi="Arial" w:cs="Arial"/>
          <w:smallCaps w:val="0"/>
          <w:sz w:val="24"/>
          <w:szCs w:val="24"/>
        </w:rPr>
        <w:t>Proxy access in adults without capacity</w:t>
      </w:r>
      <w:bookmarkEnd w:id="29"/>
    </w:p>
    <w:p w14:paraId="00000133" w14:textId="77777777" w:rsidR="00414D55" w:rsidRDefault="00414D55">
      <w:pPr>
        <w:rPr>
          <w:rFonts w:ascii="Arial" w:eastAsia="Arial" w:hAnsi="Arial" w:cs="Arial"/>
          <w:sz w:val="22"/>
          <w:szCs w:val="22"/>
        </w:rPr>
      </w:pPr>
    </w:p>
    <w:p w14:paraId="00000134" w14:textId="77777777" w:rsidR="00414D55" w:rsidRDefault="004C1F5A">
      <w:pPr>
        <w:rPr>
          <w:rFonts w:ascii="Arial" w:eastAsia="Arial" w:hAnsi="Arial" w:cs="Arial"/>
          <w:sz w:val="22"/>
          <w:szCs w:val="22"/>
        </w:rPr>
      </w:pPr>
      <w:r>
        <w:rPr>
          <w:rFonts w:ascii="Arial" w:eastAsia="Arial" w:hAnsi="Arial" w:cs="Arial"/>
          <w:sz w:val="22"/>
          <w:szCs w:val="22"/>
        </w:rPr>
        <w:t>Proxy access without the consent of the patient may be granted in the following circumstances:</w:t>
      </w:r>
    </w:p>
    <w:p w14:paraId="00000135" w14:textId="77777777" w:rsidR="00414D55" w:rsidRDefault="00414D55">
      <w:pPr>
        <w:rPr>
          <w:rFonts w:ascii="Arial" w:eastAsia="Arial" w:hAnsi="Arial" w:cs="Arial"/>
          <w:sz w:val="22"/>
          <w:szCs w:val="22"/>
        </w:rPr>
      </w:pPr>
    </w:p>
    <w:p w14:paraId="00000136" w14:textId="77777777" w:rsidR="00414D55" w:rsidRDefault="004C1F5A">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patient has been assessed as lacking capacity to decide on granting proxy access and has registered the applicant as a lasting power of attorney for health and welfare with the Office of the Public Guardian</w:t>
      </w:r>
    </w:p>
    <w:p w14:paraId="00000137" w14:textId="77777777" w:rsidR="00414D55" w:rsidRDefault="00414D55">
      <w:pPr>
        <w:pBdr>
          <w:top w:val="nil"/>
          <w:left w:val="nil"/>
          <w:bottom w:val="nil"/>
          <w:right w:val="nil"/>
          <w:between w:val="nil"/>
        </w:pBdr>
        <w:ind w:left="720"/>
        <w:rPr>
          <w:rFonts w:ascii="Arial" w:eastAsia="Arial" w:hAnsi="Arial" w:cs="Arial"/>
          <w:color w:val="000000"/>
          <w:sz w:val="22"/>
          <w:szCs w:val="22"/>
        </w:rPr>
      </w:pPr>
    </w:p>
    <w:p w14:paraId="00000138" w14:textId="77777777" w:rsidR="00414D55" w:rsidRDefault="004C1F5A">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patient has been assessed as lacking capacity to decide on granting proxy access and the applicant is acting as a Court Appointed Deputy on behalf of the patient</w:t>
      </w:r>
    </w:p>
    <w:p w14:paraId="00000139" w14:textId="77777777" w:rsidR="00414D55" w:rsidRDefault="00414D55">
      <w:pPr>
        <w:rPr>
          <w:rFonts w:ascii="Arial" w:eastAsia="Arial" w:hAnsi="Arial" w:cs="Arial"/>
          <w:sz w:val="22"/>
          <w:szCs w:val="22"/>
        </w:rPr>
      </w:pPr>
    </w:p>
    <w:p w14:paraId="0000013A" w14:textId="77777777" w:rsidR="00414D55" w:rsidRDefault="004C1F5A">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xml:space="preserve">The patient has been assessed as lacking capacity to make a decision on granting proxy access and, in accordance with the </w:t>
      </w:r>
      <w:hyperlink r:id="rId56">
        <w:r w:rsidR="00414D55">
          <w:rPr>
            <w:rFonts w:ascii="Arial" w:eastAsia="Arial" w:hAnsi="Arial" w:cs="Arial"/>
            <w:color w:val="0563C1"/>
            <w:sz w:val="22"/>
            <w:szCs w:val="22"/>
            <w:u w:val="single"/>
          </w:rPr>
          <w:t>Mental Capacity Act 2005</w:t>
        </w:r>
      </w:hyperlink>
      <w:r>
        <w:rPr>
          <w:rFonts w:ascii="Arial" w:eastAsia="Arial" w:hAnsi="Arial" w:cs="Arial"/>
          <w:color w:val="000000"/>
          <w:sz w:val="22"/>
          <w:szCs w:val="22"/>
        </w:rPr>
        <w:t xml:space="preserve"> code of practice, the responsible clinician considers it in the patient’s best interests to grant access to the applicant.</w:t>
      </w:r>
    </w:p>
    <w:p w14:paraId="0000013B" w14:textId="77777777" w:rsidR="00414D55" w:rsidRDefault="00414D55">
      <w:pPr>
        <w:rPr>
          <w:rFonts w:ascii="Arial" w:eastAsia="Arial" w:hAnsi="Arial" w:cs="Arial"/>
          <w:sz w:val="22"/>
          <w:szCs w:val="22"/>
        </w:rPr>
      </w:pPr>
    </w:p>
    <w:p w14:paraId="0000013C" w14:textId="77777777" w:rsidR="00414D55" w:rsidRDefault="004C1F5A">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When an adult patient has been assessed as lacking capacity and access is to be granted to a proxy acting in their best interests, it is the responsibility of the responsible clinician to ensure that the level of access enabled, or information provided is necessary for the performance of the applicant’s duties</w:t>
      </w:r>
    </w:p>
    <w:p w14:paraId="0000013F" w14:textId="77777777" w:rsidR="00414D55" w:rsidRDefault="004C1F5A">
      <w:pPr>
        <w:pStyle w:val="Heading2"/>
        <w:numPr>
          <w:ilvl w:val="1"/>
          <w:numId w:val="1"/>
        </w:numPr>
        <w:rPr>
          <w:rFonts w:ascii="Arial" w:eastAsia="Arial" w:hAnsi="Arial" w:cs="Arial"/>
          <w:smallCaps w:val="0"/>
          <w:sz w:val="24"/>
          <w:szCs w:val="24"/>
        </w:rPr>
      </w:pPr>
      <w:bookmarkStart w:id="30" w:name="_Toc215131187"/>
      <w:r>
        <w:rPr>
          <w:rFonts w:ascii="Arial" w:eastAsia="Arial" w:hAnsi="Arial" w:cs="Arial"/>
          <w:smallCaps w:val="0"/>
          <w:sz w:val="24"/>
          <w:szCs w:val="24"/>
        </w:rPr>
        <w:t>Children and young people’s access</w:t>
      </w:r>
      <w:bookmarkEnd w:id="30"/>
    </w:p>
    <w:p w14:paraId="00000140" w14:textId="77777777" w:rsidR="00414D55" w:rsidRDefault="00414D55">
      <w:pPr>
        <w:rPr>
          <w:rFonts w:ascii="Arial" w:eastAsia="Arial" w:hAnsi="Arial" w:cs="Arial"/>
          <w:sz w:val="22"/>
          <w:szCs w:val="22"/>
        </w:rPr>
      </w:pPr>
    </w:p>
    <w:p w14:paraId="00000141" w14:textId="77777777" w:rsidR="00414D55" w:rsidRDefault="004C1F5A">
      <w:pPr>
        <w:rPr>
          <w:rFonts w:ascii="Arial" w:eastAsia="Arial" w:hAnsi="Arial" w:cs="Arial"/>
          <w:sz w:val="22"/>
          <w:szCs w:val="22"/>
        </w:rPr>
      </w:pPr>
      <w:r>
        <w:rPr>
          <w:rFonts w:ascii="Arial" w:eastAsia="Arial" w:hAnsi="Arial" w:cs="Arial"/>
          <w:sz w:val="22"/>
          <w:szCs w:val="22"/>
        </w:rPr>
        <w:t xml:space="preserve">It is difficult to say at what age the child will become competent to make autonomous decisions regarding their healthcare as between the ages of 11 and 16 this varies from person to person. In accordance with </w:t>
      </w:r>
      <w:hyperlink r:id="rId57">
        <w:r w:rsidR="00414D55">
          <w:rPr>
            <w:rFonts w:ascii="Arial" w:eastAsia="Arial" w:hAnsi="Arial" w:cs="Arial"/>
            <w:color w:val="0563C1"/>
            <w:sz w:val="22"/>
            <w:szCs w:val="22"/>
            <w:u w:val="single"/>
          </w:rPr>
          <w:t>Article 8</w:t>
        </w:r>
      </w:hyperlink>
      <w:r>
        <w:rPr>
          <w:rFonts w:ascii="Arial" w:eastAsia="Arial" w:hAnsi="Arial" w:cs="Arial"/>
          <w:sz w:val="22"/>
          <w:szCs w:val="22"/>
        </w:rPr>
        <w:t xml:space="preserve"> of the UK GDPR, from the age of 13 young people can provide their own consent and will be able to register for online services. </w:t>
      </w:r>
    </w:p>
    <w:p w14:paraId="00000142" w14:textId="77777777" w:rsidR="00414D55" w:rsidRDefault="004C1F5A">
      <w:pPr>
        <w:rPr>
          <w:rFonts w:ascii="Arial" w:eastAsia="Arial" w:hAnsi="Arial" w:cs="Arial"/>
          <w:sz w:val="22"/>
          <w:szCs w:val="22"/>
        </w:rPr>
      </w:pPr>
      <w:r>
        <w:rPr>
          <w:rFonts w:ascii="Arial" w:eastAsia="Arial" w:hAnsi="Arial" w:cs="Arial"/>
          <w:sz w:val="22"/>
          <w:szCs w:val="22"/>
        </w:rPr>
        <w:tab/>
      </w:r>
    </w:p>
    <w:p w14:paraId="00000143" w14:textId="77777777" w:rsidR="00414D55" w:rsidRDefault="004C1F5A">
      <w:pPr>
        <w:rPr>
          <w:rFonts w:ascii="Arial" w:eastAsia="Arial" w:hAnsi="Arial" w:cs="Arial"/>
          <w:sz w:val="22"/>
          <w:szCs w:val="22"/>
        </w:rPr>
      </w:pPr>
      <w:r>
        <w:rPr>
          <w:rFonts w:ascii="Arial" w:eastAsia="Arial" w:hAnsi="Arial" w:cs="Arial"/>
          <w:sz w:val="22"/>
          <w:szCs w:val="22"/>
        </w:rPr>
        <w:t xml:space="preserve">For detailed information, refer to the RCGPs </w:t>
      </w:r>
      <w:hyperlink r:id="rId58">
        <w:r w:rsidR="00414D55">
          <w:rPr>
            <w:rFonts w:ascii="Arial" w:eastAsia="Arial" w:hAnsi="Arial" w:cs="Arial"/>
            <w:color w:val="0563C1"/>
            <w:sz w:val="22"/>
            <w:szCs w:val="22"/>
            <w:u w:val="single"/>
          </w:rPr>
          <w:t>Children and Young People</w:t>
        </w:r>
      </w:hyperlink>
      <w:r>
        <w:rPr>
          <w:rFonts w:ascii="Arial" w:eastAsia="Arial" w:hAnsi="Arial" w:cs="Arial"/>
          <w:sz w:val="22"/>
          <w:szCs w:val="22"/>
        </w:rPr>
        <w:t xml:space="preserve"> guidance.</w:t>
      </w:r>
    </w:p>
    <w:p w14:paraId="00000144" w14:textId="77777777" w:rsidR="00414D55" w:rsidRDefault="004C1F5A">
      <w:pPr>
        <w:pStyle w:val="Heading2"/>
        <w:numPr>
          <w:ilvl w:val="1"/>
          <w:numId w:val="1"/>
        </w:numPr>
        <w:rPr>
          <w:rFonts w:ascii="Arial" w:eastAsia="Arial" w:hAnsi="Arial" w:cs="Arial"/>
          <w:smallCaps w:val="0"/>
          <w:sz w:val="24"/>
          <w:szCs w:val="24"/>
        </w:rPr>
      </w:pPr>
      <w:bookmarkStart w:id="31" w:name="_Toc215131188"/>
      <w:r>
        <w:rPr>
          <w:rFonts w:ascii="Arial" w:eastAsia="Arial" w:hAnsi="Arial" w:cs="Arial"/>
          <w:smallCaps w:val="0"/>
          <w:sz w:val="24"/>
          <w:szCs w:val="24"/>
        </w:rPr>
        <w:t>Proxy access in children without consent</w:t>
      </w:r>
      <w:bookmarkEnd w:id="31"/>
    </w:p>
    <w:p w14:paraId="00000145" w14:textId="77777777" w:rsidR="00414D55" w:rsidRDefault="00414D55">
      <w:pPr>
        <w:rPr>
          <w:rFonts w:ascii="Arial" w:eastAsia="Arial" w:hAnsi="Arial" w:cs="Arial"/>
          <w:sz w:val="22"/>
          <w:szCs w:val="22"/>
        </w:rPr>
      </w:pPr>
    </w:p>
    <w:p w14:paraId="00000146" w14:textId="56E1BA22" w:rsidR="00414D55" w:rsidRDefault="004C1F5A">
      <w:pPr>
        <w:rPr>
          <w:rFonts w:ascii="Arial" w:eastAsia="Arial" w:hAnsi="Arial" w:cs="Arial"/>
          <w:sz w:val="22"/>
          <w:szCs w:val="22"/>
        </w:rPr>
      </w:pPr>
      <w:r>
        <w:rPr>
          <w:rFonts w:ascii="Arial" w:eastAsia="Arial" w:hAnsi="Arial" w:cs="Arial"/>
          <w:sz w:val="22"/>
          <w:szCs w:val="22"/>
        </w:rPr>
        <w:t xml:space="preserve">The </w:t>
      </w:r>
      <w:r w:rsidR="00BB2B69">
        <w:rPr>
          <w:rFonts w:ascii="Arial" w:eastAsia="Arial" w:hAnsi="Arial" w:cs="Arial"/>
          <w:sz w:val="22"/>
          <w:szCs w:val="22"/>
        </w:rPr>
        <w:t>Practice</w:t>
      </w:r>
      <w:r>
        <w:rPr>
          <w:rFonts w:ascii="Arial" w:eastAsia="Arial" w:hAnsi="Arial" w:cs="Arial"/>
          <w:sz w:val="22"/>
          <w:szCs w:val="22"/>
        </w:rPr>
        <w:t xml:space="preserve"> may authorise proxy access without the patient's consent when: </w:t>
      </w:r>
    </w:p>
    <w:p w14:paraId="00000147" w14:textId="77777777" w:rsidR="00414D55" w:rsidRDefault="00414D55">
      <w:pPr>
        <w:ind w:firstLine="360"/>
        <w:rPr>
          <w:rFonts w:ascii="Arial" w:eastAsia="Arial" w:hAnsi="Arial" w:cs="Arial"/>
          <w:sz w:val="22"/>
          <w:szCs w:val="22"/>
        </w:rPr>
      </w:pPr>
    </w:p>
    <w:p w14:paraId="00000148" w14:textId="77777777" w:rsidR="00414D55" w:rsidRDefault="004C1F5A">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patient does not have capacity to </w:t>
      </w:r>
      <w:proofErr w:type="gramStart"/>
      <w:r>
        <w:rPr>
          <w:rFonts w:ascii="Arial" w:eastAsia="Arial" w:hAnsi="Arial" w:cs="Arial"/>
          <w:color w:val="000000"/>
          <w:sz w:val="22"/>
          <w:szCs w:val="22"/>
        </w:rPr>
        <w:t>make a decision</w:t>
      </w:r>
      <w:proofErr w:type="gramEnd"/>
      <w:r>
        <w:rPr>
          <w:rFonts w:ascii="Arial" w:eastAsia="Arial" w:hAnsi="Arial" w:cs="Arial"/>
          <w:color w:val="000000"/>
          <w:sz w:val="22"/>
          <w:szCs w:val="22"/>
        </w:rPr>
        <w:t xml:space="preserve"> on giving proxy access</w:t>
      </w:r>
    </w:p>
    <w:p w14:paraId="00000149" w14:textId="77777777" w:rsidR="00414D55" w:rsidRDefault="004C1F5A">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applicant has a lasting power of attorney (health and welfare) and the patient is without capacity</w:t>
      </w:r>
    </w:p>
    <w:p w14:paraId="0000014A" w14:textId="77777777" w:rsidR="00414D55" w:rsidRDefault="004C1F5A">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applicant is acting as a Court Appointed Deputy on behalf of the patient</w:t>
      </w:r>
    </w:p>
    <w:p w14:paraId="0000014B" w14:textId="77777777" w:rsidR="00414D55" w:rsidRDefault="004C1F5A">
      <w:pPr>
        <w:numPr>
          <w:ilvl w:val="0"/>
          <w:numId w:val="2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GP considers it to be in the patient’s best interests</w:t>
      </w:r>
    </w:p>
    <w:p w14:paraId="0000014C" w14:textId="77777777" w:rsidR="00414D55" w:rsidRDefault="00414D55">
      <w:pPr>
        <w:rPr>
          <w:rFonts w:ascii="Arial" w:eastAsia="Arial" w:hAnsi="Arial" w:cs="Arial"/>
          <w:sz w:val="22"/>
          <w:szCs w:val="22"/>
        </w:rPr>
      </w:pPr>
    </w:p>
    <w:p w14:paraId="0000014D" w14:textId="2EAC34BD" w:rsidR="00414D55" w:rsidRDefault="004C1F5A">
      <w:pPr>
        <w:rPr>
          <w:rFonts w:ascii="Arial" w:eastAsia="Arial" w:hAnsi="Arial" w:cs="Arial"/>
          <w:sz w:val="22"/>
          <w:szCs w:val="22"/>
        </w:rPr>
      </w:pPr>
      <w:r>
        <w:rPr>
          <w:rFonts w:ascii="Arial" w:eastAsia="Arial" w:hAnsi="Arial" w:cs="Arial"/>
          <w:sz w:val="22"/>
          <w:szCs w:val="22"/>
        </w:rPr>
        <w:t xml:space="preserve">The person authorising access has responsibility to ensure that the level of access enabled is appropriate for the performance of the applicant’s duties. The nominated individual is to complete the online services registration form </w:t>
      </w:r>
      <w:r w:rsidR="00BB2B69">
        <w:rPr>
          <w:rFonts w:ascii="Arial" w:eastAsia="Arial" w:hAnsi="Arial" w:cs="Arial"/>
          <w:sz w:val="22"/>
          <w:szCs w:val="22"/>
        </w:rPr>
        <w:t>or</w:t>
      </w:r>
      <w:r>
        <w:rPr>
          <w:rFonts w:ascii="Arial" w:eastAsia="Arial" w:hAnsi="Arial" w:cs="Arial"/>
          <w:sz w:val="22"/>
          <w:szCs w:val="22"/>
        </w:rPr>
        <w:t xml:space="preserve"> the SAR application form. Should the </w:t>
      </w:r>
      <w:r w:rsidR="00D75E2F">
        <w:rPr>
          <w:rFonts w:ascii="Arial" w:eastAsia="Arial" w:hAnsi="Arial" w:cs="Arial"/>
          <w:sz w:val="22"/>
          <w:szCs w:val="22"/>
        </w:rPr>
        <w:t>P</w:t>
      </w:r>
      <w:r w:rsidR="0040789A">
        <w:rPr>
          <w:rFonts w:ascii="Arial" w:eastAsia="Arial" w:hAnsi="Arial" w:cs="Arial"/>
          <w:sz w:val="22"/>
          <w:szCs w:val="22"/>
        </w:rPr>
        <w:t>ractice</w:t>
      </w:r>
      <w:r>
        <w:rPr>
          <w:rFonts w:ascii="Arial" w:eastAsia="Arial" w:hAnsi="Arial" w:cs="Arial"/>
          <w:sz w:val="22"/>
          <w:szCs w:val="22"/>
        </w:rPr>
        <w:t xml:space="preserve"> opt not to grant the person access to an individual’s record, the </w:t>
      </w:r>
      <w:r w:rsidR="00BB2B69">
        <w:rPr>
          <w:rFonts w:ascii="Arial" w:eastAsia="Arial" w:hAnsi="Arial" w:cs="Arial"/>
          <w:sz w:val="22"/>
          <w:szCs w:val="22"/>
        </w:rPr>
        <w:t>Practice Manager</w:t>
      </w:r>
      <w:r>
        <w:rPr>
          <w:rFonts w:ascii="Arial" w:eastAsia="Arial" w:hAnsi="Arial" w:cs="Arial"/>
          <w:sz w:val="22"/>
          <w:szCs w:val="22"/>
        </w:rPr>
        <w:t xml:space="preserve"> will contact the patient and advise them of the reasons why this decision has been reached. </w:t>
      </w:r>
    </w:p>
    <w:p w14:paraId="0000014E" w14:textId="77777777" w:rsidR="00414D55" w:rsidRDefault="00414D55">
      <w:pPr>
        <w:ind w:left="360"/>
        <w:rPr>
          <w:rFonts w:ascii="Arial" w:eastAsia="Arial" w:hAnsi="Arial" w:cs="Arial"/>
          <w:sz w:val="22"/>
          <w:szCs w:val="22"/>
        </w:rPr>
      </w:pPr>
    </w:p>
    <w:p w14:paraId="0000014F" w14:textId="4D8F2E9F" w:rsidR="00414D55" w:rsidRDefault="004C1F5A">
      <w:pPr>
        <w:ind w:right="240"/>
        <w:rPr>
          <w:rFonts w:ascii="Arial" w:eastAsia="Arial" w:hAnsi="Arial" w:cs="Arial"/>
          <w:sz w:val="22"/>
          <w:szCs w:val="22"/>
        </w:rPr>
      </w:pPr>
      <w:r>
        <w:rPr>
          <w:rFonts w:ascii="Arial" w:eastAsia="Arial" w:hAnsi="Arial" w:cs="Arial"/>
          <w:sz w:val="22"/>
          <w:szCs w:val="22"/>
        </w:rPr>
        <w:t xml:space="preserve">The </w:t>
      </w:r>
      <w:r w:rsidR="0040789A">
        <w:rPr>
          <w:rFonts w:ascii="Arial" w:eastAsia="Arial" w:hAnsi="Arial" w:cs="Arial"/>
          <w:sz w:val="22"/>
          <w:szCs w:val="22"/>
        </w:rPr>
        <w:t>Practice</w:t>
      </w:r>
      <w:r>
        <w:rPr>
          <w:rFonts w:ascii="Arial" w:eastAsia="Arial" w:hAnsi="Arial" w:cs="Arial"/>
          <w:sz w:val="22"/>
          <w:szCs w:val="22"/>
        </w:rPr>
        <w:t xml:space="preserve"> may refuse or withdraw formal proxy access at any time if it is judged that it is in the patient’s best interests to do so.  Formal proxy access may be restricted to less access than the patient has, e.g., appointments and repeat prescriptions only.</w:t>
      </w:r>
    </w:p>
    <w:p w14:paraId="00000150" w14:textId="77777777" w:rsidR="00414D55" w:rsidRDefault="00414D55">
      <w:pPr>
        <w:ind w:left="720" w:right="240"/>
        <w:rPr>
          <w:rFonts w:ascii="Arial" w:eastAsia="Arial" w:hAnsi="Arial" w:cs="Arial"/>
          <w:b/>
          <w:sz w:val="22"/>
          <w:szCs w:val="22"/>
        </w:rPr>
      </w:pPr>
    </w:p>
    <w:p w14:paraId="00000151" w14:textId="77777777" w:rsidR="00414D55" w:rsidRDefault="004C1F5A">
      <w:pPr>
        <w:rPr>
          <w:rFonts w:ascii="Arial" w:eastAsia="Arial" w:hAnsi="Arial" w:cs="Arial"/>
          <w:sz w:val="22"/>
          <w:szCs w:val="22"/>
        </w:rPr>
      </w:pPr>
      <w:r>
        <w:rPr>
          <w:rFonts w:ascii="Arial" w:eastAsia="Arial" w:hAnsi="Arial" w:cs="Arial"/>
          <w:sz w:val="22"/>
          <w:szCs w:val="22"/>
        </w:rPr>
        <w:t>Patients who choose to share their account credentials with family, friends and carers (including a care home) must be advised of the risks associated with doing so. Formal proxy access is the recommended alternative in all circumstances.</w:t>
      </w:r>
    </w:p>
    <w:p w14:paraId="00000152" w14:textId="77777777" w:rsidR="00414D55" w:rsidRDefault="00414D55">
      <w:pPr>
        <w:rPr>
          <w:rFonts w:ascii="Arial" w:eastAsia="Arial" w:hAnsi="Arial" w:cs="Arial"/>
          <w:sz w:val="22"/>
          <w:szCs w:val="22"/>
        </w:rPr>
      </w:pPr>
    </w:p>
    <w:p w14:paraId="00000154" w14:textId="77777777" w:rsidR="00414D55" w:rsidRDefault="004C1F5A">
      <w:pPr>
        <w:pStyle w:val="Heading2"/>
        <w:numPr>
          <w:ilvl w:val="1"/>
          <w:numId w:val="1"/>
        </w:numPr>
        <w:spacing w:before="240" w:line="240" w:lineRule="auto"/>
        <w:ind w:left="578" w:hanging="578"/>
        <w:rPr>
          <w:rFonts w:ascii="Arial" w:eastAsia="Arial" w:hAnsi="Arial" w:cs="Arial"/>
          <w:sz w:val="24"/>
          <w:szCs w:val="24"/>
        </w:rPr>
      </w:pPr>
      <w:bookmarkStart w:id="32" w:name="_Toc215131189"/>
      <w:r>
        <w:rPr>
          <w:rFonts w:ascii="Arial" w:eastAsia="Arial" w:hAnsi="Arial" w:cs="Arial"/>
          <w:smallCaps w:val="0"/>
          <w:sz w:val="24"/>
          <w:szCs w:val="24"/>
        </w:rPr>
        <w:t>Parents gaining access to a child’s medical record</w:t>
      </w:r>
      <w:bookmarkEnd w:id="32"/>
    </w:p>
    <w:p w14:paraId="00000155" w14:textId="77777777" w:rsidR="00414D55" w:rsidRDefault="00414D55">
      <w:pPr>
        <w:rPr>
          <w:rFonts w:ascii="Arial" w:eastAsia="Arial" w:hAnsi="Arial" w:cs="Arial"/>
          <w:sz w:val="22"/>
          <w:szCs w:val="22"/>
        </w:rPr>
      </w:pPr>
    </w:p>
    <w:p w14:paraId="00000156" w14:textId="0B80927C" w:rsidR="00414D55" w:rsidRDefault="004C1F5A">
      <w:pPr>
        <w:rPr>
          <w:rFonts w:ascii="Arial" w:eastAsia="Arial" w:hAnsi="Arial" w:cs="Arial"/>
          <w:sz w:val="22"/>
          <w:szCs w:val="22"/>
        </w:rPr>
      </w:pPr>
      <w:r>
        <w:rPr>
          <w:rFonts w:ascii="Arial" w:eastAsia="Arial" w:hAnsi="Arial" w:cs="Arial"/>
          <w:sz w:val="22"/>
          <w:szCs w:val="22"/>
        </w:rPr>
        <w:t>Th</w:t>
      </w:r>
      <w:r w:rsidR="00D75E2F">
        <w:rPr>
          <w:rFonts w:ascii="Arial" w:eastAsia="Arial" w:hAnsi="Arial" w:cs="Arial"/>
          <w:sz w:val="22"/>
          <w:szCs w:val="22"/>
        </w:rPr>
        <w:t>e Practice</w:t>
      </w:r>
      <w:r>
        <w:rPr>
          <w:rFonts w:ascii="Arial" w:eastAsia="Arial" w:hAnsi="Arial" w:cs="Arial"/>
          <w:sz w:val="22"/>
          <w:szCs w:val="22"/>
        </w:rPr>
        <w:t xml:space="preserve"> will allow parents access to their child’s medical records if the child or young person consents or lacks </w:t>
      </w:r>
      <w:proofErr w:type="gramStart"/>
      <w:r>
        <w:rPr>
          <w:rFonts w:ascii="Arial" w:eastAsia="Arial" w:hAnsi="Arial" w:cs="Arial"/>
          <w:sz w:val="22"/>
          <w:szCs w:val="22"/>
        </w:rPr>
        <w:t>capacity</w:t>
      </w:r>
      <w:proofErr w:type="gramEnd"/>
      <w:r>
        <w:rPr>
          <w:rFonts w:ascii="Arial" w:eastAsia="Arial" w:hAnsi="Arial" w:cs="Arial"/>
          <w:sz w:val="22"/>
          <w:szCs w:val="22"/>
        </w:rPr>
        <w:t xml:space="preserve"> and it does not go against the child’s best interests. However, if the records contain information given by the child or young person in confidence then this information should not normally be disclosed without their consent.</w:t>
      </w:r>
    </w:p>
    <w:p w14:paraId="00000157" w14:textId="77777777" w:rsidR="00414D55" w:rsidRDefault="00414D55">
      <w:pPr>
        <w:rPr>
          <w:rFonts w:ascii="Arial" w:eastAsia="Arial" w:hAnsi="Arial" w:cs="Arial"/>
          <w:sz w:val="22"/>
          <w:szCs w:val="22"/>
        </w:rPr>
      </w:pPr>
    </w:p>
    <w:p w14:paraId="00000158" w14:textId="77777777" w:rsidR="00414D55" w:rsidRDefault="004C1F5A">
      <w:pPr>
        <w:rPr>
          <w:rFonts w:ascii="Arial" w:eastAsia="Arial" w:hAnsi="Arial" w:cs="Arial"/>
          <w:sz w:val="22"/>
          <w:szCs w:val="22"/>
        </w:rPr>
      </w:pPr>
      <w:r>
        <w:rPr>
          <w:rFonts w:ascii="Arial" w:eastAsia="Arial" w:hAnsi="Arial" w:cs="Arial"/>
          <w:sz w:val="22"/>
          <w:szCs w:val="22"/>
        </w:rPr>
        <w:lastRenderedPageBreak/>
        <w:t>It should be noted that divorce or separation does not affect parental responsibility and therefore both parents will continue to have reasonable access to their children's health records unless legally advised not to do so.</w:t>
      </w:r>
    </w:p>
    <w:p w14:paraId="00000159" w14:textId="77777777" w:rsidR="00414D55" w:rsidRDefault="00414D55">
      <w:pPr>
        <w:rPr>
          <w:rFonts w:ascii="Arial" w:eastAsia="Arial" w:hAnsi="Arial" w:cs="Arial"/>
          <w:sz w:val="22"/>
          <w:szCs w:val="22"/>
        </w:rPr>
      </w:pPr>
    </w:p>
    <w:p w14:paraId="6CED00EF" w14:textId="2FD7B1C5" w:rsidR="00BB2B69" w:rsidRDefault="00BB2B69">
      <w:pPr>
        <w:rPr>
          <w:rFonts w:ascii="Arial" w:eastAsia="Arial" w:hAnsi="Arial" w:cs="Arial"/>
          <w:sz w:val="22"/>
          <w:szCs w:val="22"/>
        </w:rPr>
      </w:pPr>
      <w:r>
        <w:rPr>
          <w:rFonts w:ascii="Arial" w:eastAsia="Arial" w:hAnsi="Arial" w:cs="Arial"/>
          <w:sz w:val="22"/>
          <w:szCs w:val="22"/>
        </w:rPr>
        <w:t>On the child’s 12</w:t>
      </w:r>
      <w:r w:rsidRPr="00BB2B69">
        <w:rPr>
          <w:rFonts w:ascii="Arial" w:eastAsia="Arial" w:hAnsi="Arial" w:cs="Arial"/>
          <w:sz w:val="22"/>
          <w:szCs w:val="22"/>
          <w:vertAlign w:val="superscript"/>
        </w:rPr>
        <w:t>th</w:t>
      </w:r>
      <w:r>
        <w:rPr>
          <w:rFonts w:ascii="Arial" w:eastAsia="Arial" w:hAnsi="Arial" w:cs="Arial"/>
          <w:sz w:val="22"/>
          <w:szCs w:val="22"/>
        </w:rPr>
        <w:t xml:space="preserve"> Birthday, all proxy access is removed automatically by </w:t>
      </w:r>
      <w:proofErr w:type="spellStart"/>
      <w:r>
        <w:rPr>
          <w:rFonts w:ascii="Arial" w:eastAsia="Arial" w:hAnsi="Arial" w:cs="Arial"/>
          <w:sz w:val="22"/>
          <w:szCs w:val="22"/>
        </w:rPr>
        <w:t>SystmOne</w:t>
      </w:r>
      <w:proofErr w:type="spellEnd"/>
      <w:r>
        <w:rPr>
          <w:rFonts w:ascii="Arial" w:eastAsia="Arial" w:hAnsi="Arial" w:cs="Arial"/>
          <w:sz w:val="22"/>
          <w:szCs w:val="22"/>
        </w:rPr>
        <w:t xml:space="preserve"> and if proxy access is still required then a further request is required keeping in mind that the child or young person may now be classed as competent and may reasonably be allowed to refuse parental access.</w:t>
      </w:r>
    </w:p>
    <w:p w14:paraId="0000015B" w14:textId="77777777" w:rsidR="00414D55" w:rsidRDefault="004C1F5A">
      <w:pPr>
        <w:pStyle w:val="Heading1"/>
        <w:keepLines/>
        <w:numPr>
          <w:ilvl w:val="0"/>
          <w:numId w:val="1"/>
        </w:numPr>
        <w:pBdr>
          <w:bottom w:val="single" w:sz="4" w:space="0" w:color="595959"/>
        </w:pBdr>
        <w:spacing w:before="360" w:after="160" w:line="259" w:lineRule="auto"/>
        <w:ind w:left="431" w:hanging="431"/>
        <w:rPr>
          <w:sz w:val="28"/>
          <w:szCs w:val="28"/>
        </w:rPr>
      </w:pPr>
      <w:bookmarkStart w:id="33" w:name="_Toc215131190"/>
      <w:r>
        <w:rPr>
          <w:sz w:val="28"/>
          <w:szCs w:val="28"/>
        </w:rPr>
        <w:t>Lasting power of attorney</w:t>
      </w:r>
      <w:bookmarkEnd w:id="33"/>
    </w:p>
    <w:p w14:paraId="0000015C" w14:textId="77777777" w:rsidR="00414D55" w:rsidRDefault="004C1F5A">
      <w:pPr>
        <w:pStyle w:val="Heading2"/>
        <w:numPr>
          <w:ilvl w:val="1"/>
          <w:numId w:val="1"/>
        </w:numPr>
        <w:rPr>
          <w:rFonts w:ascii="Arial" w:eastAsia="Arial" w:hAnsi="Arial" w:cs="Arial"/>
          <w:smallCaps w:val="0"/>
          <w:sz w:val="24"/>
          <w:szCs w:val="24"/>
        </w:rPr>
      </w:pPr>
      <w:bookmarkStart w:id="34" w:name="_Toc215131191"/>
      <w:r>
        <w:rPr>
          <w:rFonts w:ascii="Arial" w:eastAsia="Arial" w:hAnsi="Arial" w:cs="Arial"/>
          <w:smallCaps w:val="0"/>
          <w:sz w:val="24"/>
          <w:szCs w:val="24"/>
        </w:rPr>
        <w:t>About</w:t>
      </w:r>
      <w:bookmarkEnd w:id="34"/>
    </w:p>
    <w:p w14:paraId="0000015D" w14:textId="77777777" w:rsidR="00414D55" w:rsidRDefault="00414D55">
      <w:pPr>
        <w:rPr>
          <w:rFonts w:ascii="Arial" w:eastAsia="Arial" w:hAnsi="Arial" w:cs="Arial"/>
          <w:sz w:val="22"/>
          <w:szCs w:val="22"/>
        </w:rPr>
      </w:pPr>
    </w:p>
    <w:p w14:paraId="0000015E" w14:textId="77777777" w:rsidR="00414D55" w:rsidRDefault="004C1F5A">
      <w:pPr>
        <w:rPr>
          <w:rFonts w:ascii="Arial" w:eastAsia="Arial" w:hAnsi="Arial" w:cs="Arial"/>
          <w:color w:val="222222"/>
          <w:sz w:val="22"/>
          <w:szCs w:val="22"/>
        </w:rPr>
      </w:pPr>
      <w:r>
        <w:rPr>
          <w:rFonts w:ascii="Arial" w:eastAsia="Arial" w:hAnsi="Arial" w:cs="Arial"/>
          <w:color w:val="222222"/>
          <w:sz w:val="22"/>
          <w:szCs w:val="22"/>
        </w:rPr>
        <w:t>A lasting power of attorney (LPA) is a legal document that allows individuals to give people they trust the authority to manage their affairs if they lack capacity to make certain decisions for themselves in the future.</w:t>
      </w:r>
    </w:p>
    <w:p w14:paraId="0000015F" w14:textId="77777777" w:rsidR="00414D55" w:rsidRDefault="00414D55">
      <w:pPr>
        <w:rPr>
          <w:rFonts w:ascii="Arial" w:eastAsia="Arial" w:hAnsi="Arial" w:cs="Arial"/>
          <w:color w:val="222222"/>
          <w:sz w:val="22"/>
          <w:szCs w:val="22"/>
        </w:rPr>
      </w:pPr>
    </w:p>
    <w:p w14:paraId="00000160" w14:textId="77777777" w:rsidR="00414D55" w:rsidRDefault="004C1F5A">
      <w:pPr>
        <w:rPr>
          <w:rFonts w:ascii="Arial" w:eastAsia="Arial" w:hAnsi="Arial" w:cs="Arial"/>
          <w:color w:val="222222"/>
          <w:sz w:val="22"/>
          <w:szCs w:val="22"/>
        </w:rPr>
      </w:pPr>
      <w:r>
        <w:rPr>
          <w:rFonts w:ascii="Arial" w:eastAsia="Arial" w:hAnsi="Arial" w:cs="Arial"/>
          <w:color w:val="222222"/>
          <w:sz w:val="22"/>
          <w:szCs w:val="22"/>
        </w:rPr>
        <w:t xml:space="preserve">To nominate an LPA, the person must be over 18 years old and </w:t>
      </w:r>
      <w:proofErr w:type="gramStart"/>
      <w:r>
        <w:rPr>
          <w:rFonts w:ascii="Arial" w:eastAsia="Arial" w:hAnsi="Arial" w:cs="Arial"/>
          <w:color w:val="222222"/>
          <w:sz w:val="22"/>
          <w:szCs w:val="22"/>
        </w:rPr>
        <w:t>have the ability to</w:t>
      </w:r>
      <w:proofErr w:type="gramEnd"/>
      <w:r>
        <w:rPr>
          <w:rFonts w:ascii="Arial" w:eastAsia="Arial" w:hAnsi="Arial" w:cs="Arial"/>
          <w:color w:val="222222"/>
          <w:sz w:val="22"/>
          <w:szCs w:val="22"/>
        </w:rPr>
        <w:t xml:space="preserve"> make their own decision (mental capacity). There are two types of LPA, the vast majority of LPAs deal with health and welfare although occasionally there may be a need to be involved with LPAs that property and financial affairs. For further detailed information, refer to the </w:t>
      </w:r>
      <w:hyperlink r:id="rId59">
        <w:r w:rsidR="00414D55">
          <w:rPr>
            <w:rFonts w:ascii="Arial" w:eastAsia="Arial" w:hAnsi="Arial" w:cs="Arial"/>
            <w:color w:val="0563C1"/>
            <w:sz w:val="22"/>
            <w:szCs w:val="22"/>
            <w:u w:val="single"/>
          </w:rPr>
          <w:t>Make, register or end a lasting power of attorney</w:t>
        </w:r>
      </w:hyperlink>
      <w:r>
        <w:rPr>
          <w:rFonts w:ascii="Arial" w:eastAsia="Arial" w:hAnsi="Arial" w:cs="Arial"/>
          <w:color w:val="222222"/>
          <w:sz w:val="22"/>
          <w:szCs w:val="22"/>
        </w:rPr>
        <w:t xml:space="preserve"> guidance.</w:t>
      </w:r>
    </w:p>
    <w:p w14:paraId="00000161" w14:textId="77777777" w:rsidR="00414D55" w:rsidRDefault="004C1F5A">
      <w:pPr>
        <w:pStyle w:val="Heading2"/>
        <w:numPr>
          <w:ilvl w:val="1"/>
          <w:numId w:val="1"/>
        </w:numPr>
        <w:rPr>
          <w:rFonts w:ascii="Arial" w:eastAsia="Arial" w:hAnsi="Arial" w:cs="Arial"/>
          <w:smallCaps w:val="0"/>
          <w:sz w:val="24"/>
          <w:szCs w:val="24"/>
        </w:rPr>
      </w:pPr>
      <w:bookmarkStart w:id="35" w:name="_Toc215131192"/>
      <w:r>
        <w:rPr>
          <w:rFonts w:ascii="Arial" w:eastAsia="Arial" w:hAnsi="Arial" w:cs="Arial"/>
          <w:smallCaps w:val="0"/>
          <w:sz w:val="24"/>
          <w:szCs w:val="24"/>
        </w:rPr>
        <w:t>Responding to an access request</w:t>
      </w:r>
      <w:bookmarkEnd w:id="35"/>
    </w:p>
    <w:p w14:paraId="00000162" w14:textId="77777777" w:rsidR="00414D55" w:rsidRDefault="00414D55">
      <w:pPr>
        <w:rPr>
          <w:rFonts w:ascii="Arial" w:eastAsia="Arial" w:hAnsi="Arial" w:cs="Arial"/>
          <w:color w:val="222222"/>
          <w:sz w:val="22"/>
          <w:szCs w:val="22"/>
        </w:rPr>
      </w:pPr>
    </w:p>
    <w:p w14:paraId="00000163" w14:textId="77777777" w:rsidR="00414D55" w:rsidRDefault="004C1F5A">
      <w:pPr>
        <w:rPr>
          <w:rFonts w:ascii="Arial" w:eastAsia="Arial" w:hAnsi="Arial" w:cs="Arial"/>
          <w:sz w:val="22"/>
          <w:szCs w:val="22"/>
        </w:rPr>
      </w:pPr>
      <w:r>
        <w:rPr>
          <w:rFonts w:ascii="Arial" w:eastAsia="Arial" w:hAnsi="Arial" w:cs="Arial"/>
          <w:sz w:val="22"/>
          <w:szCs w:val="22"/>
        </w:rPr>
        <w:t xml:space="preserve">When someone is applying for proxy access on the basis of an enduring power of attorney, an LPA or as a Court Appointed Deputy, their status should be verified by making an online check of the registers held by the Office of the Public Guardian </w:t>
      </w:r>
      <w:hyperlink r:id="rId60">
        <w:r w:rsidR="00414D55">
          <w:rPr>
            <w:rFonts w:ascii="Arial" w:eastAsia="Arial" w:hAnsi="Arial" w:cs="Arial"/>
            <w:color w:val="0563C1"/>
            <w:sz w:val="22"/>
            <w:szCs w:val="22"/>
            <w:u w:val="single"/>
          </w:rPr>
          <w:t>here</w:t>
        </w:r>
      </w:hyperlink>
      <w:r>
        <w:rPr>
          <w:rFonts w:ascii="Arial" w:eastAsia="Arial" w:hAnsi="Arial" w:cs="Arial"/>
          <w:sz w:val="22"/>
          <w:szCs w:val="22"/>
        </w:rPr>
        <w:t>.</w:t>
      </w:r>
    </w:p>
    <w:p w14:paraId="00000164" w14:textId="77777777" w:rsidR="00414D55" w:rsidRDefault="00414D55">
      <w:pPr>
        <w:rPr>
          <w:rFonts w:ascii="Arial" w:eastAsia="Arial" w:hAnsi="Arial" w:cs="Arial"/>
          <w:sz w:val="22"/>
          <w:szCs w:val="22"/>
        </w:rPr>
      </w:pPr>
    </w:p>
    <w:p w14:paraId="00000165" w14:textId="31005AEB" w:rsidR="00414D55" w:rsidRDefault="004C1F5A">
      <w:pPr>
        <w:rPr>
          <w:rFonts w:ascii="Arial" w:eastAsia="Arial" w:hAnsi="Arial" w:cs="Arial"/>
          <w:sz w:val="22"/>
          <w:szCs w:val="22"/>
        </w:rPr>
      </w:pPr>
      <w:r>
        <w:rPr>
          <w:rFonts w:ascii="Arial" w:eastAsia="Arial" w:hAnsi="Arial" w:cs="Arial"/>
          <w:sz w:val="22"/>
          <w:szCs w:val="22"/>
        </w:rPr>
        <w:t xml:space="preserve">Should an LPA have been granted, this will allow the nominee to access healthcare records for the patient that they are acting on behalf of. This may include sharing medical records with other third parties as they deem appropriate. An example could be when a patient without capacity is in a care home. Should there be any concern about an LPA, then staff are to adhere to </w:t>
      </w:r>
      <w:hyperlink r:id="rId61">
        <w:r w:rsidR="00414D55">
          <w:rPr>
            <w:rFonts w:ascii="Arial" w:eastAsia="Arial" w:hAnsi="Arial" w:cs="Arial"/>
            <w:color w:val="0563C1"/>
            <w:sz w:val="22"/>
            <w:szCs w:val="22"/>
            <w:u w:val="single"/>
          </w:rPr>
          <w:t>this GOV.UK</w:t>
        </w:r>
      </w:hyperlink>
      <w:r>
        <w:rPr>
          <w:rFonts w:ascii="Arial" w:eastAsia="Arial" w:hAnsi="Arial" w:cs="Arial"/>
          <w:sz w:val="22"/>
          <w:szCs w:val="22"/>
        </w:rPr>
        <w:t xml:space="preserve"> guidance.</w:t>
      </w:r>
    </w:p>
    <w:p w14:paraId="7D4B9CFF" w14:textId="77777777" w:rsidR="00A511B6" w:rsidRDefault="00A511B6">
      <w:pPr>
        <w:rPr>
          <w:rFonts w:ascii="Arial" w:eastAsia="Arial" w:hAnsi="Arial" w:cs="Arial"/>
          <w:sz w:val="22"/>
          <w:szCs w:val="22"/>
        </w:rPr>
      </w:pPr>
    </w:p>
    <w:p w14:paraId="2C63AEB8" w14:textId="6B9D8F39" w:rsidR="00A511B6" w:rsidRDefault="00A511B6">
      <w:pPr>
        <w:rPr>
          <w:rFonts w:ascii="Arial" w:eastAsia="Arial" w:hAnsi="Arial" w:cs="Arial"/>
          <w:sz w:val="22"/>
          <w:szCs w:val="22"/>
        </w:rPr>
      </w:pPr>
      <w:r>
        <w:rPr>
          <w:rFonts w:ascii="Arial" w:eastAsia="Arial" w:hAnsi="Arial" w:cs="Arial"/>
          <w:sz w:val="22"/>
          <w:szCs w:val="22"/>
        </w:rPr>
        <w:t xml:space="preserve">Once the Practice is aware a patient has </w:t>
      </w:r>
      <w:proofErr w:type="gramStart"/>
      <w:r>
        <w:rPr>
          <w:rFonts w:ascii="Arial" w:eastAsia="Arial" w:hAnsi="Arial" w:cs="Arial"/>
          <w:sz w:val="22"/>
          <w:szCs w:val="22"/>
        </w:rPr>
        <w:t>a</w:t>
      </w:r>
      <w:proofErr w:type="gramEnd"/>
      <w:r>
        <w:rPr>
          <w:rFonts w:ascii="Arial" w:eastAsia="Arial" w:hAnsi="Arial" w:cs="Arial"/>
          <w:sz w:val="22"/>
          <w:szCs w:val="22"/>
        </w:rPr>
        <w:t xml:space="preserve"> LPA then the details of this will be added to the </w:t>
      </w:r>
      <w:proofErr w:type="spellStart"/>
      <w:r>
        <w:rPr>
          <w:rFonts w:ascii="Arial" w:eastAsia="Arial" w:hAnsi="Arial" w:cs="Arial"/>
          <w:sz w:val="22"/>
          <w:szCs w:val="22"/>
        </w:rPr>
        <w:t>patients</w:t>
      </w:r>
      <w:proofErr w:type="spellEnd"/>
      <w:r>
        <w:rPr>
          <w:rFonts w:ascii="Arial" w:eastAsia="Arial" w:hAnsi="Arial" w:cs="Arial"/>
          <w:sz w:val="22"/>
          <w:szCs w:val="22"/>
        </w:rPr>
        <w:t xml:space="preserve"> health records along with full details of the LPA holder(s).</w:t>
      </w:r>
    </w:p>
    <w:p w14:paraId="00000166" w14:textId="77777777" w:rsidR="00414D55" w:rsidRDefault="004C1F5A">
      <w:pPr>
        <w:pStyle w:val="Heading1"/>
        <w:keepLines/>
        <w:numPr>
          <w:ilvl w:val="0"/>
          <w:numId w:val="1"/>
        </w:numPr>
        <w:pBdr>
          <w:bottom w:val="single" w:sz="4" w:space="0" w:color="595959"/>
        </w:pBdr>
        <w:spacing w:before="360" w:after="160" w:line="259" w:lineRule="auto"/>
        <w:ind w:left="431" w:hanging="431"/>
        <w:rPr>
          <w:sz w:val="28"/>
          <w:szCs w:val="28"/>
        </w:rPr>
      </w:pPr>
      <w:bookmarkStart w:id="36" w:name="_Toc215131193"/>
      <w:r>
        <w:rPr>
          <w:sz w:val="28"/>
          <w:szCs w:val="28"/>
        </w:rPr>
        <w:t>Identity verification</w:t>
      </w:r>
      <w:bookmarkEnd w:id="36"/>
    </w:p>
    <w:p w14:paraId="00000167" w14:textId="77777777" w:rsidR="00414D55" w:rsidRDefault="00414D55">
      <w:pPr>
        <w:spacing w:before="120"/>
        <w:rPr>
          <w:rFonts w:ascii="Arial" w:eastAsia="Arial" w:hAnsi="Arial" w:cs="Arial"/>
          <w:sz w:val="2"/>
          <w:szCs w:val="2"/>
        </w:rPr>
      </w:pPr>
    </w:p>
    <w:p w14:paraId="00000168" w14:textId="77777777" w:rsidR="00414D55" w:rsidRDefault="004C1F5A">
      <w:pPr>
        <w:pStyle w:val="Heading2"/>
        <w:numPr>
          <w:ilvl w:val="1"/>
          <w:numId w:val="1"/>
        </w:numPr>
        <w:spacing w:before="240" w:line="240" w:lineRule="auto"/>
        <w:ind w:left="578" w:hanging="578"/>
        <w:rPr>
          <w:rFonts w:ascii="Arial" w:eastAsia="Arial" w:hAnsi="Arial" w:cs="Arial"/>
          <w:smallCaps w:val="0"/>
          <w:sz w:val="24"/>
          <w:szCs w:val="24"/>
        </w:rPr>
      </w:pPr>
      <w:bookmarkStart w:id="37" w:name="_Toc215131194"/>
      <w:r>
        <w:rPr>
          <w:rFonts w:ascii="Arial" w:eastAsia="Arial" w:hAnsi="Arial" w:cs="Arial"/>
          <w:smallCaps w:val="0"/>
          <w:sz w:val="24"/>
          <w:szCs w:val="24"/>
        </w:rPr>
        <w:t>Requirement</w:t>
      </w:r>
      <w:bookmarkEnd w:id="37"/>
    </w:p>
    <w:p w14:paraId="00000169" w14:textId="77777777" w:rsidR="00414D55" w:rsidRDefault="004C1F5A">
      <w:pPr>
        <w:spacing w:before="120"/>
        <w:rPr>
          <w:rFonts w:ascii="Arial" w:eastAsia="Arial" w:hAnsi="Arial" w:cs="Arial"/>
          <w:sz w:val="22"/>
          <w:szCs w:val="22"/>
        </w:rPr>
      </w:pPr>
      <w:r>
        <w:rPr>
          <w:rFonts w:ascii="Arial" w:eastAsia="Arial" w:hAnsi="Arial" w:cs="Arial"/>
          <w:sz w:val="22"/>
          <w:szCs w:val="22"/>
        </w:rPr>
        <w:t>Before access to health records is granted, the patient’s identity and the requestor’s identity in cases of proxy access requests must be verified. There are three ways of confirming patient identity:</w:t>
      </w:r>
    </w:p>
    <w:p w14:paraId="0000016A" w14:textId="77777777" w:rsidR="00414D55" w:rsidRDefault="00414D55">
      <w:pPr>
        <w:rPr>
          <w:rFonts w:ascii="Arial" w:eastAsia="Arial" w:hAnsi="Arial" w:cs="Arial"/>
          <w:sz w:val="22"/>
          <w:szCs w:val="22"/>
        </w:rPr>
      </w:pPr>
    </w:p>
    <w:p w14:paraId="0000016B" w14:textId="77777777" w:rsidR="00414D55" w:rsidRDefault="004C1F5A">
      <w:pPr>
        <w:numPr>
          <w:ilvl w:val="0"/>
          <w:numId w:val="5"/>
        </w:numPr>
        <w:rPr>
          <w:rFonts w:ascii="Arial" w:eastAsia="Arial" w:hAnsi="Arial" w:cs="Arial"/>
          <w:sz w:val="22"/>
          <w:szCs w:val="22"/>
        </w:rPr>
      </w:pPr>
      <w:r>
        <w:rPr>
          <w:rFonts w:ascii="Arial" w:eastAsia="Arial" w:hAnsi="Arial" w:cs="Arial"/>
          <w:sz w:val="22"/>
          <w:szCs w:val="22"/>
        </w:rPr>
        <w:t>Documentation (forms of identification)</w:t>
      </w:r>
    </w:p>
    <w:p w14:paraId="0000016C" w14:textId="77777777" w:rsidR="00414D55" w:rsidRDefault="004C1F5A">
      <w:pPr>
        <w:numPr>
          <w:ilvl w:val="0"/>
          <w:numId w:val="5"/>
        </w:numPr>
        <w:rPr>
          <w:rFonts w:ascii="Arial" w:eastAsia="Arial" w:hAnsi="Arial" w:cs="Arial"/>
          <w:sz w:val="22"/>
          <w:szCs w:val="22"/>
        </w:rPr>
      </w:pPr>
      <w:r>
        <w:rPr>
          <w:rFonts w:ascii="Arial" w:eastAsia="Arial" w:hAnsi="Arial" w:cs="Arial"/>
          <w:sz w:val="22"/>
          <w:szCs w:val="22"/>
        </w:rPr>
        <w:t>Vouching</w:t>
      </w:r>
    </w:p>
    <w:p w14:paraId="0000016D" w14:textId="77777777" w:rsidR="00414D55" w:rsidRDefault="004C1F5A">
      <w:pPr>
        <w:numPr>
          <w:ilvl w:val="0"/>
          <w:numId w:val="5"/>
        </w:numPr>
        <w:rPr>
          <w:rFonts w:ascii="Arial" w:eastAsia="Arial" w:hAnsi="Arial" w:cs="Arial"/>
          <w:sz w:val="22"/>
          <w:szCs w:val="22"/>
        </w:rPr>
      </w:pPr>
      <w:r>
        <w:rPr>
          <w:rFonts w:ascii="Arial" w:eastAsia="Arial" w:hAnsi="Arial" w:cs="Arial"/>
          <w:sz w:val="22"/>
          <w:szCs w:val="22"/>
        </w:rPr>
        <w:t>Vouching with confirmation of information held in the applicant’s records</w:t>
      </w:r>
    </w:p>
    <w:p w14:paraId="0000016E" w14:textId="77777777" w:rsidR="00414D55" w:rsidRDefault="00414D55">
      <w:pPr>
        <w:rPr>
          <w:rFonts w:ascii="Arial" w:eastAsia="Arial" w:hAnsi="Arial" w:cs="Arial"/>
          <w:sz w:val="22"/>
          <w:szCs w:val="22"/>
        </w:rPr>
      </w:pPr>
    </w:p>
    <w:p w14:paraId="0000016F" w14:textId="6E164E4C" w:rsidR="00414D55" w:rsidRDefault="004C1F5A">
      <w:pPr>
        <w:rPr>
          <w:rFonts w:ascii="Arial" w:eastAsia="Arial" w:hAnsi="Arial" w:cs="Arial"/>
          <w:sz w:val="22"/>
          <w:szCs w:val="22"/>
        </w:rPr>
      </w:pPr>
      <w:r>
        <w:rPr>
          <w:rFonts w:ascii="Arial" w:eastAsia="Arial" w:hAnsi="Arial" w:cs="Arial"/>
          <w:sz w:val="22"/>
          <w:szCs w:val="22"/>
        </w:rPr>
        <w:t xml:space="preserve">All applications will require formal identification through </w:t>
      </w:r>
      <w:r w:rsidR="00A511B6">
        <w:rPr>
          <w:rFonts w:ascii="Arial" w:eastAsia="Arial" w:hAnsi="Arial" w:cs="Arial"/>
          <w:sz w:val="22"/>
          <w:szCs w:val="22"/>
        </w:rPr>
        <w:t>Photo ID</w:t>
      </w:r>
      <w:r>
        <w:rPr>
          <w:rFonts w:ascii="Arial" w:eastAsia="Arial" w:hAnsi="Arial" w:cs="Arial"/>
          <w:sz w:val="22"/>
          <w:szCs w:val="22"/>
        </w:rPr>
        <w:t xml:space="preserve">. Acceptable documents include passports, photo driving licences. When a patient may not have suitable </w:t>
      </w:r>
      <w:r>
        <w:rPr>
          <w:rFonts w:ascii="Arial" w:eastAsia="Arial" w:hAnsi="Arial" w:cs="Arial"/>
          <w:sz w:val="22"/>
          <w:szCs w:val="22"/>
        </w:rPr>
        <w:lastRenderedPageBreak/>
        <w:t>photographic identification, vouching with confirmation of information held in the medical record can be considered by the data controller or responsible clinician. This should take place discreetly and ideally in the context of a planned appointment.</w:t>
      </w:r>
    </w:p>
    <w:p w14:paraId="00000170" w14:textId="77777777" w:rsidR="00414D55" w:rsidRDefault="00414D55">
      <w:pPr>
        <w:rPr>
          <w:rFonts w:ascii="Arial" w:eastAsia="Arial" w:hAnsi="Arial" w:cs="Arial"/>
          <w:sz w:val="22"/>
          <w:szCs w:val="22"/>
        </w:rPr>
      </w:pPr>
    </w:p>
    <w:p w14:paraId="00000171" w14:textId="77777777" w:rsidR="00414D55" w:rsidRDefault="004C1F5A">
      <w:pPr>
        <w:rPr>
          <w:rFonts w:ascii="Arial" w:eastAsia="Arial" w:hAnsi="Arial" w:cs="Arial"/>
          <w:sz w:val="22"/>
          <w:szCs w:val="22"/>
        </w:rPr>
      </w:pPr>
      <w:r>
        <w:rPr>
          <w:rFonts w:ascii="Arial" w:eastAsia="Arial" w:hAnsi="Arial" w:cs="Arial"/>
          <w:sz w:val="22"/>
          <w:szCs w:val="22"/>
        </w:rPr>
        <w:t>It is extremely important that the questions posed do not incidentally disclose confidential information to the applicant before their identity is verified.</w:t>
      </w:r>
    </w:p>
    <w:p w14:paraId="00000172" w14:textId="77777777" w:rsidR="00414D55" w:rsidRDefault="004C1F5A">
      <w:pPr>
        <w:pStyle w:val="Heading2"/>
        <w:numPr>
          <w:ilvl w:val="1"/>
          <w:numId w:val="1"/>
        </w:numPr>
        <w:rPr>
          <w:rFonts w:ascii="Arial" w:eastAsia="Arial" w:hAnsi="Arial" w:cs="Arial"/>
          <w:smallCaps w:val="0"/>
          <w:sz w:val="24"/>
          <w:szCs w:val="24"/>
        </w:rPr>
      </w:pPr>
      <w:bookmarkStart w:id="38" w:name="_Toc215131195"/>
      <w:r>
        <w:rPr>
          <w:rFonts w:ascii="Arial" w:eastAsia="Arial" w:hAnsi="Arial" w:cs="Arial"/>
          <w:smallCaps w:val="0"/>
          <w:sz w:val="24"/>
          <w:szCs w:val="24"/>
        </w:rPr>
        <w:t>Adult proxy access verification</w:t>
      </w:r>
      <w:bookmarkEnd w:id="38"/>
    </w:p>
    <w:p w14:paraId="00000173" w14:textId="77777777" w:rsidR="00414D55" w:rsidRDefault="00414D55">
      <w:pPr>
        <w:rPr>
          <w:rFonts w:ascii="Arial" w:eastAsia="Arial" w:hAnsi="Arial" w:cs="Arial"/>
        </w:rPr>
      </w:pPr>
    </w:p>
    <w:p w14:paraId="00000174" w14:textId="429F8290" w:rsidR="00414D55" w:rsidRDefault="004C1F5A">
      <w:pPr>
        <w:rPr>
          <w:rFonts w:ascii="Arial" w:eastAsia="Arial" w:hAnsi="Arial" w:cs="Arial"/>
          <w:sz w:val="22"/>
          <w:szCs w:val="22"/>
        </w:rPr>
      </w:pPr>
      <w:r>
        <w:rPr>
          <w:rFonts w:ascii="Arial" w:eastAsia="Arial" w:hAnsi="Arial" w:cs="Arial"/>
          <w:sz w:val="22"/>
          <w:szCs w:val="22"/>
        </w:rPr>
        <w:t xml:space="preserve">Before the </w:t>
      </w:r>
      <w:r w:rsidR="00A511B6">
        <w:rPr>
          <w:rFonts w:ascii="Arial" w:eastAsia="Arial" w:hAnsi="Arial" w:cs="Arial"/>
          <w:sz w:val="22"/>
          <w:szCs w:val="22"/>
        </w:rPr>
        <w:t>Practice</w:t>
      </w:r>
      <w:r>
        <w:rPr>
          <w:rFonts w:ascii="Arial" w:eastAsia="Arial" w:hAnsi="Arial" w:cs="Arial"/>
          <w:sz w:val="22"/>
          <w:szCs w:val="22"/>
        </w:rPr>
        <w:t xml:space="preserve"> provides proxy access to an individual or individuals on behalf of a patient further checks must be taken:</w:t>
      </w:r>
    </w:p>
    <w:p w14:paraId="00000175" w14:textId="77777777" w:rsidR="00414D55" w:rsidRDefault="00414D55">
      <w:pPr>
        <w:rPr>
          <w:rFonts w:ascii="Arial" w:eastAsia="Arial" w:hAnsi="Arial" w:cs="Arial"/>
          <w:sz w:val="22"/>
          <w:szCs w:val="22"/>
        </w:rPr>
      </w:pPr>
    </w:p>
    <w:p w14:paraId="00000176" w14:textId="77777777" w:rsidR="00414D55" w:rsidRDefault="004C1F5A">
      <w:pPr>
        <w:numPr>
          <w:ilvl w:val="0"/>
          <w:numId w:val="6"/>
        </w:numPr>
        <w:rPr>
          <w:rFonts w:ascii="Arial" w:eastAsia="Arial" w:hAnsi="Arial" w:cs="Arial"/>
          <w:sz w:val="22"/>
          <w:szCs w:val="22"/>
        </w:rPr>
      </w:pPr>
      <w:r>
        <w:rPr>
          <w:rFonts w:ascii="Arial" w:eastAsia="Arial" w:hAnsi="Arial" w:cs="Arial"/>
          <w:sz w:val="22"/>
          <w:szCs w:val="22"/>
        </w:rPr>
        <w:t>There must be either the explicit informed consent of the patient or some other legitimate justification for authorising proxy access without the patient’s consent</w:t>
      </w:r>
    </w:p>
    <w:p w14:paraId="00000177" w14:textId="77777777" w:rsidR="00414D55" w:rsidRDefault="00414D55">
      <w:pPr>
        <w:rPr>
          <w:rFonts w:ascii="Arial" w:eastAsia="Arial" w:hAnsi="Arial" w:cs="Arial"/>
          <w:sz w:val="22"/>
          <w:szCs w:val="22"/>
        </w:rPr>
      </w:pPr>
    </w:p>
    <w:p w14:paraId="00000178" w14:textId="77777777" w:rsidR="00414D55" w:rsidRDefault="004C1F5A">
      <w:pPr>
        <w:numPr>
          <w:ilvl w:val="0"/>
          <w:numId w:val="6"/>
        </w:numPr>
        <w:rPr>
          <w:rFonts w:ascii="Arial" w:eastAsia="Arial" w:hAnsi="Arial" w:cs="Arial"/>
          <w:sz w:val="22"/>
          <w:szCs w:val="22"/>
        </w:rPr>
      </w:pPr>
      <w:r>
        <w:rPr>
          <w:rFonts w:ascii="Arial" w:eastAsia="Arial" w:hAnsi="Arial" w:cs="Arial"/>
          <w:sz w:val="22"/>
          <w:szCs w:val="22"/>
        </w:rPr>
        <w:t>The identity of the individual who is asking for proxy access must be verified as outlined above</w:t>
      </w:r>
    </w:p>
    <w:p w14:paraId="00000179" w14:textId="77777777" w:rsidR="00414D55" w:rsidRDefault="00414D55">
      <w:pPr>
        <w:pBdr>
          <w:top w:val="nil"/>
          <w:left w:val="nil"/>
          <w:bottom w:val="nil"/>
          <w:right w:val="nil"/>
          <w:between w:val="nil"/>
        </w:pBdr>
        <w:ind w:left="720"/>
        <w:rPr>
          <w:rFonts w:ascii="Arial" w:eastAsia="Arial" w:hAnsi="Arial" w:cs="Arial"/>
          <w:color w:val="000000"/>
          <w:sz w:val="22"/>
          <w:szCs w:val="22"/>
        </w:rPr>
      </w:pPr>
    </w:p>
    <w:p w14:paraId="0000017A" w14:textId="77777777" w:rsidR="00414D55" w:rsidRDefault="004C1F5A">
      <w:pPr>
        <w:numPr>
          <w:ilvl w:val="0"/>
          <w:numId w:val="6"/>
        </w:numPr>
        <w:rPr>
          <w:rFonts w:ascii="Arial" w:eastAsia="Arial" w:hAnsi="Arial" w:cs="Arial"/>
          <w:sz w:val="22"/>
          <w:szCs w:val="22"/>
        </w:rPr>
      </w:pPr>
      <w:r>
        <w:rPr>
          <w:rFonts w:ascii="Arial" w:eastAsia="Arial" w:hAnsi="Arial" w:cs="Arial"/>
          <w:sz w:val="22"/>
          <w:szCs w:val="22"/>
        </w:rPr>
        <w:t>The identity of the person giving consent for proxy access must also be verified as outlined above. This will normally be the patient but may be someone else acting under a power of attorney or as a Court Appointed Deputy</w:t>
      </w:r>
    </w:p>
    <w:p w14:paraId="0000017B" w14:textId="77777777" w:rsidR="00414D55" w:rsidRDefault="004C1F5A">
      <w:pPr>
        <w:pStyle w:val="Heading2"/>
        <w:numPr>
          <w:ilvl w:val="1"/>
          <w:numId w:val="1"/>
        </w:numPr>
        <w:rPr>
          <w:rFonts w:ascii="Arial" w:eastAsia="Arial" w:hAnsi="Arial" w:cs="Arial"/>
          <w:smallCaps w:val="0"/>
          <w:sz w:val="24"/>
          <w:szCs w:val="24"/>
        </w:rPr>
      </w:pPr>
      <w:bookmarkStart w:id="39" w:name="_Toc215131196"/>
      <w:r>
        <w:rPr>
          <w:rFonts w:ascii="Arial" w:eastAsia="Arial" w:hAnsi="Arial" w:cs="Arial"/>
          <w:smallCaps w:val="0"/>
          <w:sz w:val="24"/>
          <w:szCs w:val="24"/>
        </w:rPr>
        <w:t>Child proxy access verification</w:t>
      </w:r>
      <w:bookmarkEnd w:id="39"/>
      <w:r>
        <w:rPr>
          <w:rFonts w:ascii="Arial" w:eastAsia="Arial" w:hAnsi="Arial" w:cs="Arial"/>
          <w:smallCaps w:val="0"/>
          <w:sz w:val="24"/>
          <w:szCs w:val="24"/>
        </w:rPr>
        <w:t xml:space="preserve"> </w:t>
      </w:r>
    </w:p>
    <w:p w14:paraId="0000017C" w14:textId="77777777" w:rsidR="00414D55" w:rsidRDefault="00414D55">
      <w:pPr>
        <w:jc w:val="both"/>
        <w:rPr>
          <w:rFonts w:ascii="Arial" w:eastAsia="Arial" w:hAnsi="Arial" w:cs="Arial"/>
          <w:color w:val="000000"/>
          <w:sz w:val="22"/>
          <w:szCs w:val="22"/>
        </w:rPr>
      </w:pPr>
    </w:p>
    <w:p w14:paraId="0000017D" w14:textId="154671E2" w:rsidR="00414D55" w:rsidRDefault="004C1F5A">
      <w:pPr>
        <w:rPr>
          <w:rFonts w:ascii="Arial" w:eastAsia="Arial" w:hAnsi="Arial" w:cs="Arial"/>
          <w:color w:val="000000"/>
          <w:sz w:val="22"/>
          <w:szCs w:val="22"/>
        </w:rPr>
      </w:pPr>
      <w:r>
        <w:rPr>
          <w:rFonts w:ascii="Arial" w:eastAsia="Arial" w:hAnsi="Arial" w:cs="Arial"/>
          <w:color w:val="000000"/>
          <w:sz w:val="22"/>
          <w:szCs w:val="22"/>
        </w:rPr>
        <w:t xml:space="preserve">Before the </w:t>
      </w:r>
      <w:r w:rsidR="00A511B6">
        <w:rPr>
          <w:rFonts w:ascii="Arial" w:eastAsia="Arial" w:hAnsi="Arial" w:cs="Arial"/>
          <w:color w:val="000000"/>
          <w:sz w:val="22"/>
          <w:szCs w:val="22"/>
        </w:rPr>
        <w:t>Practice</w:t>
      </w:r>
      <w:r>
        <w:rPr>
          <w:rFonts w:ascii="Arial" w:eastAsia="Arial" w:hAnsi="Arial" w:cs="Arial"/>
          <w:color w:val="000000"/>
          <w:sz w:val="22"/>
          <w:szCs w:val="22"/>
        </w:rPr>
        <w:t xml:space="preserve"> provides parental proxy access to a child’s medical records the following checks must be made: </w:t>
      </w:r>
    </w:p>
    <w:p w14:paraId="0000017E" w14:textId="77777777" w:rsidR="00414D55" w:rsidRDefault="00414D55">
      <w:pPr>
        <w:rPr>
          <w:rFonts w:ascii="Arial" w:eastAsia="Arial" w:hAnsi="Arial" w:cs="Arial"/>
          <w:color w:val="000000"/>
          <w:sz w:val="22"/>
          <w:szCs w:val="22"/>
        </w:rPr>
      </w:pPr>
    </w:p>
    <w:p w14:paraId="0000017F" w14:textId="77777777" w:rsidR="00414D55" w:rsidRDefault="004C1F5A">
      <w:pPr>
        <w:numPr>
          <w:ilvl w:val="0"/>
          <w:numId w:val="7"/>
        </w:numPr>
        <w:spacing w:after="24"/>
        <w:rPr>
          <w:rFonts w:ascii="Arial" w:eastAsia="Arial" w:hAnsi="Arial" w:cs="Arial"/>
          <w:color w:val="000000"/>
          <w:sz w:val="22"/>
          <w:szCs w:val="22"/>
        </w:rPr>
      </w:pPr>
      <w:r>
        <w:rPr>
          <w:rFonts w:ascii="Arial" w:eastAsia="Arial" w:hAnsi="Arial" w:cs="Arial"/>
          <w:color w:val="000000"/>
          <w:sz w:val="22"/>
          <w:szCs w:val="22"/>
        </w:rPr>
        <w:t>The identity of the individual(s) requesting access via the method outlined above</w:t>
      </w:r>
    </w:p>
    <w:p w14:paraId="00000180" w14:textId="77777777" w:rsidR="00414D55" w:rsidRDefault="004C1F5A">
      <w:pPr>
        <w:numPr>
          <w:ilvl w:val="0"/>
          <w:numId w:val="7"/>
        </w:numPr>
        <w:spacing w:after="24"/>
        <w:rPr>
          <w:rFonts w:ascii="Arial" w:eastAsia="Arial" w:hAnsi="Arial" w:cs="Arial"/>
          <w:color w:val="000000"/>
          <w:sz w:val="22"/>
          <w:szCs w:val="22"/>
        </w:rPr>
      </w:pPr>
      <w:r>
        <w:rPr>
          <w:rFonts w:ascii="Arial" w:eastAsia="Arial" w:hAnsi="Arial" w:cs="Arial"/>
          <w:color w:val="000000"/>
          <w:sz w:val="22"/>
          <w:szCs w:val="22"/>
        </w:rPr>
        <w:t>That the identified person is named on the birth certificate of the child</w:t>
      </w:r>
    </w:p>
    <w:p w14:paraId="00000181" w14:textId="77777777" w:rsidR="00414D55" w:rsidRDefault="00414D55">
      <w:pPr>
        <w:spacing w:after="24"/>
        <w:ind w:left="720"/>
        <w:rPr>
          <w:rFonts w:ascii="Arial" w:eastAsia="Arial" w:hAnsi="Arial" w:cs="Arial"/>
          <w:color w:val="000000"/>
          <w:sz w:val="22"/>
          <w:szCs w:val="22"/>
        </w:rPr>
      </w:pPr>
    </w:p>
    <w:p w14:paraId="00000182" w14:textId="77777777" w:rsidR="00414D55" w:rsidRDefault="004C1F5A">
      <w:pPr>
        <w:rPr>
          <w:rFonts w:ascii="Arial" w:eastAsia="Arial" w:hAnsi="Arial" w:cs="Arial"/>
          <w:sz w:val="22"/>
          <w:szCs w:val="22"/>
        </w:rPr>
      </w:pPr>
      <w:r>
        <w:rPr>
          <w:rFonts w:ascii="Arial" w:eastAsia="Arial" w:hAnsi="Arial" w:cs="Arial"/>
          <w:sz w:val="22"/>
          <w:szCs w:val="22"/>
        </w:rPr>
        <w:t>In the case of a child judged to have capacity to consent, there must be the explicit informed consent of the child.</w:t>
      </w:r>
    </w:p>
    <w:p w14:paraId="00000183" w14:textId="77777777" w:rsidR="00414D55" w:rsidRDefault="004C1F5A">
      <w:pPr>
        <w:pStyle w:val="Heading1"/>
        <w:keepLines/>
        <w:numPr>
          <w:ilvl w:val="0"/>
          <w:numId w:val="1"/>
        </w:numPr>
        <w:pBdr>
          <w:bottom w:val="single" w:sz="4" w:space="0" w:color="595959"/>
        </w:pBdr>
        <w:spacing w:before="360" w:after="160" w:line="259" w:lineRule="auto"/>
        <w:ind w:left="431" w:hanging="431"/>
        <w:rPr>
          <w:sz w:val="28"/>
          <w:szCs w:val="28"/>
        </w:rPr>
      </w:pPr>
      <w:bookmarkStart w:id="40" w:name="_Toc215131197"/>
      <w:r>
        <w:rPr>
          <w:sz w:val="28"/>
          <w:szCs w:val="28"/>
        </w:rPr>
        <w:t>Deceased patients</w:t>
      </w:r>
      <w:bookmarkEnd w:id="40"/>
    </w:p>
    <w:p w14:paraId="00000184" w14:textId="77777777" w:rsidR="00414D55" w:rsidRDefault="004C1F5A">
      <w:pPr>
        <w:pStyle w:val="Heading2"/>
        <w:numPr>
          <w:ilvl w:val="1"/>
          <w:numId w:val="1"/>
        </w:numPr>
        <w:rPr>
          <w:rFonts w:ascii="Arial" w:eastAsia="Arial" w:hAnsi="Arial" w:cs="Arial"/>
          <w:smallCaps w:val="0"/>
          <w:sz w:val="24"/>
          <w:szCs w:val="24"/>
        </w:rPr>
      </w:pPr>
      <w:bookmarkStart w:id="41" w:name="_Toc215131198"/>
      <w:r>
        <w:rPr>
          <w:rFonts w:ascii="Arial" w:eastAsia="Arial" w:hAnsi="Arial" w:cs="Arial"/>
          <w:smallCaps w:val="0"/>
          <w:sz w:val="24"/>
          <w:szCs w:val="24"/>
        </w:rPr>
        <w:t>Access to deceased persons medical records</w:t>
      </w:r>
      <w:bookmarkEnd w:id="41"/>
    </w:p>
    <w:p w14:paraId="00000185" w14:textId="77777777" w:rsidR="00414D55" w:rsidRDefault="00414D55">
      <w:pPr>
        <w:ind w:right="240"/>
        <w:rPr>
          <w:rFonts w:ascii="Arial" w:eastAsia="Arial" w:hAnsi="Arial" w:cs="Arial"/>
          <w:sz w:val="22"/>
          <w:szCs w:val="22"/>
        </w:rPr>
      </w:pPr>
    </w:p>
    <w:p w14:paraId="00000186" w14:textId="77777777" w:rsidR="00414D55" w:rsidRDefault="004C1F5A">
      <w:pPr>
        <w:ind w:right="240"/>
        <w:rPr>
          <w:rFonts w:ascii="Arial" w:eastAsia="Arial" w:hAnsi="Arial" w:cs="Arial"/>
          <w:color w:val="202A30"/>
          <w:sz w:val="22"/>
          <w:szCs w:val="22"/>
        </w:rPr>
      </w:pPr>
      <w:r>
        <w:rPr>
          <w:rFonts w:ascii="Arial" w:eastAsia="Arial" w:hAnsi="Arial" w:cs="Arial"/>
          <w:sz w:val="22"/>
          <w:szCs w:val="22"/>
        </w:rPr>
        <w:t xml:space="preserve">The UK GDPR does not apply to data concerning deceased persons.  However, the ethical obligation to respect a patient’s confidentiality extends beyond death. There are several considerations to be considered prior to disclosing the health record of a deceased patient, all of which are detailed in the </w:t>
      </w:r>
      <w:hyperlink r:id="rId62">
        <w:r w:rsidR="00414D55">
          <w:rPr>
            <w:rFonts w:ascii="Arial" w:eastAsia="Arial" w:hAnsi="Arial" w:cs="Arial"/>
            <w:color w:val="0563C1"/>
            <w:sz w:val="22"/>
            <w:szCs w:val="22"/>
            <w:u w:val="single"/>
          </w:rPr>
          <w:t>Access to Health Records Act 1990</w:t>
        </w:r>
      </w:hyperlink>
      <w:r>
        <w:rPr>
          <w:rFonts w:ascii="Arial" w:eastAsia="Arial" w:hAnsi="Arial" w:cs="Arial"/>
          <w:color w:val="202A30"/>
          <w:sz w:val="22"/>
          <w:szCs w:val="22"/>
        </w:rPr>
        <w:t xml:space="preserve">. </w:t>
      </w:r>
    </w:p>
    <w:p w14:paraId="00000187" w14:textId="77777777" w:rsidR="00414D55" w:rsidRDefault="00414D55">
      <w:pPr>
        <w:ind w:right="240"/>
        <w:rPr>
          <w:rFonts w:ascii="Arial" w:eastAsia="Arial" w:hAnsi="Arial" w:cs="Arial"/>
          <w:sz w:val="22"/>
          <w:szCs w:val="22"/>
        </w:rPr>
      </w:pPr>
    </w:p>
    <w:p w14:paraId="00000188" w14:textId="0242D4E6" w:rsidR="00414D55" w:rsidRDefault="004C1F5A">
      <w:pPr>
        <w:ind w:right="240"/>
        <w:rPr>
          <w:rFonts w:ascii="Arial" w:eastAsia="Arial" w:hAnsi="Arial" w:cs="Arial"/>
          <w:sz w:val="22"/>
          <w:szCs w:val="22"/>
        </w:rPr>
      </w:pPr>
      <w:r>
        <w:rPr>
          <w:rFonts w:ascii="Arial" w:eastAsia="Arial" w:hAnsi="Arial" w:cs="Arial"/>
          <w:sz w:val="22"/>
          <w:szCs w:val="22"/>
        </w:rPr>
        <w:t xml:space="preserve">For further detailed information, see the </w:t>
      </w:r>
      <w:r w:rsidR="00D75E2F">
        <w:rPr>
          <w:rFonts w:ascii="Arial" w:eastAsia="Arial" w:hAnsi="Arial" w:cs="Arial"/>
          <w:sz w:val="22"/>
          <w:szCs w:val="22"/>
        </w:rPr>
        <w:t>Practice</w:t>
      </w:r>
      <w:r>
        <w:rPr>
          <w:rFonts w:ascii="Arial" w:eastAsia="Arial" w:hAnsi="Arial" w:cs="Arial"/>
          <w:sz w:val="22"/>
          <w:szCs w:val="22"/>
        </w:rPr>
        <w:t>’s Access to Deceased Patients Records Policy.</w:t>
      </w:r>
    </w:p>
    <w:p w14:paraId="00000189" w14:textId="77777777" w:rsidR="00414D55" w:rsidRDefault="004C1F5A">
      <w:pPr>
        <w:pStyle w:val="Heading2"/>
        <w:numPr>
          <w:ilvl w:val="1"/>
          <w:numId w:val="1"/>
        </w:numPr>
        <w:rPr>
          <w:rFonts w:ascii="Arial" w:eastAsia="Arial" w:hAnsi="Arial" w:cs="Arial"/>
          <w:smallCaps w:val="0"/>
          <w:sz w:val="24"/>
          <w:szCs w:val="24"/>
        </w:rPr>
      </w:pPr>
      <w:bookmarkStart w:id="42" w:name="_Toc215131199"/>
      <w:r>
        <w:rPr>
          <w:rFonts w:ascii="Arial" w:eastAsia="Arial" w:hAnsi="Arial" w:cs="Arial"/>
          <w:smallCaps w:val="0"/>
          <w:sz w:val="24"/>
          <w:szCs w:val="24"/>
        </w:rPr>
        <w:t>Chargeable fees for deceased patients</w:t>
      </w:r>
      <w:bookmarkEnd w:id="42"/>
    </w:p>
    <w:p w14:paraId="0000018A" w14:textId="77777777" w:rsidR="00414D55" w:rsidRDefault="00414D55">
      <w:pPr>
        <w:ind w:right="240"/>
        <w:rPr>
          <w:rFonts w:ascii="Arial" w:eastAsia="Arial" w:hAnsi="Arial" w:cs="Arial"/>
          <w:sz w:val="22"/>
          <w:szCs w:val="22"/>
        </w:rPr>
      </w:pPr>
    </w:p>
    <w:p w14:paraId="0000018B" w14:textId="77777777" w:rsidR="00414D55" w:rsidRDefault="004C1F5A">
      <w:pPr>
        <w:ind w:right="240"/>
        <w:rPr>
          <w:rFonts w:ascii="Arial" w:eastAsia="Arial" w:hAnsi="Arial" w:cs="Arial"/>
          <w:sz w:val="22"/>
          <w:szCs w:val="22"/>
        </w:rPr>
      </w:pPr>
      <w:r>
        <w:rPr>
          <w:rFonts w:ascii="Arial" w:eastAsia="Arial" w:hAnsi="Arial" w:cs="Arial"/>
          <w:sz w:val="22"/>
          <w:szCs w:val="22"/>
        </w:rPr>
        <w:t xml:space="preserve">In accordance with the </w:t>
      </w:r>
      <w:hyperlink r:id="rId63">
        <w:r w:rsidR="00414D55">
          <w:rPr>
            <w:rFonts w:ascii="Arial" w:eastAsia="Arial" w:hAnsi="Arial" w:cs="Arial"/>
            <w:color w:val="0563C1"/>
            <w:sz w:val="22"/>
            <w:szCs w:val="22"/>
            <w:u w:val="single"/>
          </w:rPr>
          <w:t>Access to Health Records Act 1990</w:t>
        </w:r>
      </w:hyperlink>
      <w:r>
        <w:rPr>
          <w:rFonts w:ascii="Arial" w:eastAsia="Arial" w:hAnsi="Arial" w:cs="Arial"/>
          <w:sz w:val="22"/>
          <w:szCs w:val="22"/>
        </w:rPr>
        <w:t xml:space="preserve"> access to the records of deceased patients and any copies must be provided free of charge. For further detailed information, refer to the BMA </w:t>
      </w:r>
      <w:hyperlink r:id="rId64">
        <w:r w:rsidR="00414D55">
          <w:rPr>
            <w:rFonts w:ascii="Arial" w:eastAsia="Arial" w:hAnsi="Arial" w:cs="Arial"/>
            <w:color w:val="0563C1"/>
            <w:sz w:val="22"/>
            <w:szCs w:val="22"/>
            <w:u w:val="single"/>
          </w:rPr>
          <w:t>Access to health records</w:t>
        </w:r>
      </w:hyperlink>
      <w:r>
        <w:rPr>
          <w:rFonts w:ascii="Arial" w:eastAsia="Arial" w:hAnsi="Arial" w:cs="Arial"/>
          <w:sz w:val="22"/>
          <w:szCs w:val="22"/>
        </w:rPr>
        <w:t xml:space="preserve"> guidance.</w:t>
      </w:r>
    </w:p>
    <w:p w14:paraId="0000018C" w14:textId="77777777" w:rsidR="00414D55" w:rsidRDefault="004C1F5A">
      <w:pPr>
        <w:pStyle w:val="Heading2"/>
        <w:numPr>
          <w:ilvl w:val="1"/>
          <w:numId w:val="1"/>
        </w:numPr>
        <w:rPr>
          <w:rFonts w:ascii="Arial" w:eastAsia="Arial" w:hAnsi="Arial" w:cs="Arial"/>
          <w:smallCaps w:val="0"/>
          <w:sz w:val="24"/>
          <w:szCs w:val="24"/>
        </w:rPr>
      </w:pPr>
      <w:bookmarkStart w:id="43" w:name="_Toc215131200"/>
      <w:r>
        <w:rPr>
          <w:rFonts w:ascii="Arial" w:eastAsia="Arial" w:hAnsi="Arial" w:cs="Arial"/>
          <w:smallCaps w:val="0"/>
          <w:sz w:val="24"/>
          <w:szCs w:val="24"/>
        </w:rPr>
        <w:lastRenderedPageBreak/>
        <w:t>Chargeable fees for a SAR</w:t>
      </w:r>
      <w:bookmarkEnd w:id="43"/>
    </w:p>
    <w:p w14:paraId="0000018D" w14:textId="77777777" w:rsidR="00414D55" w:rsidRDefault="00414D55">
      <w:pPr>
        <w:rPr>
          <w:rFonts w:ascii="Arial" w:eastAsia="Arial" w:hAnsi="Arial" w:cs="Arial"/>
          <w:sz w:val="22"/>
          <w:szCs w:val="22"/>
        </w:rPr>
      </w:pPr>
    </w:p>
    <w:p w14:paraId="0000018E" w14:textId="62B2A413" w:rsidR="00414D55" w:rsidRDefault="004C1F5A">
      <w:pPr>
        <w:rPr>
          <w:rFonts w:ascii="Arial" w:eastAsia="Arial" w:hAnsi="Arial" w:cs="Arial"/>
          <w:sz w:val="22"/>
          <w:szCs w:val="22"/>
        </w:rPr>
      </w:pPr>
      <w:r>
        <w:rPr>
          <w:rFonts w:ascii="Arial" w:eastAsia="Arial" w:hAnsi="Arial" w:cs="Arial"/>
          <w:sz w:val="22"/>
          <w:szCs w:val="22"/>
        </w:rPr>
        <w:t xml:space="preserve">Should a SAR be initiated from a solicitor and they are asking for a report to be written or the request is asking for an interpretation of information within the record, this request goes beyond a SAR and therefore a fee can be charged. The </w:t>
      </w:r>
      <w:r w:rsidR="00A511B6">
        <w:rPr>
          <w:rFonts w:ascii="Arial" w:eastAsia="Arial" w:hAnsi="Arial" w:cs="Arial"/>
          <w:sz w:val="22"/>
          <w:szCs w:val="22"/>
        </w:rPr>
        <w:t>Practice</w:t>
      </w:r>
      <w:r>
        <w:rPr>
          <w:rFonts w:ascii="Arial" w:eastAsia="Arial" w:hAnsi="Arial" w:cs="Arial"/>
          <w:sz w:val="22"/>
          <w:szCs w:val="22"/>
        </w:rPr>
        <w:t xml:space="preserve"> may ask the nature of the request from the solicitor to confirm if this should be charged for or not.</w:t>
      </w:r>
    </w:p>
    <w:p w14:paraId="0000018F" w14:textId="77777777" w:rsidR="00414D55" w:rsidRDefault="00414D55">
      <w:pPr>
        <w:rPr>
          <w:rFonts w:ascii="Arial" w:eastAsia="Arial" w:hAnsi="Arial" w:cs="Arial"/>
          <w:sz w:val="22"/>
          <w:szCs w:val="22"/>
        </w:rPr>
      </w:pPr>
    </w:p>
    <w:p w14:paraId="00000190" w14:textId="77777777" w:rsidR="00414D55" w:rsidRDefault="004C1F5A">
      <w:pPr>
        <w:rPr>
          <w:rFonts w:ascii="Arial" w:eastAsia="Arial" w:hAnsi="Arial" w:cs="Arial"/>
          <w:sz w:val="22"/>
          <w:szCs w:val="22"/>
        </w:rPr>
      </w:pPr>
      <w:r>
        <w:rPr>
          <w:rFonts w:ascii="Arial" w:eastAsia="Arial" w:hAnsi="Arial" w:cs="Arial"/>
          <w:sz w:val="22"/>
          <w:szCs w:val="22"/>
        </w:rPr>
        <w:t xml:space="preserve">If the solicitor confirms that they are seeking a copy of the medical record, then this should be treated as a SAR and complied with in the usual way. Fees are detailed at </w:t>
      </w:r>
      <w:hyperlink w:anchor="_heading=h.6y5zgae63hru">
        <w:r w:rsidR="00414D55">
          <w:rPr>
            <w:rFonts w:ascii="Arial" w:eastAsia="Arial" w:hAnsi="Arial" w:cs="Arial"/>
            <w:color w:val="0563C1"/>
            <w:sz w:val="22"/>
            <w:szCs w:val="22"/>
            <w:u w:val="single"/>
          </w:rPr>
          <w:t>Section 6.5</w:t>
        </w:r>
      </w:hyperlink>
      <w:r>
        <w:rPr>
          <w:rFonts w:ascii="Arial" w:eastAsia="Arial" w:hAnsi="Arial" w:cs="Arial"/>
          <w:sz w:val="22"/>
          <w:szCs w:val="22"/>
        </w:rPr>
        <w:t xml:space="preserve"> and within the BMA </w:t>
      </w:r>
      <w:hyperlink r:id="rId65">
        <w:r w:rsidR="00414D55">
          <w:rPr>
            <w:rFonts w:ascii="Arial" w:eastAsia="Arial" w:hAnsi="Arial" w:cs="Arial"/>
            <w:color w:val="0563C1"/>
            <w:sz w:val="22"/>
            <w:szCs w:val="22"/>
            <w:u w:val="single"/>
          </w:rPr>
          <w:t>Access to health records</w:t>
        </w:r>
      </w:hyperlink>
      <w:r>
        <w:rPr>
          <w:rFonts w:ascii="Arial" w:eastAsia="Arial" w:hAnsi="Arial" w:cs="Arial"/>
          <w:sz w:val="22"/>
          <w:szCs w:val="22"/>
        </w:rPr>
        <w:t xml:space="preserve"> guidance.</w:t>
      </w:r>
    </w:p>
    <w:p w14:paraId="00000191"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4" w:name="_Toc215131201"/>
      <w:r>
        <w:rPr>
          <w:sz w:val="28"/>
          <w:szCs w:val="28"/>
        </w:rPr>
        <w:t>Employee requests</w:t>
      </w:r>
      <w:bookmarkEnd w:id="44"/>
    </w:p>
    <w:p w14:paraId="00000192" w14:textId="77777777" w:rsidR="00414D55" w:rsidRDefault="00414D55">
      <w:pPr>
        <w:rPr>
          <w:rFonts w:ascii="Arial" w:eastAsia="Arial" w:hAnsi="Arial" w:cs="Arial"/>
          <w:sz w:val="22"/>
          <w:szCs w:val="22"/>
        </w:rPr>
      </w:pPr>
    </w:p>
    <w:p w14:paraId="00000193" w14:textId="0CE669CA" w:rsidR="00414D55" w:rsidRDefault="004C1F5A">
      <w:pPr>
        <w:rPr>
          <w:rFonts w:ascii="Arial" w:eastAsia="Arial" w:hAnsi="Arial" w:cs="Arial"/>
          <w:sz w:val="22"/>
          <w:szCs w:val="22"/>
        </w:rPr>
      </w:pPr>
      <w:r>
        <w:rPr>
          <w:rFonts w:ascii="Arial" w:eastAsia="Arial" w:hAnsi="Arial" w:cs="Arial"/>
          <w:sz w:val="22"/>
          <w:szCs w:val="22"/>
        </w:rPr>
        <w:t xml:space="preserve">Employees and ex-employees of the </w:t>
      </w:r>
      <w:r w:rsidR="00A511B6">
        <w:rPr>
          <w:rFonts w:ascii="Arial" w:eastAsia="Arial" w:hAnsi="Arial" w:cs="Arial"/>
          <w:sz w:val="22"/>
          <w:szCs w:val="22"/>
        </w:rPr>
        <w:t>Practice</w:t>
      </w:r>
      <w:r>
        <w:rPr>
          <w:rFonts w:ascii="Arial" w:eastAsia="Arial" w:hAnsi="Arial" w:cs="Arial"/>
          <w:sz w:val="22"/>
          <w:szCs w:val="22"/>
        </w:rPr>
        <w:t xml:space="preserve"> have a right to request a copy of their personal data including their employment record, occupational health records, complaints files, significant event files and any other relevant correspondence. Not all personal data that </w:t>
      </w:r>
      <w:r w:rsidR="00A511B6">
        <w:rPr>
          <w:rFonts w:ascii="Arial" w:eastAsia="Arial" w:hAnsi="Arial" w:cs="Arial"/>
          <w:sz w:val="22"/>
          <w:szCs w:val="22"/>
        </w:rPr>
        <w:t>the Practice</w:t>
      </w:r>
      <w:r>
        <w:rPr>
          <w:rFonts w:ascii="Arial" w:eastAsia="Arial" w:hAnsi="Arial" w:cs="Arial"/>
          <w:sz w:val="22"/>
          <w:szCs w:val="22"/>
        </w:rPr>
        <w:t xml:space="preserve"> holds about </w:t>
      </w:r>
      <w:r w:rsidR="00A511B6">
        <w:rPr>
          <w:rFonts w:ascii="Arial" w:eastAsia="Arial" w:hAnsi="Arial" w:cs="Arial"/>
          <w:sz w:val="22"/>
          <w:szCs w:val="22"/>
        </w:rPr>
        <w:t>the</w:t>
      </w:r>
      <w:r>
        <w:rPr>
          <w:rFonts w:ascii="Arial" w:eastAsia="Arial" w:hAnsi="Arial" w:cs="Arial"/>
          <w:sz w:val="22"/>
          <w:szCs w:val="22"/>
        </w:rPr>
        <w:t xml:space="preserve"> individual needs to be provided as certain exemptions exist. </w:t>
      </w:r>
    </w:p>
    <w:p w14:paraId="00000194" w14:textId="77777777" w:rsidR="00414D55" w:rsidRDefault="004C1F5A">
      <w:pPr>
        <w:rPr>
          <w:rFonts w:ascii="Arial" w:eastAsia="Arial" w:hAnsi="Arial" w:cs="Arial"/>
          <w:sz w:val="22"/>
          <w:szCs w:val="22"/>
        </w:rPr>
      </w:pPr>
      <w:r>
        <w:rPr>
          <w:rFonts w:ascii="Arial" w:eastAsia="Arial" w:hAnsi="Arial" w:cs="Arial"/>
          <w:sz w:val="22"/>
          <w:szCs w:val="22"/>
        </w:rPr>
        <w:t xml:space="preserve">For example, </w:t>
      </w:r>
      <w:sdt>
        <w:sdtPr>
          <w:tag w:val="goog_rdk_2"/>
          <w:id w:val="492995927"/>
        </w:sdtPr>
        <w:sdtEndPr/>
        <w:sdtContent/>
      </w:sdt>
      <w:r>
        <w:rPr>
          <w:rFonts w:ascii="Arial" w:eastAsia="Arial" w:hAnsi="Arial" w:cs="Arial"/>
          <w:sz w:val="22"/>
          <w:szCs w:val="22"/>
        </w:rPr>
        <w:t xml:space="preserve">legally privileged documents do not need to be disclosed or when personal data is processed for the purposes of management forecasting or management planning in relation to business planning. </w:t>
      </w:r>
    </w:p>
    <w:p w14:paraId="00000195" w14:textId="77777777" w:rsidR="00414D55" w:rsidRDefault="00414D55">
      <w:pPr>
        <w:rPr>
          <w:rFonts w:ascii="Arial" w:eastAsia="Arial" w:hAnsi="Arial" w:cs="Arial"/>
          <w:sz w:val="22"/>
          <w:szCs w:val="22"/>
        </w:rPr>
      </w:pPr>
    </w:p>
    <w:p w14:paraId="00000196" w14:textId="77777777" w:rsidR="00414D55" w:rsidRDefault="004C1F5A">
      <w:pPr>
        <w:rPr>
          <w:rFonts w:ascii="Arial" w:eastAsia="Arial" w:hAnsi="Arial" w:cs="Arial"/>
          <w:sz w:val="22"/>
          <w:szCs w:val="22"/>
        </w:rPr>
      </w:pPr>
      <w:r>
        <w:rPr>
          <w:rFonts w:ascii="Arial" w:eastAsia="Arial" w:hAnsi="Arial" w:cs="Arial"/>
          <w:sz w:val="22"/>
          <w:szCs w:val="22"/>
        </w:rPr>
        <w:t xml:space="preserve">The requestor does not need to provide a reason for making a SAR, however they must state who they are and provide appropriate ID. The requestor should specify a date range, subject matter and the people who they believe have sent or received information about them. An employer cannot refuse to supply information if documents provide third party references. These should simply be redacted on the copy provided to the requestor. </w:t>
      </w:r>
    </w:p>
    <w:p w14:paraId="00000197" w14:textId="77777777" w:rsidR="00414D55" w:rsidRDefault="00414D55">
      <w:pPr>
        <w:rPr>
          <w:rFonts w:ascii="Arial" w:eastAsia="Arial" w:hAnsi="Arial" w:cs="Arial"/>
          <w:sz w:val="22"/>
          <w:szCs w:val="22"/>
        </w:rPr>
      </w:pPr>
    </w:p>
    <w:p w14:paraId="00000198" w14:textId="77777777" w:rsidR="00414D55" w:rsidRDefault="00414D55">
      <w:pPr>
        <w:rPr>
          <w:rFonts w:ascii="Arial" w:eastAsia="Arial" w:hAnsi="Arial" w:cs="Arial"/>
          <w:sz w:val="22"/>
          <w:szCs w:val="22"/>
        </w:rPr>
      </w:pPr>
      <w:hyperlink r:id="rId66">
        <w:r>
          <w:rPr>
            <w:rFonts w:ascii="Arial" w:eastAsia="Arial" w:hAnsi="Arial" w:cs="Arial"/>
            <w:color w:val="0563C1"/>
            <w:sz w:val="22"/>
            <w:szCs w:val="22"/>
            <w:u w:val="single"/>
          </w:rPr>
          <w:t>Article 15 (3)</w:t>
        </w:r>
      </w:hyperlink>
      <w:r>
        <w:rPr>
          <w:rFonts w:ascii="Arial" w:eastAsia="Arial" w:hAnsi="Arial" w:cs="Arial"/>
          <w:sz w:val="22"/>
          <w:szCs w:val="22"/>
        </w:rPr>
        <w:t xml:space="preserve"> of the UK GDPR states that on receipt of a SAR, the employer must give the requestor a copy of their personal information (as per </w:t>
      </w:r>
      <w:hyperlink r:id="rId67">
        <w:r>
          <w:rPr>
            <w:rFonts w:ascii="Arial" w:eastAsia="Arial" w:hAnsi="Arial" w:cs="Arial"/>
            <w:color w:val="0563C1"/>
            <w:sz w:val="22"/>
            <w:szCs w:val="22"/>
            <w:u w:val="single"/>
          </w:rPr>
          <w:t>Article 15 (1)</w:t>
        </w:r>
      </w:hyperlink>
      <w:r>
        <w:rPr>
          <w:rFonts w:ascii="Arial" w:eastAsia="Arial" w:hAnsi="Arial" w:cs="Arial"/>
          <w:sz w:val="22"/>
          <w:szCs w:val="22"/>
        </w:rPr>
        <w:t xml:space="preserve">), without charge but can charge a reasonable fee for additional requests. If the request is made by e-mail, then the employer must provide the information in a commonly used electronic format unless the requestor requires the information in a different format. The procedure for employees or ex-employees undertaking a SAR follows the same process as detailed in the </w:t>
      </w:r>
      <w:hyperlink w:anchor="_heading=h.7kvw1pa7mo7c">
        <w:r>
          <w:rPr>
            <w:rFonts w:ascii="Arial" w:eastAsia="Arial" w:hAnsi="Arial" w:cs="Arial"/>
            <w:color w:val="0563C1"/>
            <w:sz w:val="22"/>
            <w:szCs w:val="22"/>
            <w:u w:val="single"/>
          </w:rPr>
          <w:t>Procedure for Access</w:t>
        </w:r>
      </w:hyperlink>
      <w:r>
        <w:rPr>
          <w:rFonts w:ascii="Arial" w:eastAsia="Arial" w:hAnsi="Arial" w:cs="Arial"/>
          <w:sz w:val="22"/>
          <w:szCs w:val="22"/>
        </w:rPr>
        <w:t xml:space="preserve"> section.</w:t>
      </w:r>
    </w:p>
    <w:p w14:paraId="00000199"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5" w:name="_Toc215131202"/>
      <w:r>
        <w:rPr>
          <w:sz w:val="28"/>
          <w:szCs w:val="28"/>
        </w:rPr>
        <w:t>Denial or limitation of information</w:t>
      </w:r>
      <w:bookmarkEnd w:id="45"/>
    </w:p>
    <w:p w14:paraId="0000019A" w14:textId="77777777" w:rsidR="00414D55" w:rsidRDefault="00414D55">
      <w:pPr>
        <w:rPr>
          <w:rFonts w:ascii="Arial" w:eastAsia="Arial" w:hAnsi="Arial" w:cs="Arial"/>
          <w:sz w:val="22"/>
          <w:szCs w:val="22"/>
        </w:rPr>
      </w:pPr>
    </w:p>
    <w:p w14:paraId="0000019B" w14:textId="77777777" w:rsidR="00414D55" w:rsidRDefault="004C1F5A">
      <w:pPr>
        <w:rPr>
          <w:rFonts w:ascii="Arial" w:eastAsia="Arial" w:hAnsi="Arial" w:cs="Arial"/>
          <w:sz w:val="22"/>
          <w:szCs w:val="22"/>
        </w:rPr>
      </w:pPr>
      <w:r>
        <w:rPr>
          <w:rFonts w:ascii="Arial" w:eastAsia="Arial" w:hAnsi="Arial" w:cs="Arial"/>
          <w:sz w:val="22"/>
          <w:szCs w:val="22"/>
        </w:rPr>
        <w:t xml:space="preserve">Access will be denied or limited when, in the reasonable opinion of the responsible clinician, access to such information would not be in the person’s best interests because: </w:t>
      </w:r>
    </w:p>
    <w:p w14:paraId="0000019C" w14:textId="77777777" w:rsidR="00414D55" w:rsidRDefault="00414D55">
      <w:pPr>
        <w:rPr>
          <w:rFonts w:ascii="Arial" w:eastAsia="Arial" w:hAnsi="Arial" w:cs="Arial"/>
          <w:sz w:val="22"/>
          <w:szCs w:val="22"/>
        </w:rPr>
      </w:pPr>
    </w:p>
    <w:p w14:paraId="0000019D" w14:textId="77777777" w:rsidR="00414D55" w:rsidRDefault="004C1F5A">
      <w:pPr>
        <w:numPr>
          <w:ilvl w:val="0"/>
          <w:numId w:val="1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is likely to cause serious harm to the person’s physical or mental health</w:t>
      </w:r>
    </w:p>
    <w:p w14:paraId="0000019E" w14:textId="77777777" w:rsidR="00414D55" w:rsidRDefault="004C1F5A">
      <w:pPr>
        <w:numPr>
          <w:ilvl w:val="0"/>
          <w:numId w:val="1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is likely to cause serious harm to the physical or mental health of any other person</w:t>
      </w:r>
    </w:p>
    <w:p w14:paraId="0000019F" w14:textId="77777777" w:rsidR="00414D55" w:rsidRDefault="004C1F5A">
      <w:pPr>
        <w:numPr>
          <w:ilvl w:val="0"/>
          <w:numId w:val="1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information includes a reference to any third party who has not consented to its disclosure</w:t>
      </w:r>
    </w:p>
    <w:p w14:paraId="000001A0" w14:textId="77777777" w:rsidR="00414D55" w:rsidRDefault="00414D55">
      <w:pPr>
        <w:rPr>
          <w:rFonts w:ascii="Arial" w:eastAsia="Arial" w:hAnsi="Arial" w:cs="Arial"/>
          <w:sz w:val="22"/>
          <w:szCs w:val="22"/>
        </w:rPr>
      </w:pPr>
    </w:p>
    <w:p w14:paraId="000001A1" w14:textId="77777777" w:rsidR="00414D55" w:rsidRDefault="004C1F5A">
      <w:pPr>
        <w:rPr>
          <w:rFonts w:ascii="Arial" w:eastAsia="Arial" w:hAnsi="Arial" w:cs="Arial"/>
          <w:sz w:val="22"/>
          <w:szCs w:val="22"/>
        </w:rPr>
      </w:pPr>
      <w:r>
        <w:rPr>
          <w:rFonts w:ascii="Arial" w:eastAsia="Arial" w:hAnsi="Arial" w:cs="Arial"/>
          <w:sz w:val="22"/>
          <w:szCs w:val="22"/>
        </w:rPr>
        <w:t>A reason for denial of information must be recorded in the medical records and when possible and appropriate, an appointment will be made with the patient to explain the decision.</w:t>
      </w:r>
    </w:p>
    <w:p w14:paraId="000001A2"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6" w:name="_Toc215131203"/>
      <w:r>
        <w:rPr>
          <w:sz w:val="28"/>
          <w:szCs w:val="28"/>
        </w:rPr>
        <w:lastRenderedPageBreak/>
        <w:t>Third party information</w:t>
      </w:r>
      <w:bookmarkEnd w:id="46"/>
    </w:p>
    <w:p w14:paraId="000001A3" w14:textId="77777777" w:rsidR="00414D55" w:rsidRDefault="00414D55">
      <w:pPr>
        <w:rPr>
          <w:rFonts w:ascii="Arial" w:eastAsia="Arial" w:hAnsi="Arial" w:cs="Arial"/>
          <w:sz w:val="10"/>
          <w:szCs w:val="10"/>
        </w:rPr>
      </w:pPr>
    </w:p>
    <w:p w14:paraId="000001A4" w14:textId="7F08B3A0" w:rsidR="00414D55" w:rsidRDefault="004C1F5A">
      <w:pPr>
        <w:rPr>
          <w:rFonts w:ascii="Arial" w:eastAsia="Arial" w:hAnsi="Arial" w:cs="Arial"/>
          <w:sz w:val="22"/>
          <w:szCs w:val="22"/>
        </w:rPr>
      </w:pPr>
      <w:r>
        <w:rPr>
          <w:rFonts w:ascii="Arial" w:eastAsia="Arial" w:hAnsi="Arial" w:cs="Arial"/>
          <w:sz w:val="22"/>
          <w:szCs w:val="22"/>
        </w:rPr>
        <w:t xml:space="preserve">Patient and </w:t>
      </w:r>
      <w:r w:rsidR="00D75E2F">
        <w:rPr>
          <w:rFonts w:ascii="Arial" w:eastAsia="Arial" w:hAnsi="Arial" w:cs="Arial"/>
          <w:sz w:val="22"/>
          <w:szCs w:val="22"/>
        </w:rPr>
        <w:t>Practice</w:t>
      </w:r>
      <w:r>
        <w:rPr>
          <w:rFonts w:ascii="Arial" w:eastAsia="Arial" w:hAnsi="Arial" w:cs="Arial"/>
          <w:sz w:val="22"/>
          <w:szCs w:val="22"/>
        </w:rPr>
        <w:t xml:space="preserve"> records may contain confidential information that relates to a third person. This may be information from or about another person. It may be entered in the record intentionally or by accident.</w:t>
      </w:r>
    </w:p>
    <w:p w14:paraId="000001A5" w14:textId="77777777" w:rsidR="00414D55" w:rsidRDefault="00414D55">
      <w:pPr>
        <w:rPr>
          <w:rFonts w:ascii="Arial" w:eastAsia="Arial" w:hAnsi="Arial" w:cs="Arial"/>
          <w:sz w:val="22"/>
          <w:szCs w:val="22"/>
        </w:rPr>
      </w:pPr>
    </w:p>
    <w:p w14:paraId="000001A6" w14:textId="77777777" w:rsidR="00414D55" w:rsidRDefault="004C1F5A">
      <w:pPr>
        <w:rPr>
          <w:rFonts w:ascii="Arial" w:eastAsia="Arial" w:hAnsi="Arial" w:cs="Arial"/>
          <w:sz w:val="22"/>
          <w:szCs w:val="22"/>
        </w:rPr>
      </w:pPr>
      <w:r>
        <w:rPr>
          <w:rFonts w:ascii="Arial" w:eastAsia="Arial" w:hAnsi="Arial" w:cs="Arial"/>
          <w:sz w:val="22"/>
          <w:szCs w:val="22"/>
        </w:rPr>
        <w:t xml:space="preserve">It does not include information about or provided by a third party that the patient would normally have access to, such as hospital letters. All confidential </w:t>
      </w:r>
      <w:proofErr w:type="gramStart"/>
      <w:r>
        <w:rPr>
          <w:rFonts w:ascii="Arial" w:eastAsia="Arial" w:hAnsi="Arial" w:cs="Arial"/>
          <w:sz w:val="22"/>
          <w:szCs w:val="22"/>
        </w:rPr>
        <w:t>third party</w:t>
      </w:r>
      <w:proofErr w:type="gramEnd"/>
      <w:r>
        <w:rPr>
          <w:rFonts w:ascii="Arial" w:eastAsia="Arial" w:hAnsi="Arial" w:cs="Arial"/>
          <w:sz w:val="22"/>
          <w:szCs w:val="22"/>
        </w:rPr>
        <w:t xml:space="preserve"> information must be removed or redacted. This will be reviewed and highlighted by the appropriate responsible clinician or data controller. If this is not possible then access to the information will be refused.</w:t>
      </w:r>
    </w:p>
    <w:p w14:paraId="000001A7"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7" w:name="_Toc215131204"/>
      <w:r>
        <w:rPr>
          <w:sz w:val="28"/>
          <w:szCs w:val="28"/>
        </w:rPr>
        <w:t>Former NHS patients living outside the UK</w:t>
      </w:r>
      <w:bookmarkEnd w:id="47"/>
    </w:p>
    <w:p w14:paraId="000001A8" w14:textId="77777777" w:rsidR="00414D55" w:rsidRDefault="00414D55">
      <w:pPr>
        <w:jc w:val="both"/>
        <w:rPr>
          <w:rFonts w:ascii="Arial" w:eastAsia="Arial" w:hAnsi="Arial" w:cs="Arial"/>
          <w:sz w:val="10"/>
          <w:szCs w:val="10"/>
        </w:rPr>
      </w:pPr>
    </w:p>
    <w:p w14:paraId="000001A9" w14:textId="77777777" w:rsidR="00414D55" w:rsidRDefault="004C1F5A">
      <w:pPr>
        <w:jc w:val="both"/>
        <w:rPr>
          <w:rFonts w:ascii="Arial" w:eastAsia="Arial" w:hAnsi="Arial" w:cs="Arial"/>
          <w:sz w:val="22"/>
          <w:szCs w:val="22"/>
        </w:rPr>
      </w:pPr>
      <w:r>
        <w:rPr>
          <w:rFonts w:ascii="Arial" w:eastAsia="Arial" w:hAnsi="Arial" w:cs="Arial"/>
          <w:sz w:val="22"/>
          <w:szCs w:val="22"/>
        </w:rPr>
        <w:t xml:space="preserve">Patients no longer resident in the UK have the same rights to access their information as those who still reside here and must make their request for information in the same manner. </w:t>
      </w:r>
    </w:p>
    <w:p w14:paraId="000001AA" w14:textId="77777777" w:rsidR="00414D55" w:rsidRDefault="00414D55">
      <w:pPr>
        <w:jc w:val="both"/>
        <w:rPr>
          <w:rFonts w:ascii="Arial" w:eastAsia="Arial" w:hAnsi="Arial" w:cs="Arial"/>
          <w:sz w:val="22"/>
          <w:szCs w:val="22"/>
        </w:rPr>
      </w:pPr>
    </w:p>
    <w:p w14:paraId="000001AB" w14:textId="57307044" w:rsidR="00414D55" w:rsidRDefault="004C1F5A">
      <w:pPr>
        <w:jc w:val="both"/>
        <w:rPr>
          <w:rFonts w:ascii="Arial" w:eastAsia="Arial" w:hAnsi="Arial" w:cs="Arial"/>
          <w:sz w:val="22"/>
          <w:szCs w:val="22"/>
        </w:rPr>
      </w:pPr>
      <w:r>
        <w:rPr>
          <w:rFonts w:ascii="Arial" w:eastAsia="Arial" w:hAnsi="Arial" w:cs="Arial"/>
          <w:sz w:val="22"/>
          <w:szCs w:val="22"/>
        </w:rPr>
        <w:t>Original health records should not be given to an individual to take abroad with them. However, th</w:t>
      </w:r>
      <w:r w:rsidR="00A511B6">
        <w:rPr>
          <w:rFonts w:ascii="Arial" w:eastAsia="Arial" w:hAnsi="Arial" w:cs="Arial"/>
          <w:sz w:val="22"/>
          <w:szCs w:val="22"/>
        </w:rPr>
        <w:t>e Practice</w:t>
      </w:r>
      <w:r>
        <w:rPr>
          <w:rFonts w:ascii="Arial" w:eastAsia="Arial" w:hAnsi="Arial" w:cs="Arial"/>
          <w:sz w:val="22"/>
          <w:szCs w:val="22"/>
        </w:rPr>
        <w:t xml:space="preserve"> may provide a summary of the treatment given while resident in the UK.</w:t>
      </w:r>
    </w:p>
    <w:p w14:paraId="000001AC"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8" w:name="_Toc215131205"/>
      <w:r>
        <w:rPr>
          <w:sz w:val="28"/>
          <w:szCs w:val="28"/>
        </w:rPr>
        <w:t>Disputes concerning content of records</w:t>
      </w:r>
      <w:bookmarkEnd w:id="48"/>
    </w:p>
    <w:p w14:paraId="000001AD" w14:textId="77777777" w:rsidR="00414D55" w:rsidRDefault="00414D55">
      <w:pPr>
        <w:rPr>
          <w:rFonts w:ascii="Arial" w:eastAsia="Arial" w:hAnsi="Arial" w:cs="Arial"/>
          <w:sz w:val="10"/>
          <w:szCs w:val="10"/>
        </w:rPr>
      </w:pPr>
    </w:p>
    <w:p w14:paraId="000001AE" w14:textId="77777777" w:rsidR="00414D55" w:rsidRDefault="004C1F5A">
      <w:pPr>
        <w:rPr>
          <w:rFonts w:ascii="Arial" w:eastAsia="Arial" w:hAnsi="Arial" w:cs="Arial"/>
          <w:sz w:val="22"/>
          <w:szCs w:val="22"/>
        </w:rPr>
      </w:pPr>
      <w:r>
        <w:rPr>
          <w:rFonts w:ascii="Arial" w:eastAsia="Arial" w:hAnsi="Arial" w:cs="Arial"/>
          <w:sz w:val="22"/>
          <w:szCs w:val="22"/>
        </w:rPr>
        <w:t>Once access to records has been granted, patients or their proxy may dispute their accuracy or lack understanding of medical codes, they may identify errors in their record, unexpected third-party references and entries they object to or want deleted. The right of rectification and erasure is established within the UK GDPR. Any queries will be directed to the data controller who will contact the patient. They will investigate swiftly and thoroughly to identify the source and extent of the problem.</w:t>
      </w:r>
    </w:p>
    <w:p w14:paraId="000001AF" w14:textId="77777777" w:rsidR="00414D55" w:rsidRDefault="00414D55">
      <w:pPr>
        <w:rPr>
          <w:rFonts w:ascii="Arial" w:eastAsia="Arial" w:hAnsi="Arial" w:cs="Arial"/>
          <w:sz w:val="22"/>
          <w:szCs w:val="22"/>
        </w:rPr>
      </w:pPr>
    </w:p>
    <w:p w14:paraId="000001B0" w14:textId="77777777" w:rsidR="00414D55" w:rsidRDefault="004C1F5A">
      <w:pPr>
        <w:rPr>
          <w:rFonts w:ascii="Arial" w:eastAsia="Arial" w:hAnsi="Arial" w:cs="Arial"/>
          <w:sz w:val="22"/>
          <w:szCs w:val="22"/>
        </w:rPr>
      </w:pPr>
      <w:r>
        <w:rPr>
          <w:rFonts w:ascii="Arial" w:eastAsia="Arial" w:hAnsi="Arial" w:cs="Arial"/>
          <w:sz w:val="22"/>
          <w:szCs w:val="22"/>
        </w:rPr>
        <w:t xml:space="preserve">The responsible clinician and Caldicott Guardian/data controller will then decide on the most appropriate action. When the dispute concerns a medical entry, the clinician who made the entry should be consulted and consideration given as to whether it is appropriate to change or delete an entry. </w:t>
      </w:r>
    </w:p>
    <w:p w14:paraId="000001B1" w14:textId="77777777" w:rsidR="00414D55" w:rsidRDefault="00414D55">
      <w:pPr>
        <w:rPr>
          <w:rFonts w:ascii="Arial" w:eastAsia="Arial" w:hAnsi="Arial" w:cs="Arial"/>
          <w:sz w:val="22"/>
          <w:szCs w:val="22"/>
        </w:rPr>
      </w:pPr>
    </w:p>
    <w:p w14:paraId="000001B2" w14:textId="77777777" w:rsidR="00414D55" w:rsidRDefault="004C1F5A">
      <w:pPr>
        <w:rPr>
          <w:rFonts w:ascii="Arial" w:eastAsia="Arial" w:hAnsi="Arial" w:cs="Arial"/>
          <w:sz w:val="22"/>
          <w:szCs w:val="22"/>
        </w:rPr>
      </w:pPr>
      <w:r>
        <w:rPr>
          <w:rFonts w:ascii="Arial" w:eastAsia="Arial" w:hAnsi="Arial" w:cs="Arial"/>
          <w:sz w:val="22"/>
          <w:szCs w:val="22"/>
        </w:rPr>
        <w:t>When it is not possible or practical to contact the clinician concerned, the Caldicott Guardian or data controller should be consulted. If it is not possible to amend the records, a meeting with the patient or their proxy should be organised to explain why. Advice MUST be sought from the DPO should a patient wish to apply their UK GDPR rights of rectification, erasure, restriction of processing, data portability and the right to object.</w:t>
      </w:r>
    </w:p>
    <w:p w14:paraId="000001B3" w14:textId="77777777" w:rsidR="00414D55" w:rsidRDefault="00414D55">
      <w:pPr>
        <w:jc w:val="both"/>
        <w:rPr>
          <w:rFonts w:ascii="Arial" w:eastAsia="Arial" w:hAnsi="Arial" w:cs="Arial"/>
          <w:sz w:val="22"/>
          <w:szCs w:val="22"/>
        </w:rPr>
      </w:pPr>
    </w:p>
    <w:p w14:paraId="000001B4" w14:textId="77777777" w:rsidR="00414D55" w:rsidRDefault="004C1F5A">
      <w:pPr>
        <w:rPr>
          <w:rFonts w:ascii="Arial" w:eastAsia="Arial" w:hAnsi="Arial" w:cs="Arial"/>
          <w:sz w:val="22"/>
          <w:szCs w:val="22"/>
        </w:rPr>
      </w:pPr>
      <w:r>
        <w:rPr>
          <w:rFonts w:ascii="Arial" w:eastAsia="Arial" w:hAnsi="Arial" w:cs="Arial"/>
          <w:sz w:val="22"/>
          <w:szCs w:val="22"/>
        </w:rPr>
        <w:t>When it is not appropriate to amend a medical record, an entry may be made declaring that the patient disagrees with the entry. If the patient further disputes the accuracy once a decision has been made, they will be referred to the Complaints Procedure and/or the Health Ombudsman.</w:t>
      </w:r>
    </w:p>
    <w:p w14:paraId="000001B5"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49" w:name="_Toc215131206"/>
      <w:r>
        <w:rPr>
          <w:sz w:val="28"/>
          <w:szCs w:val="28"/>
        </w:rPr>
        <w:t>Complaints</w:t>
      </w:r>
      <w:bookmarkEnd w:id="49"/>
    </w:p>
    <w:p w14:paraId="000001B6" w14:textId="77777777" w:rsidR="00414D55" w:rsidRDefault="00414D55">
      <w:pPr>
        <w:rPr>
          <w:rFonts w:ascii="Arial" w:eastAsia="Arial" w:hAnsi="Arial" w:cs="Arial"/>
          <w:sz w:val="10"/>
          <w:szCs w:val="10"/>
          <w:highlight w:val="yellow"/>
        </w:rPr>
      </w:pPr>
    </w:p>
    <w:p w14:paraId="000001B7" w14:textId="73DD7166" w:rsidR="00414D55" w:rsidRDefault="004C1F5A">
      <w:pPr>
        <w:rPr>
          <w:rFonts w:ascii="Arial" w:eastAsia="Arial" w:hAnsi="Arial" w:cs="Arial"/>
          <w:sz w:val="22"/>
          <w:szCs w:val="22"/>
        </w:rPr>
      </w:pPr>
      <w:r>
        <w:rPr>
          <w:rFonts w:ascii="Arial" w:eastAsia="Arial" w:hAnsi="Arial" w:cs="Arial"/>
          <w:sz w:val="22"/>
          <w:szCs w:val="22"/>
        </w:rPr>
        <w:t xml:space="preserve">Under the </w:t>
      </w:r>
      <w:hyperlink r:id="rId68">
        <w:r w:rsidR="00414D55">
          <w:rPr>
            <w:rFonts w:ascii="Arial" w:eastAsia="Arial" w:hAnsi="Arial" w:cs="Arial"/>
            <w:color w:val="0563C1"/>
            <w:sz w:val="22"/>
            <w:szCs w:val="22"/>
            <w:u w:val="single"/>
          </w:rPr>
          <w:t>Data (Use and Access) Act 2025</w:t>
        </w:r>
      </w:hyperlink>
      <w:r>
        <w:rPr>
          <w:rFonts w:ascii="Arial" w:eastAsia="Arial" w:hAnsi="Arial" w:cs="Arial"/>
          <w:sz w:val="22"/>
          <w:szCs w:val="22"/>
        </w:rPr>
        <w:t xml:space="preserve">, an individual may make a complaint if they consider that, in connection with their personal data, there is an infringement of the UK GDPR. A complaints form is available online and in hard copy as per the </w:t>
      </w:r>
      <w:r w:rsidR="00D75E2F">
        <w:rPr>
          <w:rFonts w:ascii="Arial" w:eastAsia="Arial" w:hAnsi="Arial" w:cs="Arial"/>
          <w:sz w:val="22"/>
          <w:szCs w:val="22"/>
        </w:rPr>
        <w:t>Practice</w:t>
      </w:r>
      <w:r>
        <w:rPr>
          <w:rFonts w:ascii="Arial" w:eastAsia="Arial" w:hAnsi="Arial" w:cs="Arial"/>
          <w:sz w:val="22"/>
          <w:szCs w:val="22"/>
        </w:rPr>
        <w:t xml:space="preserve">’s Complaints Procedure. </w:t>
      </w:r>
    </w:p>
    <w:p w14:paraId="000001B8" w14:textId="77777777" w:rsidR="00414D55" w:rsidRDefault="00414D55">
      <w:pPr>
        <w:rPr>
          <w:rFonts w:ascii="Arial" w:eastAsia="Arial" w:hAnsi="Arial" w:cs="Arial"/>
          <w:sz w:val="22"/>
          <w:szCs w:val="22"/>
        </w:rPr>
      </w:pPr>
    </w:p>
    <w:p w14:paraId="000001B9" w14:textId="35BB842B" w:rsidR="00414D55" w:rsidRDefault="004C1F5A">
      <w:pPr>
        <w:rPr>
          <w:rFonts w:ascii="Arial" w:eastAsia="Arial" w:hAnsi="Arial" w:cs="Arial"/>
          <w:sz w:val="22"/>
          <w:szCs w:val="22"/>
        </w:rPr>
      </w:pPr>
      <w:r>
        <w:rPr>
          <w:rFonts w:ascii="Arial" w:eastAsia="Arial" w:hAnsi="Arial" w:cs="Arial"/>
          <w:sz w:val="22"/>
          <w:szCs w:val="22"/>
        </w:rPr>
        <w:t xml:space="preserve">Should a complaint be received under </w:t>
      </w:r>
      <w:hyperlink r:id="rId69">
        <w:r w:rsidR="00414D55">
          <w:rPr>
            <w:rFonts w:ascii="Arial" w:eastAsia="Arial" w:hAnsi="Arial" w:cs="Arial"/>
            <w:color w:val="0563C1"/>
            <w:sz w:val="22"/>
            <w:szCs w:val="22"/>
            <w:u w:val="single"/>
          </w:rPr>
          <w:t>Section 103</w:t>
        </w:r>
      </w:hyperlink>
      <w:r>
        <w:rPr>
          <w:rFonts w:ascii="Arial" w:eastAsia="Arial" w:hAnsi="Arial" w:cs="Arial"/>
          <w:sz w:val="22"/>
          <w:szCs w:val="22"/>
        </w:rPr>
        <w:t xml:space="preserve"> of the DUAA 2025, the </w:t>
      </w:r>
      <w:r w:rsidR="00D75E2F">
        <w:rPr>
          <w:rFonts w:ascii="Arial" w:eastAsia="Arial" w:hAnsi="Arial" w:cs="Arial"/>
          <w:sz w:val="22"/>
          <w:szCs w:val="22"/>
        </w:rPr>
        <w:t>Practice</w:t>
      </w:r>
      <w:r>
        <w:rPr>
          <w:rFonts w:ascii="Arial" w:eastAsia="Arial" w:hAnsi="Arial" w:cs="Arial"/>
          <w:sz w:val="22"/>
          <w:szCs w:val="22"/>
        </w:rPr>
        <w:t xml:space="preserve"> must acknowledge receipt within 30 days of receiving the complaint. The </w:t>
      </w:r>
      <w:r w:rsidR="00D75E2F">
        <w:rPr>
          <w:rFonts w:ascii="Arial" w:eastAsia="Arial" w:hAnsi="Arial" w:cs="Arial"/>
          <w:sz w:val="22"/>
          <w:szCs w:val="22"/>
        </w:rPr>
        <w:t>Practice</w:t>
      </w:r>
      <w:r>
        <w:rPr>
          <w:rFonts w:ascii="Arial" w:eastAsia="Arial" w:hAnsi="Arial" w:cs="Arial"/>
          <w:sz w:val="22"/>
          <w:szCs w:val="22"/>
        </w:rPr>
        <w:t xml:space="preserve"> must, without undue delay take appropriate steps to respond to the complaint and inform the complainant of the outcome of the complaint. The complainant may wish to take their complaint directly to the ICO, alternatively, they may wish to seek independent legal advice. Guidance from the DPO should be sought when a data complaint is received.</w:t>
      </w:r>
    </w:p>
    <w:p w14:paraId="000001BA" w14:textId="77777777" w:rsidR="00414D55" w:rsidRDefault="004C1F5A">
      <w:pPr>
        <w:pStyle w:val="Heading1"/>
        <w:keepLines/>
        <w:numPr>
          <w:ilvl w:val="0"/>
          <w:numId w:val="1"/>
        </w:numPr>
        <w:pBdr>
          <w:bottom w:val="single" w:sz="4" w:space="1" w:color="595959"/>
        </w:pBdr>
        <w:spacing w:before="360" w:after="160" w:line="259" w:lineRule="auto"/>
        <w:rPr>
          <w:sz w:val="28"/>
          <w:szCs w:val="28"/>
        </w:rPr>
      </w:pPr>
      <w:bookmarkStart w:id="50" w:name="_Toc215131207"/>
      <w:r>
        <w:rPr>
          <w:sz w:val="28"/>
          <w:szCs w:val="28"/>
        </w:rPr>
        <w:t>Care Quality Commission (CQC)</w:t>
      </w:r>
      <w:bookmarkEnd w:id="50"/>
    </w:p>
    <w:p w14:paraId="000001BB" w14:textId="77777777" w:rsidR="00414D55" w:rsidRDefault="004C1F5A">
      <w:pPr>
        <w:pStyle w:val="Heading2"/>
        <w:numPr>
          <w:ilvl w:val="1"/>
          <w:numId w:val="1"/>
        </w:numPr>
        <w:rPr>
          <w:rFonts w:ascii="Arial" w:eastAsia="Arial" w:hAnsi="Arial" w:cs="Arial"/>
          <w:smallCaps w:val="0"/>
          <w:sz w:val="24"/>
          <w:szCs w:val="24"/>
        </w:rPr>
      </w:pPr>
      <w:bookmarkStart w:id="51" w:name="_Toc215131208"/>
      <w:r>
        <w:rPr>
          <w:rFonts w:ascii="Arial" w:eastAsia="Arial" w:hAnsi="Arial" w:cs="Arial"/>
          <w:smallCaps w:val="0"/>
          <w:sz w:val="24"/>
          <w:szCs w:val="24"/>
        </w:rPr>
        <w:t>Access to medical records during an assessment</w:t>
      </w:r>
      <w:bookmarkEnd w:id="51"/>
    </w:p>
    <w:p w14:paraId="000001BC" w14:textId="77777777" w:rsidR="00414D55" w:rsidRDefault="00414D55"/>
    <w:p w14:paraId="000001BD" w14:textId="77777777" w:rsidR="00414D55" w:rsidRDefault="004C1F5A">
      <w:pPr>
        <w:rPr>
          <w:rFonts w:ascii="Arial" w:eastAsia="Arial" w:hAnsi="Arial" w:cs="Arial"/>
          <w:sz w:val="22"/>
          <w:szCs w:val="22"/>
        </w:rPr>
      </w:pPr>
      <w:r>
        <w:rPr>
          <w:rFonts w:ascii="Arial" w:eastAsia="Arial" w:hAnsi="Arial" w:cs="Arial"/>
          <w:sz w:val="22"/>
          <w:szCs w:val="22"/>
        </w:rPr>
        <w:t xml:space="preserve">The CQC has powers under the </w:t>
      </w:r>
      <w:hyperlink r:id="rId70">
        <w:r w:rsidR="00414D55">
          <w:rPr>
            <w:rFonts w:ascii="Arial" w:eastAsia="Arial" w:hAnsi="Arial" w:cs="Arial"/>
            <w:color w:val="0563C1"/>
            <w:sz w:val="22"/>
            <w:szCs w:val="22"/>
            <w:u w:val="single"/>
          </w:rPr>
          <w:t>Health and Social Care Act 2008</w:t>
        </w:r>
      </w:hyperlink>
      <w:r>
        <w:rPr>
          <w:rFonts w:ascii="Arial" w:eastAsia="Arial" w:hAnsi="Arial" w:cs="Arial"/>
          <w:sz w:val="22"/>
          <w:szCs w:val="22"/>
        </w:rPr>
        <w:t xml:space="preserve"> to access medical records during an assessment. For further detailed information, refer to </w:t>
      </w:r>
      <w:hyperlink r:id="rId71">
        <w:r w:rsidR="00414D55">
          <w:rPr>
            <w:rFonts w:ascii="Arial" w:eastAsia="Arial" w:hAnsi="Arial" w:cs="Arial"/>
            <w:color w:val="0563C1"/>
            <w:sz w:val="22"/>
            <w:szCs w:val="22"/>
            <w:u w:val="single"/>
          </w:rPr>
          <w:t xml:space="preserve">CQC GP </w:t>
        </w:r>
        <w:proofErr w:type="spellStart"/>
        <w:r w:rsidR="00414D55">
          <w:rPr>
            <w:rFonts w:ascii="Arial" w:eastAsia="Arial" w:hAnsi="Arial" w:cs="Arial"/>
            <w:color w:val="0563C1"/>
            <w:sz w:val="22"/>
            <w:szCs w:val="22"/>
            <w:u w:val="single"/>
          </w:rPr>
          <w:t>mythbuster</w:t>
        </w:r>
        <w:proofErr w:type="spellEnd"/>
        <w:r w:rsidR="00414D55">
          <w:rPr>
            <w:rFonts w:ascii="Arial" w:eastAsia="Arial" w:hAnsi="Arial" w:cs="Arial"/>
            <w:color w:val="0563C1"/>
            <w:sz w:val="22"/>
            <w:szCs w:val="22"/>
            <w:u w:val="single"/>
          </w:rPr>
          <w:t xml:space="preserve"> 12: Accessing medical records and carrying out clinical searches</w:t>
        </w:r>
      </w:hyperlink>
      <w:r>
        <w:rPr>
          <w:rFonts w:ascii="Arial" w:eastAsia="Arial" w:hAnsi="Arial" w:cs="Arial"/>
          <w:sz w:val="22"/>
          <w:szCs w:val="22"/>
        </w:rPr>
        <w:t xml:space="preserve">. </w:t>
      </w:r>
    </w:p>
    <w:p w14:paraId="000001BE" w14:textId="77777777" w:rsidR="00414D55" w:rsidRDefault="00414D55">
      <w:pPr>
        <w:rPr>
          <w:rFonts w:ascii="Arial" w:eastAsia="Arial" w:hAnsi="Arial" w:cs="Arial"/>
          <w:sz w:val="22"/>
          <w:szCs w:val="22"/>
        </w:rPr>
      </w:pPr>
    </w:p>
    <w:sectPr w:rsidR="00414D55" w:rsidSect="0050197A">
      <w:headerReference w:type="first" r:id="rId72"/>
      <w:pgSz w:w="11900" w:h="16840"/>
      <w:pgMar w:top="1440" w:right="1440" w:bottom="1440" w:left="1440" w:header="51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6B501" w14:textId="77777777" w:rsidR="004814E9" w:rsidRDefault="004814E9">
      <w:r>
        <w:separator/>
      </w:r>
    </w:p>
  </w:endnote>
  <w:endnote w:type="continuationSeparator" w:id="0">
    <w:p w14:paraId="10E76BBE" w14:textId="77777777" w:rsidR="004814E9" w:rsidRDefault="0048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52937B-2EFC-4AC7-A4A0-ADB7E78067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91813A-5148-4A6E-8AF5-24D705FD2300}"/>
    <w:embedBold r:id="rId3" w:fontKey="{9189B66D-A773-4EA0-8D9A-A309D4EFAC3B}"/>
    <w:embedItalic r:id="rId4" w:fontKey="{C2D1030B-1E75-4F86-AF15-53D9773B55AF}"/>
    <w:embedBoldItalic r:id="rId5" w:fontKey="{149B924F-9F41-46A9-8133-D9F74C2E5CF3}"/>
  </w:font>
  <w:font w:name="Calibri Light">
    <w:panose1 w:val="020F0302020204030204"/>
    <w:charset w:val="00"/>
    <w:family w:val="swiss"/>
    <w:pitch w:val="variable"/>
    <w:sig w:usb0="E4002EFF" w:usb1="C200247B" w:usb2="00000009" w:usb3="00000000" w:csb0="000001FF" w:csb1="00000000"/>
    <w:embedRegular r:id="rId6" w:fontKey="{FF91E4F2-0FB2-4B03-8B0C-C6EA8938F3F8}"/>
    <w:embedBold r:id="rId7" w:fontKey="{7EA9E1A9-D5D5-4F53-B23F-5193DFF4A28F}"/>
    <w:embedItalic r:id="rId8" w:fontKey="{CBEECC51-E849-4F6F-99EE-402597726732}"/>
    <w:embedBoldItalic r:id="rId9" w:fontKey="{6528C6B8-7D1D-4584-9962-1A9FC0B03FF9}"/>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embedRegular r:id="rId10" w:fontKey="{5C36177C-5A44-4B5A-9743-576D56EB0914}"/>
  </w:font>
  <w:font w:name="Times">
    <w:panose1 w:val="02020603050405020304"/>
    <w:charset w:val="00"/>
    <w:family w:val="roman"/>
    <w:pitch w:val="variable"/>
    <w:sig w:usb0="E0002EFF" w:usb1="C000785B" w:usb2="00000009" w:usb3="00000000" w:csb0="000001FF" w:csb1="00000000"/>
    <w:embedRegular r:id="rId11" w:fontKey="{606982E6-54EC-4547-B0FE-DB2EF6B6640E}"/>
  </w:font>
  <w:font w:name="Tahoma">
    <w:panose1 w:val="020B0604030504040204"/>
    <w:charset w:val="00"/>
    <w:family w:val="swiss"/>
    <w:pitch w:val="variable"/>
    <w:sig w:usb0="E1002EFF" w:usb1="C000605B" w:usb2="00000029" w:usb3="00000000" w:csb0="000101FF" w:csb1="00000000"/>
    <w:embedRegular r:id="rId12" w:fontKey="{238B27FD-D384-4BD9-933E-93EACCF052E6}"/>
    <w:embedBold r:id="rId13" w:fontKey="{73447D99-5AA0-41C0-9204-6E6814B528C1}"/>
  </w:font>
  <w:font w:name="Georgia">
    <w:panose1 w:val="02040502050405020303"/>
    <w:charset w:val="00"/>
    <w:family w:val="roman"/>
    <w:pitch w:val="variable"/>
    <w:sig w:usb0="00000287" w:usb1="00000000" w:usb2="00000000" w:usb3="00000000" w:csb0="0000009F" w:csb1="00000000"/>
    <w:embedRegular r:id="rId14" w:fontKey="{6AFE6DB9-6936-4A57-A743-2FFF191DE32A}"/>
    <w:embedItalic r:id="rId15" w:fontKey="{273E2559-9433-4A79-8E35-EA66EE970A30}"/>
  </w:font>
  <w:font w:name="Barlow">
    <w:charset w:val="00"/>
    <w:family w:val="auto"/>
    <w:pitch w:val="variable"/>
    <w:sig w:usb0="20000007" w:usb1="00000000" w:usb2="00000000" w:usb3="00000000" w:csb0="00000193" w:csb1="00000000"/>
    <w:embedRegular r:id="rId16" w:fontKey="{444631AA-3A19-4CD8-B779-C6EFA5A2996D}"/>
    <w:embedBold r:id="rId17" w:fontKey="{853EA313-6F9C-41E4-A11F-DD9F2FC5BD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7723C" w14:textId="77777777" w:rsidR="004814E9" w:rsidRDefault="004814E9">
      <w:r>
        <w:separator/>
      </w:r>
    </w:p>
  </w:footnote>
  <w:footnote w:type="continuationSeparator" w:id="0">
    <w:p w14:paraId="5601A2FB" w14:textId="77777777" w:rsidR="004814E9" w:rsidRDefault="00481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9EE3" w14:textId="00336700" w:rsidR="0040789A" w:rsidRDefault="0040789A" w:rsidP="0040789A">
    <w:pPr>
      <w:pStyle w:val="Header"/>
      <w:jc w:val="center"/>
    </w:pPr>
    <w:r>
      <w:rPr>
        <w:b/>
        <w:i/>
        <w:noProof/>
        <w:sz w:val="28"/>
        <w:szCs w:val="28"/>
      </w:rPr>
      <w:drawing>
        <wp:inline distT="0" distB="0" distL="0" distR="0" wp14:anchorId="4F031974" wp14:editId="44F468A9">
          <wp:extent cx="3990975" cy="654396"/>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stretch>
                    <a:fillRect/>
                  </a:stretch>
                </pic:blipFill>
                <pic:spPr>
                  <a:xfrm>
                    <a:off x="0" y="0"/>
                    <a:ext cx="4042744" cy="6628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7D1"/>
    <w:multiLevelType w:val="multilevel"/>
    <w:tmpl w:val="0A4C5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B6F2C"/>
    <w:multiLevelType w:val="multilevel"/>
    <w:tmpl w:val="830A837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C4C7BEB"/>
    <w:multiLevelType w:val="multilevel"/>
    <w:tmpl w:val="9378C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366A3E"/>
    <w:multiLevelType w:val="multilevel"/>
    <w:tmpl w:val="59A69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84642"/>
    <w:multiLevelType w:val="multilevel"/>
    <w:tmpl w:val="475E3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952452"/>
    <w:multiLevelType w:val="multilevel"/>
    <w:tmpl w:val="0D54D39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B15FA"/>
    <w:multiLevelType w:val="multilevel"/>
    <w:tmpl w:val="89B08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F83BFF"/>
    <w:multiLevelType w:val="multilevel"/>
    <w:tmpl w:val="E18EB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553507"/>
    <w:multiLevelType w:val="multilevel"/>
    <w:tmpl w:val="FFC6F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F40E95"/>
    <w:multiLevelType w:val="multilevel"/>
    <w:tmpl w:val="2410C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455FFF"/>
    <w:multiLevelType w:val="multilevel"/>
    <w:tmpl w:val="FA8C9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C158D0"/>
    <w:multiLevelType w:val="multilevel"/>
    <w:tmpl w:val="D71CF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EB195F"/>
    <w:multiLevelType w:val="multilevel"/>
    <w:tmpl w:val="0F685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A0305C"/>
    <w:multiLevelType w:val="multilevel"/>
    <w:tmpl w:val="F4F4E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276113"/>
    <w:multiLevelType w:val="multilevel"/>
    <w:tmpl w:val="AE8EFB9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5" w15:restartNumberingAfterBreak="0">
    <w:nsid w:val="3E9B0FB4"/>
    <w:multiLevelType w:val="multilevel"/>
    <w:tmpl w:val="46CC5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E6665B"/>
    <w:multiLevelType w:val="multilevel"/>
    <w:tmpl w:val="DE309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1D6B6D"/>
    <w:multiLevelType w:val="multilevel"/>
    <w:tmpl w:val="0AFCD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436E50"/>
    <w:multiLevelType w:val="multilevel"/>
    <w:tmpl w:val="8806B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512064"/>
    <w:multiLevelType w:val="multilevel"/>
    <w:tmpl w:val="95707AA0"/>
    <w:lvl w:ilvl="0">
      <w:start w:val="1"/>
      <w:numFmt w:val="decimal"/>
      <w:lvlText w:val="%1"/>
      <w:lvlJc w:val="left"/>
      <w:pPr>
        <w:ind w:left="432" w:hanging="432"/>
      </w:pPr>
      <w:rPr>
        <w:sz w:val="28"/>
        <w:szCs w:val="28"/>
      </w:rPr>
    </w:lvl>
    <w:lvl w:ilvl="1">
      <w:start w:val="1"/>
      <w:numFmt w:val="decimal"/>
      <w:lvlText w:val="%1.%2"/>
      <w:lvlJc w:val="left"/>
      <w:pPr>
        <w:ind w:left="576" w:hanging="576"/>
      </w:pPr>
      <w:rPr>
        <w:rFonts w:ascii="Arial" w:eastAsia="Arial" w:hAnsi="Arial" w:cs="Arial"/>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2145812"/>
    <w:multiLevelType w:val="multilevel"/>
    <w:tmpl w:val="007CE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7945B0E"/>
    <w:multiLevelType w:val="multilevel"/>
    <w:tmpl w:val="C9649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B171186"/>
    <w:multiLevelType w:val="multilevel"/>
    <w:tmpl w:val="FC667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202667"/>
    <w:multiLevelType w:val="multilevel"/>
    <w:tmpl w:val="F2927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0D6C6A"/>
    <w:multiLevelType w:val="multilevel"/>
    <w:tmpl w:val="EF44B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7103CC"/>
    <w:multiLevelType w:val="multilevel"/>
    <w:tmpl w:val="A8707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2381668">
    <w:abstractNumId w:val="19"/>
  </w:num>
  <w:num w:numId="2" w16cid:durableId="489323591">
    <w:abstractNumId w:val="9"/>
  </w:num>
  <w:num w:numId="3" w16cid:durableId="1785885595">
    <w:abstractNumId w:val="2"/>
  </w:num>
  <w:num w:numId="4" w16cid:durableId="1269775434">
    <w:abstractNumId w:val="20"/>
  </w:num>
  <w:num w:numId="5" w16cid:durableId="2119787606">
    <w:abstractNumId w:val="23"/>
  </w:num>
  <w:num w:numId="6" w16cid:durableId="2131119516">
    <w:abstractNumId w:val="7"/>
  </w:num>
  <w:num w:numId="7" w16cid:durableId="1627274106">
    <w:abstractNumId w:val="25"/>
  </w:num>
  <w:num w:numId="8" w16cid:durableId="750002097">
    <w:abstractNumId w:val="6"/>
  </w:num>
  <w:num w:numId="9" w16cid:durableId="181866403">
    <w:abstractNumId w:val="1"/>
  </w:num>
  <w:num w:numId="10" w16cid:durableId="929192589">
    <w:abstractNumId w:val="5"/>
  </w:num>
  <w:num w:numId="11" w16cid:durableId="1070344965">
    <w:abstractNumId w:val="14"/>
  </w:num>
  <w:num w:numId="12" w16cid:durableId="1558321168">
    <w:abstractNumId w:val="12"/>
  </w:num>
  <w:num w:numId="13" w16cid:durableId="1922135693">
    <w:abstractNumId w:val="18"/>
  </w:num>
  <w:num w:numId="14" w16cid:durableId="1844512294">
    <w:abstractNumId w:val="17"/>
  </w:num>
  <w:num w:numId="15" w16cid:durableId="1220677676">
    <w:abstractNumId w:val="10"/>
  </w:num>
  <w:num w:numId="16" w16cid:durableId="1710959828">
    <w:abstractNumId w:val="22"/>
  </w:num>
  <w:num w:numId="17" w16cid:durableId="198663169">
    <w:abstractNumId w:val="16"/>
  </w:num>
  <w:num w:numId="18" w16cid:durableId="1099982817">
    <w:abstractNumId w:val="13"/>
  </w:num>
  <w:num w:numId="19" w16cid:durableId="965046904">
    <w:abstractNumId w:val="24"/>
  </w:num>
  <w:num w:numId="20" w16cid:durableId="2145804294">
    <w:abstractNumId w:val="21"/>
  </w:num>
  <w:num w:numId="21" w16cid:durableId="853955824">
    <w:abstractNumId w:val="8"/>
  </w:num>
  <w:num w:numId="22" w16cid:durableId="1938564290">
    <w:abstractNumId w:val="3"/>
  </w:num>
  <w:num w:numId="23" w16cid:durableId="247009152">
    <w:abstractNumId w:val="15"/>
  </w:num>
  <w:num w:numId="24" w16cid:durableId="1234512897">
    <w:abstractNumId w:val="4"/>
  </w:num>
  <w:num w:numId="25" w16cid:durableId="1347292311">
    <w:abstractNumId w:val="0"/>
  </w:num>
  <w:num w:numId="26" w16cid:durableId="19387101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D55"/>
    <w:rsid w:val="00037806"/>
    <w:rsid w:val="00191061"/>
    <w:rsid w:val="00331057"/>
    <w:rsid w:val="0040789A"/>
    <w:rsid w:val="00414D55"/>
    <w:rsid w:val="00422B35"/>
    <w:rsid w:val="004814E9"/>
    <w:rsid w:val="00493AF2"/>
    <w:rsid w:val="004C1F5A"/>
    <w:rsid w:val="0050197A"/>
    <w:rsid w:val="00571D83"/>
    <w:rsid w:val="005A5D21"/>
    <w:rsid w:val="0069647F"/>
    <w:rsid w:val="006E67ED"/>
    <w:rsid w:val="007205CC"/>
    <w:rsid w:val="00883C98"/>
    <w:rsid w:val="00934200"/>
    <w:rsid w:val="00997545"/>
    <w:rsid w:val="00A511B6"/>
    <w:rsid w:val="00B31975"/>
    <w:rsid w:val="00BB2B69"/>
    <w:rsid w:val="00CB21BC"/>
    <w:rsid w:val="00D75E2F"/>
    <w:rsid w:val="00F23B16"/>
    <w:rsid w:val="00FA483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5F2F70"/>
  <w15:docId w15:val="{CCCDBBE8-88EA-1F4D-9BCB-A4183126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ind w:left="432" w:hanging="432"/>
      <w:outlineLvl w:val="0"/>
    </w:pPr>
    <w:rPr>
      <w:rFonts w:ascii="Arial" w:eastAsia="Arial" w:hAnsi="Arial" w:cs="Arial"/>
      <w:b/>
      <w:sz w:val="32"/>
      <w:szCs w:val="32"/>
    </w:rPr>
  </w:style>
  <w:style w:type="paragraph" w:styleId="Heading2">
    <w:name w:val="heading 2"/>
    <w:basedOn w:val="Normal"/>
    <w:next w:val="Normal"/>
    <w:link w:val="Heading2Char"/>
    <w:uiPriority w:val="9"/>
    <w:unhideWhenUsed/>
    <w:qFormat/>
    <w:pPr>
      <w:keepNext/>
      <w:keepLines/>
      <w:spacing w:before="360" w:line="259" w:lineRule="auto"/>
      <w:ind w:left="576" w:hanging="576"/>
      <w:outlineLvl w:val="1"/>
    </w:pPr>
    <w:rPr>
      <w:b/>
      <w:smallCaps/>
      <w:color w:val="000000"/>
      <w:sz w:val="28"/>
      <w:szCs w:val="28"/>
    </w:rPr>
  </w:style>
  <w:style w:type="paragraph" w:styleId="Heading3">
    <w:name w:val="heading 3"/>
    <w:basedOn w:val="Normal"/>
    <w:next w:val="Normal"/>
    <w:link w:val="Heading3Char"/>
    <w:uiPriority w:val="9"/>
    <w:semiHidden/>
    <w:unhideWhenUsed/>
    <w:qFormat/>
    <w:pPr>
      <w:keepNext/>
      <w:keepLines/>
      <w:spacing w:before="200" w:line="259" w:lineRule="auto"/>
      <w:ind w:left="720" w:hanging="720"/>
      <w:outlineLvl w:val="2"/>
    </w:pPr>
    <w:rPr>
      <w:b/>
      <w:color w:val="000000"/>
      <w:sz w:val="22"/>
      <w:szCs w:val="22"/>
    </w:rPr>
  </w:style>
  <w:style w:type="paragraph" w:styleId="Heading4">
    <w:name w:val="heading 4"/>
    <w:basedOn w:val="Normal"/>
    <w:next w:val="Normal"/>
    <w:link w:val="Heading4Char"/>
    <w:uiPriority w:val="9"/>
    <w:semiHidden/>
    <w:unhideWhenUsed/>
    <w:qFormat/>
    <w:pPr>
      <w:keepNext/>
      <w:keepLines/>
      <w:spacing w:before="200" w:line="259" w:lineRule="auto"/>
      <w:ind w:left="864" w:hanging="864"/>
      <w:outlineLvl w:val="3"/>
    </w:pPr>
    <w:rPr>
      <w:b/>
      <w:i/>
      <w:color w:val="000000"/>
      <w:sz w:val="22"/>
      <w:szCs w:val="22"/>
    </w:rPr>
  </w:style>
  <w:style w:type="paragraph" w:styleId="Heading5">
    <w:name w:val="heading 5"/>
    <w:basedOn w:val="Normal"/>
    <w:next w:val="Normal"/>
    <w:link w:val="Heading5Char"/>
    <w:uiPriority w:val="9"/>
    <w:semiHidden/>
    <w:unhideWhenUsed/>
    <w:qFormat/>
    <w:pPr>
      <w:keepNext/>
      <w:keepLines/>
      <w:spacing w:before="200" w:line="259" w:lineRule="auto"/>
      <w:ind w:left="1008" w:hanging="1008"/>
      <w:outlineLvl w:val="4"/>
    </w:pPr>
    <w:rPr>
      <w:color w:val="323E4F"/>
      <w:sz w:val="22"/>
      <w:szCs w:val="22"/>
    </w:rPr>
  </w:style>
  <w:style w:type="paragraph" w:styleId="Heading6">
    <w:name w:val="heading 6"/>
    <w:basedOn w:val="Normal"/>
    <w:next w:val="Normal"/>
    <w:link w:val="Heading6Char"/>
    <w:uiPriority w:val="9"/>
    <w:semiHidden/>
    <w:unhideWhenUsed/>
    <w:qFormat/>
    <w:pPr>
      <w:keepNext/>
      <w:keepLines/>
      <w:spacing w:before="200" w:line="259" w:lineRule="auto"/>
      <w:ind w:left="1152" w:hanging="1152"/>
      <w:outlineLvl w:val="5"/>
    </w:pPr>
    <w:rPr>
      <w:i/>
      <w:color w:val="323E4F"/>
      <w:sz w:val="22"/>
      <w:szCs w:val="22"/>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link w:val="ListParagraphChar"/>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cs="Times New Roman"/>
      <w:sz w:val="14"/>
      <w:szCs w:val="14"/>
    </w:rPr>
  </w:style>
  <w:style w:type="paragraph" w:customStyle="1" w:styleId="p2">
    <w:name w:val="p2"/>
    <w:basedOn w:val="Normal"/>
    <w:rsid w:val="00D86F8B"/>
    <w:rPr>
      <w:rFonts w:ascii="Helvetica" w:hAnsi="Helvetica" w:cs="Times New Roman"/>
      <w:sz w:val="21"/>
      <w:szCs w:val="21"/>
    </w:rPr>
  </w:style>
  <w:style w:type="paragraph" w:customStyle="1" w:styleId="p3">
    <w:name w:val="p3"/>
    <w:basedOn w:val="Normal"/>
    <w:rsid w:val="00D86F8B"/>
    <w:rPr>
      <w:rFonts w:ascii="Helvetica" w:hAnsi="Helvetica" w:cs="Times New Roman"/>
      <w:color w:val="D71E00"/>
      <w:sz w:val="30"/>
      <w:szCs w:val="30"/>
    </w:rPr>
  </w:style>
  <w:style w:type="paragraph" w:customStyle="1" w:styleId="p4">
    <w:name w:val="p4"/>
    <w:basedOn w:val="Normal"/>
    <w:rsid w:val="00D86F8B"/>
    <w:rPr>
      <w:rFonts w:ascii="Helvetica" w:hAnsi="Helvetica" w:cs="Times New Roman"/>
      <w:color w:val="D71E00"/>
      <w:sz w:val="12"/>
      <w:szCs w:val="12"/>
    </w:rPr>
  </w:style>
  <w:style w:type="paragraph" w:customStyle="1" w:styleId="p5">
    <w:name w:val="p5"/>
    <w:basedOn w:val="Normal"/>
    <w:rsid w:val="00D86F8B"/>
    <w:rPr>
      <w:rFonts w:ascii="Helvetica" w:hAnsi="Helvetica" w:cs="Times New Roman"/>
      <w:sz w:val="20"/>
      <w:szCs w:val="20"/>
    </w:rPr>
  </w:style>
  <w:style w:type="paragraph" w:customStyle="1" w:styleId="p6">
    <w:name w:val="p6"/>
    <w:basedOn w:val="Normal"/>
    <w:rsid w:val="00D86F8B"/>
    <w:rPr>
      <w:rFonts w:ascii="Helvetica" w:hAnsi="Helvetica" w:cs="Times New Roman"/>
      <w:sz w:val="12"/>
      <w:szCs w:val="12"/>
    </w:rPr>
  </w:style>
  <w:style w:type="paragraph" w:customStyle="1" w:styleId="p7">
    <w:name w:val="p7"/>
    <w:basedOn w:val="Normal"/>
    <w:rsid w:val="00D86F8B"/>
    <w:rPr>
      <w:rFonts w:ascii="Helvetica" w:hAnsi="Helvetica" w:cs="Times New Roman"/>
      <w:sz w:val="18"/>
      <w:szCs w:val="18"/>
    </w:rPr>
  </w:style>
  <w:style w:type="paragraph" w:customStyle="1" w:styleId="p8">
    <w:name w:val="p8"/>
    <w:basedOn w:val="Normal"/>
    <w:rsid w:val="00D86F8B"/>
    <w:rPr>
      <w:rFonts w:ascii="Helvetica" w:hAnsi="Helvetica" w:cs="Times New Roman"/>
      <w:color w:val="424242"/>
      <w:sz w:val="18"/>
      <w:szCs w:val="18"/>
    </w:rPr>
  </w:style>
  <w:style w:type="paragraph" w:customStyle="1" w:styleId="p9">
    <w:name w:val="p9"/>
    <w:basedOn w:val="Normal"/>
    <w:rsid w:val="00D86F8B"/>
    <w:rPr>
      <w:rFonts w:ascii="Helvetica" w:hAnsi="Helvetica" w:cs="Times New Roman"/>
      <w:sz w:val="17"/>
      <w:szCs w:val="17"/>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uiPriority w:val="59"/>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0D4C5E"/>
    <w:pPr>
      <w:tabs>
        <w:tab w:val="left" w:pos="480"/>
        <w:tab w:val="right" w:pos="9010"/>
      </w:tabs>
      <w:spacing w:before="360"/>
    </w:pPr>
    <w:rPr>
      <w:rFonts w:asciiTheme="majorHAnsi" w:hAnsiTheme="majorHAnsi" w:cstheme="majorHAnsi"/>
      <w:b/>
      <w:bCs/>
      <w:caps/>
    </w:rPr>
  </w:style>
  <w:style w:type="paragraph" w:styleId="TOC2">
    <w:name w:val="toc 2"/>
    <w:basedOn w:val="Normal"/>
    <w:next w:val="Normal"/>
    <w:autoRedefine/>
    <w:uiPriority w:val="39"/>
    <w:rsid w:val="005C4E98"/>
    <w:pPr>
      <w:tabs>
        <w:tab w:val="left" w:pos="660"/>
        <w:tab w:val="right" w:pos="9020"/>
      </w:tabs>
      <w:spacing w:before="80"/>
    </w:pPr>
    <w:rPr>
      <w:rFonts w:cstheme="minorHAnsi"/>
      <w:b/>
      <w:bCs/>
      <w:sz w:val="20"/>
      <w:szCs w:val="20"/>
    </w:rPr>
  </w:style>
  <w:style w:type="paragraph" w:customStyle="1" w:styleId="TableParagraph">
    <w:name w:val="Table Paragraph"/>
    <w:basedOn w:val="Normal"/>
    <w:uiPriority w:val="1"/>
    <w:qFormat/>
    <w:rsid w:val="00606AB7"/>
    <w:pPr>
      <w:widowControl w:val="0"/>
    </w:pPr>
    <w:rPr>
      <w:sz w:val="22"/>
      <w:szCs w:val="22"/>
      <w:lang w:val="en-US"/>
    </w:rPr>
  </w:style>
  <w:style w:type="character" w:customStyle="1" w:styleId="UnresolvedMention1">
    <w:name w:val="Unresolved Mention1"/>
    <w:basedOn w:val="DefaultParagraphFont"/>
    <w:uiPriority w:val="99"/>
    <w:semiHidden/>
    <w:unhideWhenUsed/>
    <w:rsid w:val="00346960"/>
    <w:rPr>
      <w:color w:val="605E5C"/>
      <w:shd w:val="clear" w:color="auto" w:fill="E1DFDD"/>
    </w:rPr>
  </w:style>
  <w:style w:type="character" w:styleId="FollowedHyperlink">
    <w:name w:val="FollowedHyperlink"/>
    <w:basedOn w:val="DefaultParagraphFont"/>
    <w:uiPriority w:val="99"/>
    <w:semiHidden/>
    <w:unhideWhenUsed/>
    <w:rsid w:val="003B5F2A"/>
    <w:rPr>
      <w:color w:val="954F72" w:themeColor="followedHyperlink"/>
      <w:u w:val="single"/>
    </w:rPr>
  </w:style>
  <w:style w:type="character" w:customStyle="1" w:styleId="UnresolvedMention2">
    <w:name w:val="Unresolved Mention2"/>
    <w:basedOn w:val="DefaultParagraphFont"/>
    <w:uiPriority w:val="99"/>
    <w:rsid w:val="00AF0B65"/>
    <w:rPr>
      <w:color w:val="605E5C"/>
      <w:shd w:val="clear" w:color="auto" w:fill="E1DFDD"/>
    </w:rPr>
  </w:style>
  <w:style w:type="character" w:styleId="CommentReference">
    <w:name w:val="annotation reference"/>
    <w:basedOn w:val="DefaultParagraphFont"/>
    <w:uiPriority w:val="99"/>
    <w:semiHidden/>
    <w:unhideWhenUsed/>
    <w:rsid w:val="00A850CC"/>
    <w:rPr>
      <w:sz w:val="16"/>
      <w:szCs w:val="16"/>
    </w:rPr>
  </w:style>
  <w:style w:type="paragraph" w:styleId="CommentText">
    <w:name w:val="annotation text"/>
    <w:basedOn w:val="Normal"/>
    <w:link w:val="CommentTextChar"/>
    <w:uiPriority w:val="99"/>
    <w:semiHidden/>
    <w:unhideWhenUsed/>
    <w:rsid w:val="00A850CC"/>
    <w:rPr>
      <w:sz w:val="20"/>
      <w:szCs w:val="20"/>
    </w:rPr>
  </w:style>
  <w:style w:type="character" w:customStyle="1" w:styleId="CommentTextChar">
    <w:name w:val="Comment Text Char"/>
    <w:basedOn w:val="DefaultParagraphFont"/>
    <w:link w:val="CommentText"/>
    <w:uiPriority w:val="99"/>
    <w:semiHidden/>
    <w:rsid w:val="00A850CC"/>
    <w:rPr>
      <w:sz w:val="20"/>
      <w:szCs w:val="20"/>
    </w:rPr>
  </w:style>
  <w:style w:type="paragraph" w:styleId="CommentSubject">
    <w:name w:val="annotation subject"/>
    <w:basedOn w:val="CommentText"/>
    <w:next w:val="CommentText"/>
    <w:link w:val="CommentSubjectChar"/>
    <w:uiPriority w:val="99"/>
    <w:semiHidden/>
    <w:unhideWhenUsed/>
    <w:rsid w:val="00A850CC"/>
    <w:rPr>
      <w:b/>
      <w:bCs/>
    </w:rPr>
  </w:style>
  <w:style w:type="character" w:customStyle="1" w:styleId="CommentSubjectChar">
    <w:name w:val="Comment Subject Char"/>
    <w:basedOn w:val="CommentTextChar"/>
    <w:link w:val="CommentSubject"/>
    <w:uiPriority w:val="99"/>
    <w:semiHidden/>
    <w:rsid w:val="00A850CC"/>
    <w:rPr>
      <w:b/>
      <w:bCs/>
      <w:sz w:val="20"/>
      <w:szCs w:val="20"/>
    </w:rPr>
  </w:style>
  <w:style w:type="paragraph" w:styleId="NormalWeb">
    <w:name w:val="Normal (Web)"/>
    <w:basedOn w:val="Normal"/>
    <w:uiPriority w:val="99"/>
    <w:unhideWhenUsed/>
    <w:rsid w:val="00105B65"/>
    <w:pPr>
      <w:spacing w:before="100" w:beforeAutospacing="1" w:after="100" w:afterAutospacing="1"/>
    </w:pPr>
    <w:rPr>
      <w:rFonts w:ascii="Times New Roman" w:hAnsi="Times New Roman" w:cs="Times New Roman"/>
    </w:rPr>
  </w:style>
  <w:style w:type="paragraph" w:customStyle="1" w:styleId="Default">
    <w:name w:val="Default"/>
    <w:rsid w:val="00B204EA"/>
    <w:pPr>
      <w:autoSpaceDE w:val="0"/>
      <w:autoSpaceDN w:val="0"/>
      <w:adjustRightInd w:val="0"/>
    </w:pPr>
    <w:rPr>
      <w:rFonts w:ascii="Arial" w:hAnsi="Arial" w:cs="Arial"/>
      <w:color w:val="000000"/>
    </w:rPr>
  </w:style>
  <w:style w:type="paragraph" w:customStyle="1" w:styleId="Organization">
    <w:name w:val="Organization"/>
    <w:basedOn w:val="Normal"/>
    <w:uiPriority w:val="3"/>
    <w:qFormat/>
    <w:rsid w:val="008D04B5"/>
    <w:pPr>
      <w:spacing w:before="120"/>
      <w:contextualSpacing/>
    </w:pPr>
    <w:rPr>
      <w:rFonts w:eastAsiaTheme="minorEastAsia"/>
      <w:b/>
      <w:bCs/>
      <w:caps/>
      <w:color w:val="4472C4" w:themeColor="accent1"/>
      <w:sz w:val="40"/>
      <w:szCs w:val="40"/>
      <w:lang w:val="en-US" w:eastAsia="ja-JP"/>
    </w:rPr>
  </w:style>
  <w:style w:type="table" w:customStyle="1" w:styleId="TableGrid1">
    <w:name w:val="Table Grid1"/>
    <w:basedOn w:val="TableNormal"/>
    <w:next w:val="TableGrid"/>
    <w:uiPriority w:val="59"/>
    <w:rsid w:val="00631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Mredflyer">
    <w:name w:val="FPM red flyer"/>
    <w:basedOn w:val="Normal"/>
    <w:rsid w:val="00FB32F1"/>
    <w:pPr>
      <w:jc w:val="center"/>
    </w:pPr>
    <w:rPr>
      <w:rFonts w:ascii="Tahoma" w:eastAsia="Times New Roman" w:hAnsi="Tahoma" w:cs="Tahoma"/>
      <w:b/>
      <w:bCs/>
      <w:color w:val="FF0000"/>
    </w:rPr>
  </w:style>
  <w:style w:type="paragraph" w:styleId="TOC3">
    <w:name w:val="toc 3"/>
    <w:basedOn w:val="Normal"/>
    <w:next w:val="Normal"/>
    <w:autoRedefine/>
    <w:uiPriority w:val="39"/>
    <w:unhideWhenUsed/>
    <w:rsid w:val="00E85D9A"/>
    <w:pPr>
      <w:spacing w:after="100"/>
      <w:ind w:left="480"/>
    </w:pPr>
  </w:style>
  <w:style w:type="character" w:customStyle="1" w:styleId="UnresolvedMention3">
    <w:name w:val="Unresolved Mention3"/>
    <w:basedOn w:val="DefaultParagraphFont"/>
    <w:uiPriority w:val="99"/>
    <w:semiHidden/>
    <w:unhideWhenUsed/>
    <w:rsid w:val="00BE5213"/>
    <w:rPr>
      <w:color w:val="605E5C"/>
      <w:shd w:val="clear" w:color="auto" w:fill="E1DFDD"/>
    </w:rPr>
  </w:style>
  <w:style w:type="paragraph" w:styleId="Revision">
    <w:name w:val="Revision"/>
    <w:hidden/>
    <w:uiPriority w:val="99"/>
    <w:semiHidden/>
    <w:rsid w:val="00B94432"/>
  </w:style>
  <w:style w:type="character" w:customStyle="1" w:styleId="UnresolvedMention4">
    <w:name w:val="Unresolved Mention4"/>
    <w:basedOn w:val="DefaultParagraphFont"/>
    <w:uiPriority w:val="99"/>
    <w:semiHidden/>
    <w:unhideWhenUsed/>
    <w:rsid w:val="00CA4969"/>
    <w:rPr>
      <w:color w:val="605E5C"/>
      <w:shd w:val="clear" w:color="auto" w:fill="E1DFDD"/>
    </w:rPr>
  </w:style>
  <w:style w:type="character" w:customStyle="1" w:styleId="ListParagraphChar">
    <w:name w:val="List Paragraph Char"/>
    <w:basedOn w:val="DefaultParagraphFont"/>
    <w:link w:val="ListParagraph"/>
    <w:uiPriority w:val="34"/>
    <w:rsid w:val="002B4697"/>
  </w:style>
  <w:style w:type="character" w:customStyle="1" w:styleId="UnresolvedMention5">
    <w:name w:val="Unresolved Mention5"/>
    <w:basedOn w:val="DefaultParagraphFont"/>
    <w:uiPriority w:val="99"/>
    <w:semiHidden/>
    <w:unhideWhenUsed/>
    <w:rsid w:val="002E28FC"/>
    <w:rPr>
      <w:color w:val="605E5C"/>
      <w:shd w:val="clear" w:color="auto" w:fill="E1DFDD"/>
    </w:rPr>
  </w:style>
  <w:style w:type="character" w:styleId="UnresolvedMention">
    <w:name w:val="Unresolved Mention"/>
    <w:basedOn w:val="DefaultParagraphFont"/>
    <w:uiPriority w:val="99"/>
    <w:semiHidden/>
    <w:unhideWhenUsed/>
    <w:rsid w:val="00D8112C"/>
    <w:rPr>
      <w:color w:val="605E5C"/>
      <w:shd w:val="clear" w:color="auto" w:fill="E1DFDD"/>
    </w:rPr>
  </w:style>
  <w:style w:type="paragraph" w:customStyle="1" w:styleId="nhsd-t-body">
    <w:name w:val="nhsd-t-body"/>
    <w:basedOn w:val="Normal"/>
    <w:rsid w:val="00D120B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06EB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cqc.org.uk/guidance-providers/gps/gp-mythbuster-8-gillick-competency-fraser-guidelines" TargetMode="External"/><Relationship Id="rId21" Type="http://schemas.openxmlformats.org/officeDocument/2006/relationships/hyperlink" Target="https://digital.nhs.uk/services/summary-care-records-scr" TargetMode="External"/><Relationship Id="rId42" Type="http://schemas.openxmlformats.org/officeDocument/2006/relationships/hyperlink" Target="https://www.bma.org.uk/advice-and-support/ethics/confidentiality-and-health-records/access-to-health-records" TargetMode="External"/><Relationship Id="rId47" Type="http://schemas.openxmlformats.org/officeDocument/2006/relationships/hyperlink" Target="https://www.legislation.gov.uk/ukpga/2018/12/contents/enacted" TargetMode="External"/><Relationship Id="rId63" Type="http://schemas.openxmlformats.org/officeDocument/2006/relationships/hyperlink" Target="https://www.legislation.gov.uk/ukpga/1990/23/contents" TargetMode="External"/><Relationship Id="rId68" Type="http://schemas.openxmlformats.org/officeDocument/2006/relationships/hyperlink" Target="https://www.legislation.gov.uk/ukpga/2025/18/section/103" TargetMode="External"/><Relationship Id="rId2" Type="http://schemas.openxmlformats.org/officeDocument/2006/relationships/numbering" Target="numbering.xml"/><Relationship Id="rId16" Type="http://schemas.openxmlformats.org/officeDocument/2006/relationships/hyperlink" Target="https://www.legislation.gov.uk/eur/2016/679/article/13" TargetMode="External"/><Relationship Id="rId29" Type="http://schemas.openxmlformats.org/officeDocument/2006/relationships/hyperlink" Target="https://www.legislation.gov.uk/ukpga/2006/49/contents" TargetMode="External"/><Relationship Id="rId11" Type="http://schemas.openxmlformats.org/officeDocument/2006/relationships/hyperlink" Target="https://www.legislation.gov.uk/ukpga/2025/18/section/76" TargetMode="External"/><Relationship Id="rId24" Type="http://schemas.openxmlformats.org/officeDocument/2006/relationships/hyperlink" Target="https://digital.nhs.uk/services/summary-care-records-scr/scr-patient-consent-preference-form" TargetMode="External"/><Relationship Id="rId32" Type="http://schemas.openxmlformats.org/officeDocument/2006/relationships/hyperlink" Target="https://www.legislation.gov.uk/ukpga/1988/28/contents" TargetMode="External"/><Relationship Id="rId37" Type="http://schemas.openxmlformats.org/officeDocument/2006/relationships/hyperlink" Target="http://www.legislation.gov.uk/uksi/2000/413/made" TargetMode="External"/><Relationship Id="rId40" Type="http://schemas.openxmlformats.org/officeDocument/2006/relationships/hyperlink" Target="https://www.legislation.gov.uk/eur/2016/679/article/12" TargetMode="External"/><Relationship Id="rId45" Type="http://schemas.openxmlformats.org/officeDocument/2006/relationships/hyperlink" Target="https://ico.org.uk/for-organisations/uk-gdpr-guidance-and-resources/individual-rights/right-of-access/how-should-we-supply-information-to-the-requester/" TargetMode="External"/><Relationship Id="rId53" Type="http://schemas.openxmlformats.org/officeDocument/2006/relationships/hyperlink" Target="https://www.bma.org.uk/media/dydcdrxw/access-to-health-records-2025.pdf" TargetMode="External"/><Relationship Id="rId58" Type="http://schemas.openxmlformats.org/officeDocument/2006/relationships/hyperlink" Target="https://elearning.rcgp.org.uk/pluginfile.php/179161/mod_book/chapter/770/Children%20and%20young%20people%20records%20access%20v3.0.pdf" TargetMode="External"/><Relationship Id="rId66" Type="http://schemas.openxmlformats.org/officeDocument/2006/relationships/hyperlink" Target="https://www.legislation.gov.uk/eur/2016/679/article/15"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report-concern-about-attorney-deputy-guardian" TargetMode="External"/><Relationship Id="rId19" Type="http://schemas.openxmlformats.org/officeDocument/2006/relationships/hyperlink" Target="https://www.england.nhs.uk/gp-online-services/support/" TargetMode="External"/><Relationship Id="rId14" Type="http://schemas.openxmlformats.org/officeDocument/2006/relationships/hyperlink" Target="https://www.legislation.gov.uk/ukpga/2010/15/contents" TargetMode="External"/><Relationship Id="rId22" Type="http://schemas.openxmlformats.org/officeDocument/2006/relationships/hyperlink" Target="https://digital.nhs.uk/services/summary-care-records-scr/additional-information-in-scr" TargetMode="External"/><Relationship Id="rId27" Type="http://schemas.openxmlformats.org/officeDocument/2006/relationships/hyperlink" Target="https://www.bma.org.uk/advice-and-support/ethics/children-and-young-people/children-and-young-people-ethics-toolkit" TargetMode="External"/><Relationship Id="rId30" Type="http://schemas.openxmlformats.org/officeDocument/2006/relationships/hyperlink" Target="https://www.legislation.gov.uk/ukpga/2018/12/contents/enacted" TargetMode="External"/><Relationship Id="rId35" Type="http://schemas.openxmlformats.org/officeDocument/2006/relationships/hyperlink" Target="http://www.legislation.gov.uk/uksi/2000/413/made" TargetMode="External"/><Relationship Id="rId43" Type="http://schemas.openxmlformats.org/officeDocument/2006/relationships/hyperlink" Target="https://ico.org.uk/for-organisations/uk-gdpr-guidance-and-resources/individual-rights/right-of-access/what-should-we-consider-when-responding-to-a-request/" TargetMode="External"/><Relationship Id="rId48" Type="http://schemas.openxmlformats.org/officeDocument/2006/relationships/hyperlink" Target="https://www.legislation.gov.uk/eur/2016/679/article/15" TargetMode="External"/><Relationship Id="rId56" Type="http://schemas.openxmlformats.org/officeDocument/2006/relationships/hyperlink" Target="https://www.legislation.gov.uk/ukpga/2005/9/contents" TargetMode="External"/><Relationship Id="rId64" Type="http://schemas.openxmlformats.org/officeDocument/2006/relationships/hyperlink" Target="https://www.bma.org.uk/media/dydcdrxw/access-to-health-records-2025.pdf" TargetMode="External"/><Relationship Id="rId69" Type="http://schemas.openxmlformats.org/officeDocument/2006/relationships/hyperlink" Target="https://www.legislation.gov.uk/ukpga/2025/18/section/103" TargetMode="External"/><Relationship Id="rId8" Type="http://schemas.openxmlformats.org/officeDocument/2006/relationships/hyperlink" Target="https://www.legislation.gov.uk/ukpga/1990/23/pdfs/ukpga_19900023_en.pdf" TargetMode="External"/><Relationship Id="rId51" Type="http://schemas.openxmlformats.org/officeDocument/2006/relationships/hyperlink" Target="https://ico.org.uk/for-organisations/uk-gdpr-guidance-and-resources/individual-rights/right-of-access/when-can-we-refuse-to-comply-with-a-request/"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legislation.gov.uk/uksi/2000/413/contents/made" TargetMode="External"/><Relationship Id="rId17" Type="http://schemas.openxmlformats.org/officeDocument/2006/relationships/hyperlink" Target="https://www.legislation.gov.uk/eur/2016/679/article/14" TargetMode="External"/><Relationship Id="rId25" Type="http://schemas.openxmlformats.org/officeDocument/2006/relationships/hyperlink" Target="https://www.legislation.gov.uk/eur/2016/679/article/15" TargetMode="External"/><Relationship Id="rId33" Type="http://schemas.openxmlformats.org/officeDocument/2006/relationships/hyperlink" Target="https://www.bma.org.uk/advice-and-support/ethics/confidentiality-and-health-records/requests-for-medical-information-from-insurers" TargetMode="External"/><Relationship Id="rId38" Type="http://schemas.openxmlformats.org/officeDocument/2006/relationships/hyperlink" Target="https://www.legislation.gov.uk/eur/2016/679/article/5" TargetMode="External"/><Relationship Id="rId46" Type="http://schemas.openxmlformats.org/officeDocument/2006/relationships/hyperlink" Target="https://www.legislation.gov.uk/eur/2016/679/article/15" TargetMode="External"/><Relationship Id="rId59" Type="http://schemas.openxmlformats.org/officeDocument/2006/relationships/hyperlink" Target="https://www.gov.uk/power-of-attorney" TargetMode="External"/><Relationship Id="rId67" Type="http://schemas.openxmlformats.org/officeDocument/2006/relationships/hyperlink" Target="https://www.legislation.gov.uk/eur/2016/679/article/15" TargetMode="External"/><Relationship Id="rId20" Type="http://schemas.openxmlformats.org/officeDocument/2006/relationships/hyperlink" Target="https://www.nhs.uk/nhs-services/gps/online-health-and-prescription-services/" TargetMode="External"/><Relationship Id="rId41" Type="http://schemas.openxmlformats.org/officeDocument/2006/relationships/hyperlink" Target="https://www.legislation.gov.uk/eur/2016/679/article/15" TargetMode="External"/><Relationship Id="rId54" Type="http://schemas.openxmlformats.org/officeDocument/2006/relationships/hyperlink" Target="https://www.england.nhs.uk/long-read/proxy-access/" TargetMode="External"/><Relationship Id="rId62" Type="http://schemas.openxmlformats.org/officeDocument/2006/relationships/hyperlink" Target="https://www.legislation.gov.uk/ukpga/1990/23/contents" TargetMode="External"/><Relationship Id="rId70" Type="http://schemas.openxmlformats.org/officeDocument/2006/relationships/hyperlink" Target="https://www.legislation.gov.uk/ukpga/2008/14/cont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eur/2016/679/article/12" TargetMode="External"/><Relationship Id="rId23" Type="http://schemas.openxmlformats.org/officeDocument/2006/relationships/hyperlink" Target="https://digital.nhs.uk/services/summary-care-records-scr/summary-care-record-supplementary-transparency-notic" TargetMode="External"/><Relationship Id="rId28" Type="http://schemas.openxmlformats.org/officeDocument/2006/relationships/hyperlink" Target="https://www.legislation.gov.uk/ukpga/2005/9/contents" TargetMode="External"/><Relationship Id="rId36" Type="http://schemas.openxmlformats.org/officeDocument/2006/relationships/hyperlink" Target="http://www.legislation.gov.uk/uksi/2000/413/made" TargetMode="External"/><Relationship Id="rId49" Type="http://schemas.openxmlformats.org/officeDocument/2006/relationships/hyperlink" Target="https://ico.org.uk/for-organisations/uk-gdpr-guidance-and-resources/individual-rights/right-of-access/when-can-we-refuse-to-comply-with-a-request/" TargetMode="External"/><Relationship Id="rId57" Type="http://schemas.openxmlformats.org/officeDocument/2006/relationships/hyperlink" Target="https://www.legislation.gov.uk/eur/2016/679/chapter/II" TargetMode="External"/><Relationship Id="rId10" Type="http://schemas.openxmlformats.org/officeDocument/2006/relationships/hyperlink" Target="https://www.legislation.gov.uk/ukpga/2018/12/contents/enacted" TargetMode="External"/><Relationship Id="rId31" Type="http://schemas.openxmlformats.org/officeDocument/2006/relationships/hyperlink" Target="https://www.legislation.gov.uk/ukpga/1998/37/section/116" TargetMode="External"/><Relationship Id="rId44" Type="http://schemas.openxmlformats.org/officeDocument/2006/relationships/hyperlink" Target="https://ico.org.uk/for-the-public/getting-copies-of-your-information-subject-access-request/why-organisations-might-partially-or-fully-refuse-a-subject-access-request/" TargetMode="External"/><Relationship Id="rId52" Type="http://schemas.openxmlformats.org/officeDocument/2006/relationships/hyperlink" Target="https://www.gmc-uk.org/ethical-guidance/ethical-guidance-for-doctors/confidentiality/disclosing-patients-personal-information-a-framework" TargetMode="External"/><Relationship Id="rId60" Type="http://schemas.openxmlformats.org/officeDocument/2006/relationships/hyperlink" Target="https://www.gov.uk/find-someones-attorney-deputy-or-guardian" TargetMode="External"/><Relationship Id="rId65" Type="http://schemas.openxmlformats.org/officeDocument/2006/relationships/hyperlink" Target="https://www.bma.org.uk/media/dydcdrxw/access-to-health-records-2025.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uk/ukpga/1988/28/contents" TargetMode="External"/><Relationship Id="rId13" Type="http://schemas.openxmlformats.org/officeDocument/2006/relationships/hyperlink" Target="https://www.legislation.gov.uk/ukpga/2005/9/contents" TargetMode="External"/><Relationship Id="rId18" Type="http://schemas.openxmlformats.org/officeDocument/2006/relationships/hyperlink" Target="https://www.england.nhs.uk/gp-online-services/support/supporting-material/patient-information-guides/" TargetMode="External"/><Relationship Id="rId39" Type="http://schemas.openxmlformats.org/officeDocument/2006/relationships/hyperlink" Target="https://www.england.nhs.uk/wp-content/uploads/2015/03/identity-verification.pdf" TargetMode="External"/><Relationship Id="rId34" Type="http://schemas.openxmlformats.org/officeDocument/2006/relationships/hyperlink" Target="https://www.bma.org.uk/pay-and-contracts/fees/fees-for-gps/fees-when-providing-insurance-reports-and-certificates" TargetMode="External"/><Relationship Id="rId50" Type="http://schemas.openxmlformats.org/officeDocument/2006/relationships/hyperlink" Target="https://ico.org.uk/for-organisations/uk-gdpr-guidance-and-resources/individual-rights/right-of-access/when-can-we-refuse-to-comply-with-a-request/" TargetMode="External"/><Relationship Id="rId55" Type="http://schemas.openxmlformats.org/officeDocument/2006/relationships/hyperlink" Target="https://digital.nhs.uk/services/nhs-app/nhs-app-guidance-for-gp-practices/guidance-on-nhs-app-features/linked-profiles-and-proxy-access" TargetMode="External"/><Relationship Id="rId7" Type="http://schemas.openxmlformats.org/officeDocument/2006/relationships/endnotes" Target="endnotes.xml"/><Relationship Id="rId71" Type="http://schemas.openxmlformats.org/officeDocument/2006/relationships/hyperlink" Target="https://www.cqc.org.uk/guidance-providers/gps/gp-mythbusters/gp-mythbuster-12-accessing-medical-records-during-inspec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OxXvUZx6Mb5Y5Wxw+fxGSxEQ==">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7638</Words>
  <Characters>43543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51079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SWANSON, David (EMPINGHAM MEDICAL CENTRE)</cp:lastModifiedBy>
  <cp:revision>4</cp:revision>
  <cp:lastPrinted>2025-11-24T15:39:00Z</cp:lastPrinted>
  <dcterms:created xsi:type="dcterms:W3CDTF">2025-11-13T15:58:00Z</dcterms:created>
  <dcterms:modified xsi:type="dcterms:W3CDTF">2025-11-27T10:24:00Z</dcterms:modified>
  <cp:category/>
</cp:coreProperties>
</file>