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31F0F7" w14:textId="77777777" w:rsidR="005A22DD" w:rsidRPr="005A22DD" w:rsidRDefault="005A22DD" w:rsidP="005A22DD">
      <w:pPr>
        <w:rPr>
          <w:b/>
          <w:bCs/>
        </w:rPr>
      </w:pPr>
      <w:r w:rsidRPr="005A22DD">
        <w:rPr>
          <w:b/>
          <w:bCs/>
        </w:rPr>
        <w:t>Right to Choose Providers (ADHD &amp; ASD Referral)</w:t>
      </w:r>
    </w:p>
    <w:p w14:paraId="4A68433F" w14:textId="46AE010A" w:rsidR="005A22DD" w:rsidRPr="005A22DD" w:rsidRDefault="005A22DD" w:rsidP="005A22DD">
      <w:r w:rsidRPr="005A22DD">
        <w:t>Right to Choose services are often private companies who are contracted to deliver services to the NHS. When choosing a Right to Choose service, it is important to consider the following points, relating to what you should expect from this process and your preferred service:</w:t>
      </w:r>
    </w:p>
    <w:p w14:paraId="1CE8B669" w14:textId="77777777" w:rsidR="005A22DD" w:rsidRPr="005A22DD" w:rsidRDefault="005A22DD" w:rsidP="005A22DD">
      <w:pPr>
        <w:rPr>
          <w:b/>
          <w:bCs/>
        </w:rPr>
      </w:pPr>
      <w:r w:rsidRPr="005A22DD">
        <w:rPr>
          <w:b/>
          <w:bCs/>
        </w:rPr>
        <w:t>Choice</w:t>
      </w:r>
    </w:p>
    <w:p w14:paraId="26AA8A8D" w14:textId="680BB4D6" w:rsidR="005A22DD" w:rsidRPr="005A22DD" w:rsidRDefault="005A22DD" w:rsidP="005A22DD">
      <w:r w:rsidRPr="005A22DD">
        <w:t>Th</w:t>
      </w:r>
      <w:r w:rsidR="005424FD">
        <w:t>e</w:t>
      </w:r>
      <w:r w:rsidRPr="005A22DD">
        <w:t xml:space="preserve"> list of providers is constantly changing, and the services’ websites are usually a good place to find out if they offer the service you need. Several services are available by searching on ‘Right to choose ASD’, ‘Right to choose ADHD’ and on sites such as </w:t>
      </w:r>
      <w:hyperlink r:id="rId5" w:history="1">
        <w:r w:rsidRPr="005A22DD">
          <w:rPr>
            <w:rStyle w:val="Hyperlink"/>
          </w:rPr>
          <w:t>ADHD UK.</w:t>
        </w:r>
      </w:hyperlink>
    </w:p>
    <w:p w14:paraId="779203BC" w14:textId="77777777" w:rsidR="005A22DD" w:rsidRPr="005A22DD" w:rsidRDefault="005A22DD" w:rsidP="005A22DD">
      <w:pPr>
        <w:rPr>
          <w:b/>
          <w:bCs/>
        </w:rPr>
      </w:pPr>
      <w:r w:rsidRPr="005A22DD">
        <w:rPr>
          <w:b/>
          <w:bCs/>
        </w:rPr>
        <w:t>Referral</w:t>
      </w:r>
    </w:p>
    <w:p w14:paraId="37A62C33" w14:textId="64FBDC7A" w:rsidR="005A22DD" w:rsidRDefault="005A22DD" w:rsidP="005A22DD">
      <w:r w:rsidRPr="005A22DD">
        <w:t xml:space="preserve">The number of Right to Choose services is ever growing and each service may have its own referral process. Most providers need a core set of information, </w:t>
      </w:r>
      <w:r w:rsidR="00BA6701">
        <w:t>you</w:t>
      </w:r>
      <w:r w:rsidRPr="005A22DD">
        <w:t xml:space="preserve"> will </w:t>
      </w:r>
      <w:r w:rsidR="00BA6701">
        <w:t>need</w:t>
      </w:r>
      <w:r w:rsidRPr="005A22DD">
        <w:t xml:space="preserve"> to complete a referral questionnaire </w:t>
      </w:r>
      <w:r w:rsidR="00BA6701">
        <w:t>provided by them</w:t>
      </w:r>
      <w:r w:rsidRPr="005A22DD">
        <w:t>, a</w:t>
      </w:r>
      <w:r w:rsidR="00BA6701">
        <w:t>nd a</w:t>
      </w:r>
      <w:r w:rsidRPr="005A22DD">
        <w:t xml:space="preserve"> self-assessment score as part of a standardised referral. If the service needs additional information, they can request it from the practice or by asking you directly.</w:t>
      </w:r>
    </w:p>
    <w:p w14:paraId="2135170D" w14:textId="00B764CD" w:rsidR="001747CD" w:rsidRPr="005A22DD" w:rsidRDefault="001747CD" w:rsidP="005A22DD">
      <w:r w:rsidRPr="001747CD">
        <w:t>Some ADHD/ASD clinics may ask your GP to perform tests like blood tests, ECGs (heart tracings), or weight and height measurements</w:t>
      </w:r>
      <w:r>
        <w:t xml:space="preserve"> as part of the referral process</w:t>
      </w:r>
      <w:r w:rsidR="00BA6701">
        <w:t xml:space="preserve"> or before starting medication</w:t>
      </w:r>
      <w:r>
        <w:t xml:space="preserve">. </w:t>
      </w:r>
      <w:r w:rsidRPr="005A22DD">
        <w:t>However, these tests are the responsibility of the service and should be arranged by them to support their own assessment.</w:t>
      </w:r>
    </w:p>
    <w:p w14:paraId="7CFA5F64" w14:textId="77777777" w:rsidR="005A22DD" w:rsidRDefault="005A22DD" w:rsidP="005A22DD">
      <w:pPr>
        <w:rPr>
          <w:b/>
          <w:bCs/>
        </w:rPr>
      </w:pPr>
      <w:r w:rsidRPr="005A22DD">
        <w:rPr>
          <w:b/>
          <w:bCs/>
        </w:rPr>
        <w:t>Diagnosis, medication and follow-up</w:t>
      </w:r>
    </w:p>
    <w:p w14:paraId="71F31E30" w14:textId="77777777" w:rsidR="005A22DD" w:rsidRDefault="005A22DD" w:rsidP="005A22DD">
      <w:r w:rsidRPr="005A22DD">
        <w:t>It is important to understand that many of the Right to Choose services can offer diagnosis but are often unable to prescribe medication, even if deemed appropriate. This means that you may be able to obtain a diagnosis, but often you will need a </w:t>
      </w:r>
      <w:r w:rsidRPr="00CE67B8">
        <w:t>further</w:t>
      </w:r>
      <w:r w:rsidRPr="005A22DD">
        <w:t> referral to a local NHS service should they recommend you need to start medication to control your symptoms.</w:t>
      </w:r>
    </w:p>
    <w:p w14:paraId="4C7B3A29" w14:textId="2E732138" w:rsidR="00BA6701" w:rsidRPr="005A22DD" w:rsidRDefault="00BA6701" w:rsidP="005A22DD">
      <w:r w:rsidRPr="005A22DD">
        <w:t>Some people still opt for a Right to Choose service as they feel a diagnosis would be enough to request further support from educational institutions or employers, and many do not require medication.</w:t>
      </w:r>
    </w:p>
    <w:p w14:paraId="6ABDABF5" w14:textId="50754956" w:rsidR="00580D93" w:rsidRDefault="005A22DD" w:rsidP="005A22DD">
      <w:r w:rsidRPr="005A22DD">
        <w:t>Before a local service will take over your care, they may require you to complete their own assessment as not all assessments carried out by Right to Choose services are universally accepted and this may delay further treatment and follow up.  Unfortunately, this is not something which can be easily avoided as most medications suggested for these conditions are ones that GPs do not prescribe without the support of a specialist clinic under a ‘Shared Care Agreement’</w:t>
      </w:r>
      <w:r w:rsidRPr="001747CD">
        <w:t xml:space="preserve">. </w:t>
      </w:r>
      <w:r w:rsidR="00BA6701" w:rsidRPr="003B3FD9">
        <w:t>Your GP cannot prescribe ADHD medication until you have been diagnosed and started on medication by a trained mental health specialist. The specialist will decide on the right medication and dose for you. </w:t>
      </w:r>
    </w:p>
    <w:p w14:paraId="4D479D47" w14:textId="37EE3456" w:rsidR="00BA6701" w:rsidRPr="003B3FD9" w:rsidRDefault="00BA6701" w:rsidP="00BA6701">
      <w:pPr>
        <w:rPr>
          <w:b/>
          <w:bCs/>
        </w:rPr>
      </w:pPr>
      <w:r w:rsidRPr="003B3FD9">
        <w:rPr>
          <w:b/>
          <w:bCs/>
        </w:rPr>
        <w:t>Stabilisation Period:</w:t>
      </w:r>
    </w:p>
    <w:p w14:paraId="4F6991A5" w14:textId="77777777" w:rsidR="00BA6701" w:rsidRPr="003B3FD9" w:rsidRDefault="00BA6701" w:rsidP="00BA6701">
      <w:r w:rsidRPr="003B3FD9">
        <w:t>You must remain on the same medication and dose for at least 3–6 months</w:t>
      </w:r>
      <w:r w:rsidRPr="003B3FD9">
        <w:rPr>
          <w:b/>
          <w:bCs/>
          <w:u w:val="single"/>
        </w:rPr>
        <w:t>.</w:t>
      </w:r>
      <w:r w:rsidRPr="003B3FD9">
        <w:t xml:space="preserve"> This allows time for the specialist to evaluate its effectiveness and how well its tolerated. Your specialist will adjust (titrate) your dose if needed during this time. </w:t>
      </w:r>
    </w:p>
    <w:p w14:paraId="4E9A1261" w14:textId="77777777" w:rsidR="008F20B0" w:rsidRDefault="008F20B0" w:rsidP="005A22DD"/>
    <w:p w14:paraId="66DAF179" w14:textId="25A1294F" w:rsidR="00580D93" w:rsidRDefault="00580D93" w:rsidP="005A22DD">
      <w:pPr>
        <w:rPr>
          <w:b/>
          <w:bCs/>
        </w:rPr>
      </w:pPr>
      <w:r w:rsidRPr="00580D93">
        <w:rPr>
          <w:b/>
          <w:bCs/>
        </w:rPr>
        <w:t xml:space="preserve">Shared Care Agreement </w:t>
      </w:r>
      <w:r w:rsidR="00213D03">
        <w:rPr>
          <w:b/>
          <w:bCs/>
        </w:rPr>
        <w:t>(Right to choose &amp; Private Providers)</w:t>
      </w:r>
    </w:p>
    <w:p w14:paraId="31C19A18" w14:textId="55908DC4" w:rsidR="00973AAD" w:rsidRDefault="00973AAD" w:rsidP="005A22DD">
      <w:r w:rsidRPr="00973AAD">
        <w:t xml:space="preserve">The Practice </w:t>
      </w:r>
      <w:r>
        <w:t>will</w:t>
      </w:r>
      <w:r w:rsidRPr="00973AAD">
        <w:t xml:space="preserve"> enter into a shared care agreement for prescribing and monitoring following a diagnosis of ADHD or </w:t>
      </w:r>
      <w:r>
        <w:t>ASD</w:t>
      </w:r>
      <w:r w:rsidRPr="00973AAD">
        <w:t>; however, this will be assessed on a case-by-case basis and remains at the discretion of the Practice. Any request for shared care must come from a reputable and recognised private or NHS provider, and the patient must remain under the ongoing care and supervision of the specialist team for the agreement to remain valid. This ensures that prescribing and monitoring responsibilities are managed safely, appropriately, and in line with clinical best practice.</w:t>
      </w:r>
    </w:p>
    <w:p w14:paraId="55952ED0" w14:textId="77777777" w:rsidR="00BA6701" w:rsidRDefault="00BA6701" w:rsidP="005A22DD"/>
    <w:p w14:paraId="30F0F536" w14:textId="76F5ACF2" w:rsidR="00580D93" w:rsidRPr="00580D93" w:rsidRDefault="00580D93" w:rsidP="005A22DD">
      <w:pPr>
        <w:rPr>
          <w:b/>
          <w:bCs/>
        </w:rPr>
      </w:pPr>
      <w:r w:rsidRPr="00580D93">
        <w:rPr>
          <w:b/>
          <w:bCs/>
        </w:rPr>
        <w:lastRenderedPageBreak/>
        <w:t xml:space="preserve">Waiting Times </w:t>
      </w:r>
    </w:p>
    <w:p w14:paraId="452BFE88" w14:textId="4EC56BB3" w:rsidR="005A22DD" w:rsidRPr="005A22DD" w:rsidRDefault="005A22DD" w:rsidP="005A22DD">
      <w:r w:rsidRPr="005A22DD">
        <w:t xml:space="preserve">Your GP has no control over the waiting times for local NHS assessments, but we are aware that some waiting times nationally have been stated to be as long as 7 years. </w:t>
      </w:r>
    </w:p>
    <w:p w14:paraId="43D08FDB" w14:textId="77777777" w:rsidR="005A22DD" w:rsidRPr="005A22DD" w:rsidRDefault="005A22DD" w:rsidP="005A22DD">
      <w:pPr>
        <w:rPr>
          <w:b/>
          <w:bCs/>
        </w:rPr>
      </w:pPr>
      <w:r w:rsidRPr="005A22DD">
        <w:rPr>
          <w:b/>
          <w:bCs/>
        </w:rPr>
        <w:t>Other things to consider</w:t>
      </w:r>
    </w:p>
    <w:p w14:paraId="332BA657" w14:textId="12DCEBB9" w:rsidR="005A22DD" w:rsidRPr="005A22DD" w:rsidRDefault="005A22DD" w:rsidP="005A22DD">
      <w:r w:rsidRPr="005A22DD">
        <w:t xml:space="preserve">It is important to recognise that as many </w:t>
      </w:r>
      <w:proofErr w:type="gramStart"/>
      <w:r w:rsidRPr="005A22DD">
        <w:t>Right</w:t>
      </w:r>
      <w:proofErr w:type="gramEnd"/>
      <w:r w:rsidRPr="005A22DD">
        <w:t xml:space="preserve"> to Choose ADHD/ASD services operate as independent businesses, their ability to provide you with specialist care may suddenly cease if they stop trading or lose their NHS contract. This is another reason </w:t>
      </w:r>
      <w:r w:rsidR="00477B48">
        <w:t>it is</w:t>
      </w:r>
      <w:r w:rsidRPr="005A22DD">
        <w:t xml:space="preserve"> consider unsafe to prescribe on their behalf, given the requirement for ongoing review and monitoring of both your condition and specialist medication.</w:t>
      </w:r>
    </w:p>
    <w:p w14:paraId="2C993305" w14:textId="6C82E1D0" w:rsidR="005A22DD" w:rsidRDefault="005A22DD" w:rsidP="005A22DD">
      <w:r w:rsidRPr="005A22DD">
        <w:t>When you are choosing your Right to Choose provider, you may find it useful to use this information to support your decision making, and to share these details with your chosen provider so that they are aware that their duty.</w:t>
      </w:r>
    </w:p>
    <w:p w14:paraId="37BCF84D" w14:textId="315B4C0E" w:rsidR="00BA6701" w:rsidRDefault="00BA6701" w:rsidP="005A22DD">
      <w:pPr>
        <w:rPr>
          <w:b/>
          <w:bCs/>
        </w:rPr>
      </w:pPr>
      <w:r w:rsidRPr="00BA6701">
        <w:rPr>
          <w:b/>
          <w:bCs/>
        </w:rPr>
        <w:t>Ongoing Care</w:t>
      </w:r>
    </w:p>
    <w:p w14:paraId="67AEA064" w14:textId="77777777" w:rsidR="00BA6701" w:rsidRPr="003B3FD9" w:rsidRDefault="00BA6701" w:rsidP="00BA6701">
      <w:r w:rsidRPr="003B3FD9">
        <w:t>You must attend regular follow-up appointments with your specialist to continue receiving your medication. </w:t>
      </w:r>
    </w:p>
    <w:p w14:paraId="314C14E4" w14:textId="77777777" w:rsidR="00BA6701" w:rsidRPr="003B3FD9" w:rsidRDefault="00BA6701" w:rsidP="00BA6701">
      <w:r w:rsidRPr="003B3FD9">
        <w:t>If you miss these check-ups or if your specialist stops providing them, your GP may not be able to continue your prescription. </w:t>
      </w:r>
    </w:p>
    <w:p w14:paraId="4ECA4346" w14:textId="5A7CD697" w:rsidR="00BA6701" w:rsidRPr="003B3FD9" w:rsidRDefault="00BA6701" w:rsidP="00BA6701">
      <w:r w:rsidRPr="003B3FD9">
        <w:t>You must attend regular ongoing monitoring with your specialist, or if agreed</w:t>
      </w:r>
      <w:r>
        <w:t xml:space="preserve"> via a Shared Care Agreement</w:t>
      </w:r>
      <w:r w:rsidRPr="003B3FD9">
        <w:t>, with the GP surgery</w:t>
      </w:r>
    </w:p>
    <w:p w14:paraId="0049EED2" w14:textId="77777777" w:rsidR="00BA6701" w:rsidRPr="00BA6701" w:rsidRDefault="00BA6701" w:rsidP="005A22DD">
      <w:pPr>
        <w:rPr>
          <w:b/>
          <w:bCs/>
        </w:rPr>
      </w:pPr>
    </w:p>
    <w:p w14:paraId="0C471160" w14:textId="77777777" w:rsidR="005A22DD" w:rsidRPr="005A22DD" w:rsidRDefault="005A22DD" w:rsidP="005A22DD">
      <w:r w:rsidRPr="005A22DD">
        <w:t>For more information and support services available, please visit:</w:t>
      </w:r>
    </w:p>
    <w:p w14:paraId="1D723917" w14:textId="77777777" w:rsidR="005A22DD" w:rsidRPr="005A22DD" w:rsidRDefault="005A22DD" w:rsidP="005A22DD">
      <w:hyperlink r:id="rId6" w:history="1">
        <w:r w:rsidRPr="005A22DD">
          <w:rPr>
            <w:rStyle w:val="Hyperlink"/>
            <w:b/>
            <w:bCs/>
          </w:rPr>
          <w:t>www.adhduk.co.uk</w:t>
        </w:r>
      </w:hyperlink>
    </w:p>
    <w:p w14:paraId="4204D716" w14:textId="77777777" w:rsidR="005A22DD" w:rsidRPr="005A22DD" w:rsidRDefault="005A22DD" w:rsidP="005A22DD">
      <w:hyperlink r:id="rId7" w:history="1">
        <w:r w:rsidRPr="005A22DD">
          <w:rPr>
            <w:rStyle w:val="Hyperlink"/>
            <w:b/>
            <w:bCs/>
          </w:rPr>
          <w:t>www.nhs.uk/conditions/attention-deficit-hyperactivity-disorder-adhd</w:t>
        </w:r>
      </w:hyperlink>
    </w:p>
    <w:p w14:paraId="4EBC3584" w14:textId="77777777" w:rsidR="005A22DD" w:rsidRPr="005A22DD" w:rsidRDefault="005A22DD" w:rsidP="005A22DD">
      <w:hyperlink r:id="rId8" w:history="1">
        <w:r w:rsidRPr="005A22DD">
          <w:rPr>
            <w:rStyle w:val="Hyperlink"/>
            <w:b/>
            <w:bCs/>
          </w:rPr>
          <w:t>www.autism.org.uk</w:t>
        </w:r>
      </w:hyperlink>
    </w:p>
    <w:p w14:paraId="255DF095" w14:textId="77777777" w:rsidR="005A22DD" w:rsidRPr="005A22DD" w:rsidRDefault="005A22DD" w:rsidP="005A22DD">
      <w:hyperlink r:id="rId9" w:history="1">
        <w:r w:rsidRPr="005A22DD">
          <w:rPr>
            <w:rStyle w:val="Hyperlink"/>
            <w:b/>
            <w:bCs/>
          </w:rPr>
          <w:t>www.nhs.uk/conditions/autism</w:t>
        </w:r>
      </w:hyperlink>
    </w:p>
    <w:p w14:paraId="6F655493" w14:textId="77777777" w:rsidR="00C9191F" w:rsidRDefault="00C9191F"/>
    <w:sectPr w:rsidR="00C9191F" w:rsidSect="00BA670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1B24C7"/>
    <w:multiLevelType w:val="multilevel"/>
    <w:tmpl w:val="64E8B8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915862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2DD"/>
    <w:rsid w:val="000A61EC"/>
    <w:rsid w:val="001747CD"/>
    <w:rsid w:val="001D282B"/>
    <w:rsid w:val="00207B8E"/>
    <w:rsid w:val="00213D03"/>
    <w:rsid w:val="00285951"/>
    <w:rsid w:val="00314959"/>
    <w:rsid w:val="00477B48"/>
    <w:rsid w:val="005424FD"/>
    <w:rsid w:val="00580D93"/>
    <w:rsid w:val="005A22DD"/>
    <w:rsid w:val="008F20B0"/>
    <w:rsid w:val="009373C9"/>
    <w:rsid w:val="00973AAD"/>
    <w:rsid w:val="00BA6701"/>
    <w:rsid w:val="00C9191F"/>
    <w:rsid w:val="00CE67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07B86"/>
  <w15:chartTrackingRefBased/>
  <w15:docId w15:val="{EFED3F91-A928-432C-A139-350B9FA382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A22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A22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A22D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A22D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22D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22D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22D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22D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22D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22D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A22D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A22D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A22D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22D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22D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22D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22D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22DD"/>
    <w:rPr>
      <w:rFonts w:eastAsiaTheme="majorEastAsia" w:cstheme="majorBidi"/>
      <w:color w:val="272727" w:themeColor="text1" w:themeTint="D8"/>
    </w:rPr>
  </w:style>
  <w:style w:type="paragraph" w:styleId="Title">
    <w:name w:val="Title"/>
    <w:basedOn w:val="Normal"/>
    <w:next w:val="Normal"/>
    <w:link w:val="TitleChar"/>
    <w:uiPriority w:val="10"/>
    <w:qFormat/>
    <w:rsid w:val="005A22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22D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22D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22D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22DD"/>
    <w:pPr>
      <w:spacing w:before="160"/>
      <w:jc w:val="center"/>
    </w:pPr>
    <w:rPr>
      <w:i/>
      <w:iCs/>
      <w:color w:val="404040" w:themeColor="text1" w:themeTint="BF"/>
    </w:rPr>
  </w:style>
  <w:style w:type="character" w:customStyle="1" w:styleId="QuoteChar">
    <w:name w:val="Quote Char"/>
    <w:basedOn w:val="DefaultParagraphFont"/>
    <w:link w:val="Quote"/>
    <w:uiPriority w:val="29"/>
    <w:rsid w:val="005A22DD"/>
    <w:rPr>
      <w:i/>
      <w:iCs/>
      <w:color w:val="404040" w:themeColor="text1" w:themeTint="BF"/>
    </w:rPr>
  </w:style>
  <w:style w:type="paragraph" w:styleId="ListParagraph">
    <w:name w:val="List Paragraph"/>
    <w:basedOn w:val="Normal"/>
    <w:uiPriority w:val="34"/>
    <w:qFormat/>
    <w:rsid w:val="005A22DD"/>
    <w:pPr>
      <w:ind w:left="720"/>
      <w:contextualSpacing/>
    </w:pPr>
  </w:style>
  <w:style w:type="character" w:styleId="IntenseEmphasis">
    <w:name w:val="Intense Emphasis"/>
    <w:basedOn w:val="DefaultParagraphFont"/>
    <w:uiPriority w:val="21"/>
    <w:qFormat/>
    <w:rsid w:val="005A22DD"/>
    <w:rPr>
      <w:i/>
      <w:iCs/>
      <w:color w:val="0F4761" w:themeColor="accent1" w:themeShade="BF"/>
    </w:rPr>
  </w:style>
  <w:style w:type="paragraph" w:styleId="IntenseQuote">
    <w:name w:val="Intense Quote"/>
    <w:basedOn w:val="Normal"/>
    <w:next w:val="Normal"/>
    <w:link w:val="IntenseQuoteChar"/>
    <w:uiPriority w:val="30"/>
    <w:qFormat/>
    <w:rsid w:val="005A22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22DD"/>
    <w:rPr>
      <w:i/>
      <w:iCs/>
      <w:color w:val="0F4761" w:themeColor="accent1" w:themeShade="BF"/>
    </w:rPr>
  </w:style>
  <w:style w:type="character" w:styleId="IntenseReference">
    <w:name w:val="Intense Reference"/>
    <w:basedOn w:val="DefaultParagraphFont"/>
    <w:uiPriority w:val="32"/>
    <w:qFormat/>
    <w:rsid w:val="005A22DD"/>
    <w:rPr>
      <w:b/>
      <w:bCs/>
      <w:smallCaps/>
      <w:color w:val="0F4761" w:themeColor="accent1" w:themeShade="BF"/>
      <w:spacing w:val="5"/>
    </w:rPr>
  </w:style>
  <w:style w:type="character" w:styleId="Hyperlink">
    <w:name w:val="Hyperlink"/>
    <w:basedOn w:val="DefaultParagraphFont"/>
    <w:uiPriority w:val="99"/>
    <w:unhideWhenUsed/>
    <w:rsid w:val="005A22DD"/>
    <w:rPr>
      <w:color w:val="467886" w:themeColor="hyperlink"/>
      <w:u w:val="single"/>
    </w:rPr>
  </w:style>
  <w:style w:type="character" w:styleId="UnresolvedMention">
    <w:name w:val="Unresolved Mention"/>
    <w:basedOn w:val="DefaultParagraphFont"/>
    <w:uiPriority w:val="99"/>
    <w:semiHidden/>
    <w:unhideWhenUsed/>
    <w:rsid w:val="005A22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768303">
      <w:bodyDiv w:val="1"/>
      <w:marLeft w:val="0"/>
      <w:marRight w:val="0"/>
      <w:marTop w:val="0"/>
      <w:marBottom w:val="0"/>
      <w:divBdr>
        <w:top w:val="none" w:sz="0" w:space="0" w:color="auto"/>
        <w:left w:val="none" w:sz="0" w:space="0" w:color="auto"/>
        <w:bottom w:val="none" w:sz="0" w:space="0" w:color="auto"/>
        <w:right w:val="none" w:sz="0" w:space="0" w:color="auto"/>
      </w:divBdr>
      <w:divsChild>
        <w:div w:id="939408639">
          <w:marLeft w:val="0"/>
          <w:marRight w:val="0"/>
          <w:marTop w:val="360"/>
          <w:marBottom w:val="0"/>
          <w:divBdr>
            <w:top w:val="none" w:sz="0" w:space="0" w:color="auto"/>
            <w:left w:val="none" w:sz="0" w:space="0" w:color="auto"/>
            <w:bottom w:val="none" w:sz="0" w:space="0" w:color="auto"/>
            <w:right w:val="none" w:sz="0" w:space="0" w:color="auto"/>
          </w:divBdr>
          <w:divsChild>
            <w:div w:id="2138790220">
              <w:marLeft w:val="0"/>
              <w:marRight w:val="0"/>
              <w:marTop w:val="0"/>
              <w:marBottom w:val="600"/>
              <w:divBdr>
                <w:top w:val="none" w:sz="0" w:space="0" w:color="auto"/>
                <w:left w:val="none" w:sz="0" w:space="0" w:color="auto"/>
                <w:bottom w:val="none" w:sz="0" w:space="0" w:color="auto"/>
                <w:right w:val="none" w:sz="0" w:space="0" w:color="auto"/>
              </w:divBdr>
            </w:div>
            <w:div w:id="1214193621">
              <w:marLeft w:val="0"/>
              <w:marRight w:val="0"/>
              <w:marTop w:val="0"/>
              <w:marBottom w:val="600"/>
              <w:divBdr>
                <w:top w:val="none" w:sz="0" w:space="0" w:color="auto"/>
                <w:left w:val="none" w:sz="0" w:space="0" w:color="auto"/>
                <w:bottom w:val="none" w:sz="0" w:space="0" w:color="auto"/>
                <w:right w:val="none" w:sz="0" w:space="0" w:color="auto"/>
              </w:divBdr>
            </w:div>
            <w:div w:id="773404484">
              <w:marLeft w:val="0"/>
              <w:marRight w:val="0"/>
              <w:marTop w:val="0"/>
              <w:marBottom w:val="600"/>
              <w:divBdr>
                <w:top w:val="none" w:sz="0" w:space="0" w:color="auto"/>
                <w:left w:val="none" w:sz="0" w:space="0" w:color="auto"/>
                <w:bottom w:val="none" w:sz="0" w:space="0" w:color="auto"/>
                <w:right w:val="none" w:sz="0" w:space="0" w:color="auto"/>
              </w:divBdr>
            </w:div>
            <w:div w:id="1438911690">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 w:id="774135129">
      <w:bodyDiv w:val="1"/>
      <w:marLeft w:val="0"/>
      <w:marRight w:val="0"/>
      <w:marTop w:val="0"/>
      <w:marBottom w:val="0"/>
      <w:divBdr>
        <w:top w:val="none" w:sz="0" w:space="0" w:color="auto"/>
        <w:left w:val="none" w:sz="0" w:space="0" w:color="auto"/>
        <w:bottom w:val="none" w:sz="0" w:space="0" w:color="auto"/>
        <w:right w:val="none" w:sz="0" w:space="0" w:color="auto"/>
      </w:divBdr>
      <w:divsChild>
        <w:div w:id="1809127760">
          <w:marLeft w:val="0"/>
          <w:marRight w:val="0"/>
          <w:marTop w:val="360"/>
          <w:marBottom w:val="0"/>
          <w:divBdr>
            <w:top w:val="none" w:sz="0" w:space="0" w:color="auto"/>
            <w:left w:val="none" w:sz="0" w:space="0" w:color="auto"/>
            <w:bottom w:val="none" w:sz="0" w:space="0" w:color="auto"/>
            <w:right w:val="none" w:sz="0" w:space="0" w:color="auto"/>
          </w:divBdr>
          <w:divsChild>
            <w:div w:id="445202504">
              <w:marLeft w:val="0"/>
              <w:marRight w:val="0"/>
              <w:marTop w:val="0"/>
              <w:marBottom w:val="600"/>
              <w:divBdr>
                <w:top w:val="none" w:sz="0" w:space="0" w:color="auto"/>
                <w:left w:val="none" w:sz="0" w:space="0" w:color="auto"/>
                <w:bottom w:val="none" w:sz="0" w:space="0" w:color="auto"/>
                <w:right w:val="none" w:sz="0" w:space="0" w:color="auto"/>
              </w:divBdr>
            </w:div>
            <w:div w:id="835609484">
              <w:marLeft w:val="0"/>
              <w:marRight w:val="0"/>
              <w:marTop w:val="0"/>
              <w:marBottom w:val="600"/>
              <w:divBdr>
                <w:top w:val="none" w:sz="0" w:space="0" w:color="auto"/>
                <w:left w:val="none" w:sz="0" w:space="0" w:color="auto"/>
                <w:bottom w:val="none" w:sz="0" w:space="0" w:color="auto"/>
                <w:right w:val="none" w:sz="0" w:space="0" w:color="auto"/>
              </w:divBdr>
            </w:div>
            <w:div w:id="370108853">
              <w:marLeft w:val="0"/>
              <w:marRight w:val="0"/>
              <w:marTop w:val="0"/>
              <w:marBottom w:val="600"/>
              <w:divBdr>
                <w:top w:val="none" w:sz="0" w:space="0" w:color="auto"/>
                <w:left w:val="none" w:sz="0" w:space="0" w:color="auto"/>
                <w:bottom w:val="none" w:sz="0" w:space="0" w:color="auto"/>
                <w:right w:val="none" w:sz="0" w:space="0" w:color="auto"/>
              </w:divBdr>
            </w:div>
            <w:div w:id="1966154861">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utism.org.uk/" TargetMode="External"/><Relationship Id="rId3" Type="http://schemas.openxmlformats.org/officeDocument/2006/relationships/settings" Target="settings.xml"/><Relationship Id="rId7" Type="http://schemas.openxmlformats.org/officeDocument/2006/relationships/hyperlink" Target="https://www.nhs.uk/conditions/attention-deficit-hyperactivity-disorder-adh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dhduk.co.uk/" TargetMode="External"/><Relationship Id="rId11" Type="http://schemas.openxmlformats.org/officeDocument/2006/relationships/theme" Target="theme/theme1.xml"/><Relationship Id="rId5" Type="http://schemas.openxmlformats.org/officeDocument/2006/relationships/hyperlink" Target="https://adhduk.co.uk/right-to-choos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hs.uk/conditions/autis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777</Words>
  <Characters>4429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O'BRIEN, Rachael (BODEY MEDICAL CENTRE)</dc:creator>
  <cp:keywords/>
  <dc:description/>
  <cp:lastModifiedBy>O'BRIEN, Rachael (BODEY MEDICAL CENTRE)</cp:lastModifiedBy>
  <cp:revision>2</cp:revision>
  <dcterms:created xsi:type="dcterms:W3CDTF">2025-10-03T13:56:00Z</dcterms:created>
  <dcterms:modified xsi:type="dcterms:W3CDTF">2025-10-03T13:56:00Z</dcterms:modified>
</cp:coreProperties>
</file>