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E8000" w14:textId="77777777" w:rsidR="00BF0629" w:rsidRDefault="00BF0629"/>
    <w:p w14:paraId="77D51C10" w14:textId="55C61E1F" w:rsidR="0013507A" w:rsidRDefault="0013507A">
      <w:r>
        <w:t>This privacy notice explains why</w:t>
      </w:r>
      <w:r w:rsidR="00805E70">
        <w:t xml:space="preserve"> Weaver Vale Surgery</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lastRenderedPageBreak/>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805E70" w:rsidRDefault="00CA7693" w:rsidP="008040A0">
      <w:pPr>
        <w:pStyle w:val="NoSpacing"/>
        <w:numPr>
          <w:ilvl w:val="0"/>
          <w:numId w:val="5"/>
        </w:numPr>
      </w:pPr>
      <w:r w:rsidRPr="00805E70">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Clinical systems (EMIS Web/TPP – SystemOne)</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51C73F51"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35C955DD" w14:textId="77777777" w:rsidR="00805E70" w:rsidRDefault="00805E70" w:rsidP="00805E70">
      <w:pPr>
        <w:pStyle w:val="NoSpacing"/>
        <w:ind w:left="360"/>
      </w:pPr>
    </w:p>
    <w:p w14:paraId="47862656" w14:textId="5363AF00" w:rsidR="00D5163C" w:rsidRPr="00805E70" w:rsidRDefault="00D5163C" w:rsidP="00D5163C">
      <w:pPr>
        <w:pStyle w:val="NoSpacing"/>
        <w:numPr>
          <w:ilvl w:val="1"/>
          <w:numId w:val="25"/>
        </w:numPr>
      </w:pPr>
      <w:r w:rsidRPr="00805E70">
        <w:t>EMIS Web</w:t>
      </w:r>
    </w:p>
    <w:p w14:paraId="3B95963E" w14:textId="6FCE2F13" w:rsidR="00D5163C" w:rsidRPr="00805E70" w:rsidRDefault="00D5163C" w:rsidP="00D5163C">
      <w:pPr>
        <w:pStyle w:val="NoSpacing"/>
        <w:numPr>
          <w:ilvl w:val="1"/>
          <w:numId w:val="25"/>
        </w:numPr>
      </w:pPr>
      <w:proofErr w:type="spellStart"/>
      <w:r w:rsidRPr="00805E70">
        <w:t>Docman</w:t>
      </w:r>
      <w:proofErr w:type="spellEnd"/>
      <w:r w:rsidRPr="00805E70">
        <w:t xml:space="preserve"> clinical systems</w:t>
      </w:r>
    </w:p>
    <w:p w14:paraId="5AC16F06" w14:textId="44FA7F8A" w:rsidR="00D5163C" w:rsidRPr="00805E70" w:rsidRDefault="00D5163C" w:rsidP="00D5163C">
      <w:pPr>
        <w:pStyle w:val="NoSpacing"/>
        <w:numPr>
          <w:ilvl w:val="1"/>
          <w:numId w:val="25"/>
        </w:numPr>
      </w:pPr>
      <w:r w:rsidRPr="00805E70">
        <w:t>Accurx</w:t>
      </w:r>
    </w:p>
    <w:p w14:paraId="4B30F4BD" w14:textId="24F6F6D0" w:rsidR="00D5163C" w:rsidRPr="00805E70" w:rsidRDefault="00D5163C" w:rsidP="00D5163C">
      <w:pPr>
        <w:pStyle w:val="NoSpacing"/>
        <w:numPr>
          <w:ilvl w:val="1"/>
          <w:numId w:val="25"/>
        </w:numPr>
      </w:pPr>
      <w:proofErr w:type="spellStart"/>
      <w:r w:rsidRPr="00805E70">
        <w:t>Scriptswitch</w:t>
      </w:r>
      <w:proofErr w:type="spellEnd"/>
    </w:p>
    <w:p w14:paraId="52E4CD58" w14:textId="77777777" w:rsidR="00BE742F" w:rsidRDefault="00BE742F" w:rsidP="00205D4A">
      <w:pPr>
        <w:pStyle w:val="NoSpacing"/>
      </w:pPr>
    </w:p>
    <w:p w14:paraId="55CD9C89" w14:textId="77777777" w:rsidR="00533525" w:rsidRDefault="00533525" w:rsidP="00205D4A">
      <w:pPr>
        <w:pStyle w:val="NoSpacing"/>
      </w:pPr>
    </w:p>
    <w:p w14:paraId="4411CE0A" w14:textId="52C5DD68"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0083F0F4" w14:textId="77777777" w:rsidR="00805E70" w:rsidRDefault="00805E70" w:rsidP="00805E70">
      <w:pPr>
        <w:pStyle w:val="NoSpacing"/>
        <w:ind w:left="360"/>
      </w:pPr>
    </w:p>
    <w:p w14:paraId="238765A4" w14:textId="1EC3887E" w:rsidR="00344554" w:rsidRPr="00805E70" w:rsidRDefault="00805E70" w:rsidP="00344554">
      <w:pPr>
        <w:pStyle w:val="NoSpacing"/>
        <w:numPr>
          <w:ilvl w:val="1"/>
          <w:numId w:val="11"/>
        </w:numPr>
      </w:pPr>
      <w:r w:rsidRPr="00805E70">
        <w:t>Bowe</w:t>
      </w:r>
      <w:r w:rsidR="00B673CE" w:rsidRPr="00805E70">
        <w:t xml:space="preserve">l cancer, breast cancer, cervical cancer, aortic aneurysms, diabetic eye screening, </w:t>
      </w:r>
    </w:p>
    <w:p w14:paraId="3C53451F" w14:textId="77777777" w:rsidR="00EB615F" w:rsidRPr="00B673CE" w:rsidRDefault="00EB615F" w:rsidP="00EB615F">
      <w:pPr>
        <w:pStyle w:val="NoSpacing"/>
        <w:ind w:left="1080"/>
        <w:rPr>
          <w:highlight w:val="yellow"/>
        </w:rPr>
      </w:pPr>
    </w:p>
    <w:p w14:paraId="57DB2286" w14:textId="7C592B92" w:rsidR="00EB615F" w:rsidRPr="00805E70" w:rsidRDefault="00B16937" w:rsidP="00D80BA4">
      <w:pPr>
        <w:pStyle w:val="NoSpacing"/>
        <w:numPr>
          <w:ilvl w:val="0"/>
          <w:numId w:val="11"/>
        </w:numPr>
      </w:pPr>
      <w:r w:rsidRPr="00805E70">
        <w:lastRenderedPageBreak/>
        <w:t xml:space="preserve">Where </w:t>
      </w:r>
      <w:r w:rsidR="00D8383F" w:rsidRPr="00805E70">
        <w:t>research</w:t>
      </w:r>
      <w:r w:rsidRPr="00805E70">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805E70">
        <w:t>with consent.</w:t>
      </w:r>
    </w:p>
    <w:p w14:paraId="251D367D" w14:textId="77777777" w:rsidR="00EB615F" w:rsidRDefault="00EB615F" w:rsidP="00EB615F">
      <w:pPr>
        <w:pStyle w:val="NoSpacing"/>
        <w:ind w:left="360"/>
      </w:pPr>
    </w:p>
    <w:p w14:paraId="45195599" w14:textId="49B16B75" w:rsidR="00EB615F" w:rsidRPr="00805E70" w:rsidRDefault="00D8383F" w:rsidP="00D80BA4">
      <w:pPr>
        <w:pStyle w:val="NoSpacing"/>
        <w:numPr>
          <w:ilvl w:val="0"/>
          <w:numId w:val="11"/>
        </w:numPr>
      </w:pPr>
      <w:r w:rsidRPr="00805E70">
        <w:t>The Medicines Management Review</w:t>
      </w:r>
      <w:r w:rsidR="00EC2A52" w:rsidRPr="00805E70">
        <w:t xml:space="preserve">s service performs a review of prescribed medication to ensure patients receive the most appropriate up to date and cost-effective treatments.  </w:t>
      </w:r>
      <w:r w:rsidR="001768F4" w:rsidRPr="00805E70">
        <w:t>If you decide to object to this</w:t>
      </w:r>
      <w:r w:rsidR="00251F48" w:rsidRPr="00805E70">
        <w:t xml:space="preserve">, please contact the </w:t>
      </w:r>
      <w:r w:rsidR="00CA7693" w:rsidRPr="00805E70">
        <w:t>Organisation</w:t>
      </w:r>
      <w:r w:rsidR="00251F48" w:rsidRPr="00805E70">
        <w:t xml:space="preserve"> Manager; however,</w:t>
      </w:r>
      <w:r w:rsidR="001768F4" w:rsidRPr="00805E70">
        <w:t xml:space="preserve"> be aware that the result may </w:t>
      </w:r>
      <w:r w:rsidR="008A44C6" w:rsidRPr="00805E70">
        <w:t>c</w:t>
      </w:r>
      <w:r w:rsidR="00251F48" w:rsidRPr="00805E70">
        <w:t>a</w:t>
      </w:r>
      <w:r w:rsidR="008A44C6" w:rsidRPr="00805E70">
        <w:t>use a</w:t>
      </w:r>
      <w:r w:rsidR="00251F48" w:rsidRPr="00805E70">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35538D">
      <w:pPr>
        <w:pStyle w:val="NoSpacing"/>
      </w:pPr>
    </w:p>
    <w:p w14:paraId="17F13997" w14:textId="1C172D22" w:rsidR="0035538D" w:rsidRDefault="00E04A6D" w:rsidP="00E04A6D">
      <w:pPr>
        <w:pStyle w:val="Heading2"/>
      </w:pPr>
      <w:r>
        <w:t>Data sharing schemes</w:t>
      </w:r>
    </w:p>
    <w:p w14:paraId="53E2B729" w14:textId="093B6EB8"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A list of these schemes can be obtained by writing to the</w:t>
      </w:r>
      <w:r w:rsidR="00805E70">
        <w:t xml:space="preserve"> Practice Manager</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2B779D">
        <w:t xml:space="preserve">Summary Care Record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Pr="00C50231"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w:t>
      </w:r>
      <w:r w:rsidRPr="00C50231">
        <w:rPr>
          <w:rFonts w:cs="Calibri"/>
        </w:rPr>
        <w:lastRenderedPageBreak/>
        <w:t xml:space="preserve">care and means that the person involved in your care has all the information about you. The shared record means patients do not have to repeat their medical history at every care setting. </w:t>
      </w:r>
    </w:p>
    <w:p w14:paraId="5BDC7A59" w14:textId="129A9C16" w:rsidR="009E51E5" w:rsidRDefault="009E51E5" w:rsidP="002C15DE">
      <w:pPr>
        <w:pStyle w:val="ListParagraph"/>
        <w:ind w:left="360"/>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lastRenderedPageBreak/>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09FC9935" w14:textId="047EBEAA" w:rsidR="00430346" w:rsidRDefault="00430346" w:rsidP="004D76AA">
      <w:pPr>
        <w:pStyle w:val="ListParagraph"/>
        <w:numPr>
          <w:ilvl w:val="0"/>
          <w:numId w:val="18"/>
        </w:numPr>
      </w:pPr>
      <w:r>
        <w:t>Fire and Rescue services</w:t>
      </w:r>
    </w:p>
    <w:p w14:paraId="7C032F05" w14:textId="7F5B92DF" w:rsidR="007A2B73" w:rsidRDefault="003350FF" w:rsidP="007D5AFF">
      <w:pPr>
        <w:pStyle w:val="Heading1"/>
      </w:pPr>
      <w:r>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77777777" w:rsidR="00507BA3" w:rsidRPr="00507BA3" w:rsidRDefault="00507BA3" w:rsidP="00507BA3">
      <w:pPr>
        <w:spacing w:after="0"/>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14:paraId="7E1746A1" w14:textId="77777777" w:rsidR="00507BA3" w:rsidRPr="00507BA3" w:rsidRDefault="00507BA3" w:rsidP="00507BA3">
      <w:pPr>
        <w:spacing w:after="0"/>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lastRenderedPageBreak/>
        <w:t>Data being used or shared for purposes beyond individual care does not include your data being shared with insurance companies or used for marketing purposes and data would only be used in this way with your specific agreement.</w:t>
      </w:r>
    </w:p>
    <w:p w14:paraId="5F387C0A" w14:textId="3275676F"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25B03DB8" w14:textId="10D05C99" w:rsidR="00EA326E" w:rsidRPr="00805E70" w:rsidRDefault="00560F2D" w:rsidP="00443C32">
      <w:pPr>
        <w:pStyle w:val="NoSpacing"/>
        <w:numPr>
          <w:ilvl w:val="0"/>
          <w:numId w:val="20"/>
        </w:numPr>
        <w:rPr>
          <w:b/>
          <w:bCs/>
        </w:rPr>
      </w:pPr>
      <w:r w:rsidRPr="00805E70">
        <w:t>Article</w:t>
      </w:r>
      <w:r w:rsidR="00CD5CB5" w:rsidRPr="00805E70">
        <w:t xml:space="preserve"> 9(2)(j): Research </w:t>
      </w:r>
      <w:r w:rsidR="00EA326E" w:rsidRPr="00805E70">
        <w:t>– for accredited research undertaken in the surgery, with your explicit consent.</w:t>
      </w: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60783690"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lastRenderedPageBreak/>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5305A671" w14:textId="5C709B4A"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1A792463" w14:textId="67B96E8C"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0B1E9672" w:rsidR="00B46A04" w:rsidRDefault="00D5163C" w:rsidP="00B46A04">
      <w:pPr>
        <w:widowControl w:val="0"/>
        <w:autoSpaceDE w:val="0"/>
        <w:autoSpaceDN w:val="0"/>
        <w:spacing w:before="80" w:after="100" w:afterAutospacing="1" w:line="30" w:lineRule="atLeast"/>
        <w:rPr>
          <w:rFonts w:cs="Calibri"/>
        </w:rPr>
      </w:pPr>
      <w:r>
        <w:t>Since</w:t>
      </w:r>
      <w:r w:rsidR="00B46A04" w:rsidRPr="000E02EA">
        <w:t xml:space="preserve"> 1 November 202</w:t>
      </w:r>
      <w:r w:rsidR="00646D30">
        <w:t>3</w:t>
      </w:r>
      <w:r w:rsidR="00B46A04" w:rsidRPr="000E02EA">
        <w:t xml:space="preserve">, if you have online access to your medical records, you will </w:t>
      </w:r>
      <w:r>
        <w:t>have</w:t>
      </w:r>
      <w:r w:rsidR="00B46A04" w:rsidRPr="000E02EA">
        <w:t xml:space="preserve"> access to your full records (from 1 November 202</w:t>
      </w:r>
      <w:r w:rsidR="00646D30">
        <w:t>3</w:t>
      </w:r>
      <w:r w:rsidR="00B46A04" w:rsidRPr="000E02EA">
        <w:t xml:space="preserve">).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lastRenderedPageBreak/>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F30824F" w14:textId="12DB2337" w:rsidR="00303A99" w:rsidRPr="00303A99" w:rsidRDefault="00303A99" w:rsidP="00303A99">
      <w:r w:rsidRPr="00303A99">
        <w:t xml:space="preserve">The NHS Records Management Code of </w:t>
      </w:r>
      <w:r w:rsidR="00CA7693">
        <w:t>Organisation</w:t>
      </w:r>
      <w:r w:rsidRPr="00303A99">
        <w:t xml:space="preserve"> 2021 identifies will replace the 2016 version. specific retention periods which are listed in </w:t>
      </w:r>
      <w:r w:rsidRPr="00303A99">
        <w:rPr>
          <w:i/>
          <w:iCs/>
        </w:rPr>
        <w:t>Appendix II: Retention Schedule</w:t>
      </w:r>
      <w:r w:rsidRPr="00303A99">
        <w:t xml:space="preserve">. </w:t>
      </w:r>
    </w:p>
    <w:p w14:paraId="630405BC" w14:textId="438D4958" w:rsidR="00303A99" w:rsidRPr="00303A99" w:rsidRDefault="00303A99" w:rsidP="00303A99">
      <w:pPr>
        <w:widowControl w:val="0"/>
        <w:rPr>
          <w:rFonts w:cs="Calibri"/>
        </w:rPr>
      </w:pPr>
      <w:r w:rsidRPr="00303A99">
        <w:t xml:space="preserve">Please see </w:t>
      </w:r>
      <w:hyperlink r:id="rId12" w:history="1">
        <w:r w:rsidRPr="00303A99">
          <w:rPr>
            <w:rStyle w:val="Hyperlink"/>
          </w:rPr>
          <w:t>https://www.nhsx.nhs.uk/information-governance/guidance/records-management-code/records-management-code-of-</w:t>
        </w:r>
        <w:r w:rsidR="00CA7693">
          <w:rPr>
            <w:rStyle w:val="Hyperlink"/>
          </w:rPr>
          <w:t>organisation</w:t>
        </w:r>
        <w:r w:rsidRPr="00303A99">
          <w:rPr>
            <w:rStyle w:val="Hyperlink"/>
          </w:rPr>
          <w:t>-2021/</w:t>
        </w:r>
      </w:hyperlink>
      <w:r w:rsidRPr="00303A99">
        <w:t xml:space="preserve"> for a copy of the 2021 NHS retention period policy.</w:t>
      </w:r>
    </w:p>
    <w:p w14:paraId="5F7F2514" w14:textId="110BF538" w:rsidR="000069D2" w:rsidRDefault="00FA3330" w:rsidP="00B871C2">
      <w:pPr>
        <w:pStyle w:val="Heading1"/>
      </w:pPr>
      <w:r>
        <w:t>How can you complain</w:t>
      </w:r>
      <w:r w:rsidR="00DF7440">
        <w:t>?</w:t>
      </w:r>
    </w:p>
    <w:p w14:paraId="182D17CE" w14:textId="049A1AFE" w:rsidR="00DF7440" w:rsidRDefault="00DF7440" w:rsidP="00DF7440">
      <w:r>
        <w:t xml:space="preserve">If you have any concerns about </w:t>
      </w:r>
      <w:r w:rsidR="002C6F54">
        <w:t>how your data is managed</w:t>
      </w:r>
      <w:r w:rsidR="00BB294C">
        <w:t xml:space="preserve">, please contact the </w:t>
      </w:r>
      <w:r w:rsidR="00CA7693">
        <w:t>Organisation</w:t>
      </w:r>
      <w:r w:rsidR="00056EE4">
        <w:t>’s</w:t>
      </w:r>
      <w:r w:rsidR="00BB294C">
        <w:t xml:space="preserve"> Manager in the first instance.</w:t>
      </w:r>
      <w:r w:rsidR="00917DF0">
        <w:t xml:space="preserve">  </w:t>
      </w:r>
    </w:p>
    <w:p w14:paraId="4EB65779" w14:textId="13F32A0C" w:rsidR="00E117B4" w:rsidRDefault="00E117B4" w:rsidP="00DF7440">
      <w:r>
        <w:t>For independent advice about data protection, privacy and data sharing issues, you can contact</w:t>
      </w:r>
      <w:r w:rsidR="00323739">
        <w:t xml:space="preserve"> the ICO at</w:t>
      </w:r>
      <w:r>
        <w:t>:</w:t>
      </w:r>
    </w:p>
    <w:p w14:paraId="77F3453A" w14:textId="37637703" w:rsidR="00E117B4" w:rsidRDefault="009A544E" w:rsidP="00E117B4">
      <w:pPr>
        <w:pStyle w:val="NoSpacing"/>
      </w:pPr>
      <w:r>
        <w:t>The Information Commissioner</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2267282B" w14:textId="2658C43B" w:rsidR="008F46E4" w:rsidRDefault="008F46E4" w:rsidP="00E117B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4" w:history="1">
        <w:r w:rsidR="0009784C" w:rsidRPr="00285A5D">
          <w:rPr>
            <w:rStyle w:val="Hyperlink"/>
          </w:rPr>
          <w:t>DPO.healthcare@nhs.net</w:t>
        </w:r>
      </w:hyperlink>
    </w:p>
    <w:p w14:paraId="57227D08" w14:textId="366CDAC9" w:rsidR="0034621F" w:rsidRDefault="0009784C" w:rsidP="006D5FFE">
      <w:pPr>
        <w:pStyle w:val="NoSpacing"/>
      </w:pPr>
      <w:r>
        <w:t>Tel: 07946 593082</w:t>
      </w:r>
    </w:p>
    <w:p w14:paraId="19C80C49" w14:textId="77777777" w:rsidR="0034621F" w:rsidRPr="0034621F" w:rsidRDefault="0034621F" w:rsidP="0034621F">
      <w:pPr>
        <w:pStyle w:val="Heading1"/>
      </w:pPr>
      <w:r w:rsidRPr="0034621F">
        <w:t>Changes to our privacy policy</w:t>
      </w:r>
    </w:p>
    <w:p w14:paraId="58AC2283" w14:textId="05258B22"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805E70">
        <w:rPr>
          <w:rFonts w:cstheme="minorHAnsi"/>
          <w:color w:val="000000" w:themeColor="text1"/>
        </w:rPr>
        <w:t>6</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0F9C1" w14:textId="77777777" w:rsidR="001C7196" w:rsidRDefault="001C7196" w:rsidP="0013507A">
      <w:pPr>
        <w:spacing w:after="0" w:line="240" w:lineRule="auto"/>
      </w:pPr>
      <w:r>
        <w:separator/>
      </w:r>
    </w:p>
  </w:endnote>
  <w:endnote w:type="continuationSeparator" w:id="0">
    <w:p w14:paraId="354DD09F" w14:textId="77777777" w:rsidR="001C7196" w:rsidRDefault="001C7196"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43E9EA34" w:rsidR="00C675C8" w:rsidRPr="00C675C8" w:rsidRDefault="00C675C8" w:rsidP="00C675C8">
                              <w:pPr>
                                <w:pStyle w:val="Footer"/>
                                <w:rPr>
                                  <w:sz w:val="18"/>
                                  <w:szCs w:val="18"/>
                                </w:rPr>
                              </w:pPr>
                              <w:r w:rsidRPr="00C675C8">
                                <w:rPr>
                                  <w:sz w:val="18"/>
                                  <w:szCs w:val="18"/>
                                </w:rPr>
                                <w:t xml:space="preserve">Updated: </w:t>
                              </w:r>
                              <w:r w:rsidR="00805E70">
                                <w:rPr>
                                  <w:sz w:val="18"/>
                                  <w:szCs w:val="18"/>
                                </w:rPr>
                                <w:t>30 April 2025</w:t>
                              </w:r>
                            </w:p>
                            <w:p w14:paraId="354ECA31" w14:textId="1977279F" w:rsidR="00C675C8" w:rsidRPr="00C675C8" w:rsidRDefault="00C675C8" w:rsidP="00C675C8">
                              <w:pPr>
                                <w:pStyle w:val="Footer"/>
                                <w:rPr>
                                  <w:sz w:val="18"/>
                                  <w:szCs w:val="18"/>
                                </w:rPr>
                              </w:pPr>
                              <w:r w:rsidRPr="00C675C8">
                                <w:rPr>
                                  <w:sz w:val="18"/>
                                  <w:szCs w:val="18"/>
                                </w:rPr>
                                <w:t>Version: 9.</w:t>
                              </w:r>
                              <w:r w:rsidR="00805E70">
                                <w:rPr>
                                  <w:sz w:val="18"/>
                                  <w:szCs w:val="18"/>
                                </w:rPr>
                                <w:t>6</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43E9EA34" w:rsidR="00C675C8" w:rsidRPr="00C675C8" w:rsidRDefault="00C675C8" w:rsidP="00C675C8">
                        <w:pPr>
                          <w:pStyle w:val="Footer"/>
                          <w:rPr>
                            <w:sz w:val="18"/>
                            <w:szCs w:val="18"/>
                          </w:rPr>
                        </w:pPr>
                        <w:r w:rsidRPr="00C675C8">
                          <w:rPr>
                            <w:sz w:val="18"/>
                            <w:szCs w:val="18"/>
                          </w:rPr>
                          <w:t xml:space="preserve">Updated: </w:t>
                        </w:r>
                        <w:r w:rsidR="00805E70">
                          <w:rPr>
                            <w:sz w:val="18"/>
                            <w:szCs w:val="18"/>
                          </w:rPr>
                          <w:t>30 April 2025</w:t>
                        </w:r>
                      </w:p>
                      <w:p w14:paraId="354ECA31" w14:textId="1977279F" w:rsidR="00C675C8" w:rsidRPr="00C675C8" w:rsidRDefault="00C675C8" w:rsidP="00C675C8">
                        <w:pPr>
                          <w:pStyle w:val="Footer"/>
                          <w:rPr>
                            <w:sz w:val="18"/>
                            <w:szCs w:val="18"/>
                          </w:rPr>
                        </w:pPr>
                        <w:r w:rsidRPr="00C675C8">
                          <w:rPr>
                            <w:sz w:val="18"/>
                            <w:szCs w:val="18"/>
                          </w:rPr>
                          <w:t>Version: 9.</w:t>
                        </w:r>
                        <w:r w:rsidR="00805E70">
                          <w:rPr>
                            <w:sz w:val="18"/>
                            <w:szCs w:val="18"/>
                          </w:rPr>
                          <w:t>6</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A848" w14:textId="77777777" w:rsidR="001C7196" w:rsidRDefault="001C7196" w:rsidP="0013507A">
      <w:pPr>
        <w:spacing w:after="0" w:line="240" w:lineRule="auto"/>
      </w:pPr>
      <w:r>
        <w:separator/>
      </w:r>
    </w:p>
  </w:footnote>
  <w:footnote w:type="continuationSeparator" w:id="0">
    <w:p w14:paraId="0ED40C69" w14:textId="77777777" w:rsidR="001C7196" w:rsidRDefault="001C7196"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44C5D89" w:rsidR="0013507A" w:rsidRDefault="0013507A" w:rsidP="0013507A">
    <w:pPr>
      <w:pStyle w:val="Header"/>
      <w:jc w:val="right"/>
    </w:pP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1F72B0B2" w14:textId="39A8C384" w:rsidR="0013507A" w:rsidRPr="00805E70" w:rsidRDefault="00805E70" w:rsidP="00C675C8">
    <w:pPr>
      <w:pBdr>
        <w:bottom w:val="single" w:sz="4" w:space="1" w:color="auto"/>
      </w:pBdr>
      <w:jc w:val="center"/>
      <w:rPr>
        <w:b/>
        <w:bCs/>
        <w:color w:val="00B050"/>
        <w:sz w:val="32"/>
        <w:szCs w:val="32"/>
      </w:rPr>
    </w:pPr>
    <w:proofErr w:type="gramStart"/>
    <w:r>
      <w:rPr>
        <w:b/>
        <w:bCs/>
        <w:color w:val="00B050"/>
        <w:sz w:val="28"/>
        <w:szCs w:val="28"/>
      </w:rPr>
      <w:t>WEAVER  VALE</w:t>
    </w:r>
    <w:proofErr w:type="gramEnd"/>
    <w:r>
      <w:rPr>
        <w:b/>
        <w:bCs/>
        <w:color w:val="00B050"/>
        <w:sz w:val="28"/>
        <w:szCs w:val="28"/>
      </w:rPr>
      <w:t xml:space="preserve">  SURGERY</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7"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4"/>
  </w:num>
  <w:num w:numId="2" w16cid:durableId="1946114137">
    <w:abstractNumId w:val="6"/>
  </w:num>
  <w:num w:numId="3" w16cid:durableId="926503614">
    <w:abstractNumId w:val="3"/>
  </w:num>
  <w:num w:numId="4" w16cid:durableId="712005626">
    <w:abstractNumId w:val="14"/>
  </w:num>
  <w:num w:numId="5" w16cid:durableId="745035261">
    <w:abstractNumId w:val="1"/>
  </w:num>
  <w:num w:numId="6" w16cid:durableId="1215845857">
    <w:abstractNumId w:val="4"/>
  </w:num>
  <w:num w:numId="7" w16cid:durableId="172573992">
    <w:abstractNumId w:val="18"/>
  </w:num>
  <w:num w:numId="8" w16cid:durableId="2129857664">
    <w:abstractNumId w:val="10"/>
  </w:num>
  <w:num w:numId="9" w16cid:durableId="1075474063">
    <w:abstractNumId w:val="5"/>
  </w:num>
  <w:num w:numId="10" w16cid:durableId="1672563275">
    <w:abstractNumId w:val="16"/>
  </w:num>
  <w:num w:numId="11" w16cid:durableId="2021393305">
    <w:abstractNumId w:val="8"/>
  </w:num>
  <w:num w:numId="12" w16cid:durableId="774440475">
    <w:abstractNumId w:val="20"/>
  </w:num>
  <w:num w:numId="13" w16cid:durableId="1010254424">
    <w:abstractNumId w:val="23"/>
  </w:num>
  <w:num w:numId="14" w16cid:durableId="1724983163">
    <w:abstractNumId w:val="12"/>
  </w:num>
  <w:num w:numId="15" w16cid:durableId="1372608562">
    <w:abstractNumId w:val="13"/>
  </w:num>
  <w:num w:numId="16" w16cid:durableId="1298294857">
    <w:abstractNumId w:val="0"/>
  </w:num>
  <w:num w:numId="17" w16cid:durableId="488788542">
    <w:abstractNumId w:val="19"/>
  </w:num>
  <w:num w:numId="18" w16cid:durableId="1802386451">
    <w:abstractNumId w:val="21"/>
  </w:num>
  <w:num w:numId="19" w16cid:durableId="1815947198">
    <w:abstractNumId w:val="15"/>
  </w:num>
  <w:num w:numId="20" w16cid:durableId="886143094">
    <w:abstractNumId w:val="7"/>
  </w:num>
  <w:num w:numId="21" w16cid:durableId="1539780295">
    <w:abstractNumId w:val="2"/>
  </w:num>
  <w:num w:numId="22" w16cid:durableId="134303323">
    <w:abstractNumId w:val="11"/>
  </w:num>
  <w:num w:numId="23" w16cid:durableId="1590656560">
    <w:abstractNumId w:val="9"/>
  </w:num>
  <w:num w:numId="24" w16cid:durableId="847906775">
    <w:abstractNumId w:val="22"/>
  </w:num>
  <w:num w:numId="25" w16cid:durableId="10053970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68F4"/>
    <w:rsid w:val="00184C72"/>
    <w:rsid w:val="00187FA5"/>
    <w:rsid w:val="001C7196"/>
    <w:rsid w:val="001D586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7498"/>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6669"/>
    <w:rsid w:val="00573D2F"/>
    <w:rsid w:val="00574511"/>
    <w:rsid w:val="00580F00"/>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97B40"/>
    <w:rsid w:val="006A0A07"/>
    <w:rsid w:val="006C4292"/>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97F26"/>
    <w:rsid w:val="007A041E"/>
    <w:rsid w:val="007A0CF7"/>
    <w:rsid w:val="007A2B73"/>
    <w:rsid w:val="007A2D03"/>
    <w:rsid w:val="007C0BE6"/>
    <w:rsid w:val="007C4C74"/>
    <w:rsid w:val="007D5AFF"/>
    <w:rsid w:val="007D6005"/>
    <w:rsid w:val="007D6763"/>
    <w:rsid w:val="007E2316"/>
    <w:rsid w:val="007E2D39"/>
    <w:rsid w:val="008040A0"/>
    <w:rsid w:val="00805E60"/>
    <w:rsid w:val="00805E70"/>
    <w:rsid w:val="00811ACB"/>
    <w:rsid w:val="00812ECA"/>
    <w:rsid w:val="00817C47"/>
    <w:rsid w:val="00821F6D"/>
    <w:rsid w:val="008231C6"/>
    <w:rsid w:val="008260E0"/>
    <w:rsid w:val="008265EC"/>
    <w:rsid w:val="00854BB6"/>
    <w:rsid w:val="00864383"/>
    <w:rsid w:val="0087408F"/>
    <w:rsid w:val="008816F4"/>
    <w:rsid w:val="008A0335"/>
    <w:rsid w:val="008A15A8"/>
    <w:rsid w:val="008A44C6"/>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56E0"/>
    <w:rsid w:val="00AB72B0"/>
    <w:rsid w:val="00AB7D1D"/>
    <w:rsid w:val="00AD51AB"/>
    <w:rsid w:val="00AE322C"/>
    <w:rsid w:val="00AF6577"/>
    <w:rsid w:val="00B03C1A"/>
    <w:rsid w:val="00B15A01"/>
    <w:rsid w:val="00B16937"/>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0629"/>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359"/>
    <w:rsid w:val="00CD5CB5"/>
    <w:rsid w:val="00CD64A7"/>
    <w:rsid w:val="00CE06E2"/>
    <w:rsid w:val="00CF12A5"/>
    <w:rsid w:val="00CF28C0"/>
    <w:rsid w:val="00D05B1D"/>
    <w:rsid w:val="00D215A8"/>
    <w:rsid w:val="00D26439"/>
    <w:rsid w:val="00D31ECF"/>
    <w:rsid w:val="00D35F6D"/>
    <w:rsid w:val="00D458BB"/>
    <w:rsid w:val="00D47F60"/>
    <w:rsid w:val="00D5163C"/>
    <w:rsid w:val="00D56238"/>
    <w:rsid w:val="00D723CB"/>
    <w:rsid w:val="00D77662"/>
    <w:rsid w:val="00D8383F"/>
    <w:rsid w:val="00D8409F"/>
    <w:rsid w:val="00D873DD"/>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9459C"/>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www.nhsx.nhs.uk/information-governance/guidance/records-management-code/records-management-code-of-practice-20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JONES, Tina (THE WEAVER VALE SURGERY)</cp:lastModifiedBy>
  <cp:revision>3</cp:revision>
  <cp:lastPrinted>2025-05-08T11:28:00Z</cp:lastPrinted>
  <dcterms:created xsi:type="dcterms:W3CDTF">2025-05-08T11:33:00Z</dcterms:created>
  <dcterms:modified xsi:type="dcterms:W3CDTF">2025-05-08T11:34:00Z</dcterms:modified>
</cp:coreProperties>
</file>