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EFF7" w14:textId="0B8A7388" w:rsidR="00CD211E" w:rsidRPr="0096760D" w:rsidRDefault="0096760D" w:rsidP="0096023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Chaperone Policy</w:t>
      </w:r>
    </w:p>
    <w:p w14:paraId="63BEC87F" w14:textId="77777777" w:rsidR="0074778B" w:rsidRDefault="0074778B" w:rsidP="00CD211E">
      <w:pPr>
        <w:rPr>
          <w:rFonts w:ascii="Arial" w:hAnsi="Arial" w:cs="Arial"/>
          <w:sz w:val="28"/>
          <w:szCs w:val="28"/>
        </w:rPr>
      </w:pPr>
    </w:p>
    <w:tbl>
      <w:tblPr>
        <w:tblW w:w="10861" w:type="dxa"/>
        <w:tblInd w:w="-9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400"/>
        <w:gridCol w:w="1978"/>
        <w:gridCol w:w="2185"/>
        <w:gridCol w:w="2079"/>
        <w:gridCol w:w="3219"/>
      </w:tblGrid>
      <w:tr w:rsidR="0096760D" w:rsidRPr="005E0E3A" w14:paraId="20732C4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755F996" w14:textId="77777777" w:rsidR="0096760D" w:rsidRPr="005E0E3A" w:rsidRDefault="0096760D" w:rsidP="00FC036D">
            <w:pPr>
              <w:ind w:left="159"/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854B302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3463FA17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A7E1E31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35935D6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96760D" w:rsidRPr="005E0E3A" w14:paraId="67ADC26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76A251" w14:textId="46FBCA89" w:rsidR="0096760D" w:rsidRPr="005E0E3A" w:rsidRDefault="00926198" w:rsidP="00926198">
            <w:pPr>
              <w:ind w:left="159"/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1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B3DE74D" w14:textId="099DDD65" w:rsidR="0096760D" w:rsidRPr="005E0E3A" w:rsidRDefault="00926198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August 2021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DF41C7" w14:textId="1417CEE3" w:rsidR="0096760D" w:rsidRPr="005E0E3A" w:rsidRDefault="00926198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TF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EB29BD" w14:textId="793C2423" w:rsidR="0096760D" w:rsidRPr="005E0E3A" w:rsidRDefault="00926198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LD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BAD0535" w14:textId="55409803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Adapted to Weaver Vale Surgery.</w:t>
            </w:r>
          </w:p>
        </w:tc>
      </w:tr>
      <w:tr w:rsidR="0096760D" w:rsidRPr="005E0E3A" w14:paraId="4091453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006F475" w14:textId="25A6DD4F" w:rsidR="0096760D" w:rsidRPr="005E0E3A" w:rsidRDefault="00926198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5DCF196" w14:textId="182F8869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August 2022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82CF377" w14:textId="38DAE9E0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TF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84EC55" w14:textId="76C2AAC5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LD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96B3307" w14:textId="52A88298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Updates added.</w:t>
            </w:r>
          </w:p>
        </w:tc>
      </w:tr>
      <w:tr w:rsidR="0096760D" w:rsidRPr="005E0E3A" w14:paraId="5B5E0407" w14:textId="77777777" w:rsidTr="00F179B2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195F98" w14:textId="251E5076" w:rsidR="0096760D" w:rsidRPr="005E0E3A" w:rsidRDefault="00926198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75136D" w14:textId="15511E9A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October 2023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E7701D6" w14:textId="48C9BE72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TF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8E1BEE" w14:textId="4236181A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LD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4D21AE2" w14:textId="708873F5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Updates added.</w:t>
            </w:r>
          </w:p>
        </w:tc>
      </w:tr>
      <w:tr w:rsidR="0096760D" w:rsidRPr="005E0E3A" w14:paraId="294A22A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0CD55A9" w14:textId="13B2BA0F" w:rsidR="0096760D" w:rsidRPr="005E0E3A" w:rsidRDefault="00550B22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5C1B6C" w14:textId="4A5B4427" w:rsidR="0096760D" w:rsidRPr="005E0E3A" w:rsidRDefault="00550B22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Jan 2025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94CEB6" w14:textId="096D3A62" w:rsidR="0096760D" w:rsidRPr="005E0E3A" w:rsidRDefault="00550B22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JM 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FCAD2BD" w14:textId="3788743A" w:rsidR="0096760D" w:rsidRPr="005E0E3A" w:rsidRDefault="00550B22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LD 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3038676" w14:textId="69F88F2F" w:rsidR="0096760D" w:rsidRPr="005E0E3A" w:rsidRDefault="00550B22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Updated from practice index </w:t>
            </w:r>
          </w:p>
        </w:tc>
      </w:tr>
    </w:tbl>
    <w:p w14:paraId="026E2BD8" w14:textId="77777777" w:rsidR="0096760D" w:rsidRDefault="0096760D" w:rsidP="00CD211E">
      <w:pPr>
        <w:rPr>
          <w:rFonts w:ascii="Arial" w:hAnsi="Arial" w:cs="Arial"/>
          <w:b/>
          <w:sz w:val="28"/>
          <w:szCs w:val="28"/>
        </w:rPr>
      </w:pPr>
    </w:p>
    <w:p w14:paraId="6478BA75" w14:textId="1AAE5EF9" w:rsidR="00CD211E" w:rsidRPr="0096760D" w:rsidRDefault="00343A1F" w:rsidP="00912CB8">
      <w:pPr>
        <w:tabs>
          <w:tab w:val="left" w:pos="27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of 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  <w:r w:rsidR="00912CB8">
        <w:rPr>
          <w:rFonts w:ascii="Arial" w:hAnsi="Arial" w:cs="Arial"/>
          <w:b/>
          <w:sz w:val="28"/>
          <w:szCs w:val="28"/>
        </w:rPr>
        <w:tab/>
      </w:r>
    </w:p>
    <w:p w14:paraId="7AF5EDAD" w14:textId="08F73D3F" w:rsidR="003548C7" w:rsidRDefault="00CD211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lang w:eastAsia="en-GB"/>
          <w14:ligatures w14:val="standardContextual"/>
        </w:rPr>
      </w:pPr>
      <w:r w:rsidRPr="00912CB8">
        <w:rPr>
          <w:caps/>
          <w:sz w:val="20"/>
          <w:szCs w:val="28"/>
        </w:rPr>
        <w:fldChar w:fldCharType="begin"/>
      </w:r>
      <w:r w:rsidRPr="00912CB8">
        <w:rPr>
          <w:sz w:val="20"/>
          <w:szCs w:val="28"/>
        </w:rPr>
        <w:instrText xml:space="preserve"> TOC \o "1-3" \h \z \u </w:instrText>
      </w:r>
      <w:r w:rsidRPr="00912CB8">
        <w:rPr>
          <w:caps/>
          <w:sz w:val="20"/>
          <w:szCs w:val="28"/>
        </w:rPr>
        <w:fldChar w:fldCharType="separate"/>
      </w:r>
      <w:hyperlink w:anchor="_Toc189044848" w:history="1">
        <w:r w:rsidR="003548C7" w:rsidRPr="00315552">
          <w:rPr>
            <w:rStyle w:val="Hyperlink"/>
          </w:rPr>
          <w:t>1</w:t>
        </w:r>
        <w:r w:rsidR="003548C7"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="003548C7" w:rsidRPr="00315552">
          <w:rPr>
            <w:rStyle w:val="Hyperlink"/>
          </w:rPr>
          <w:t>Introduction</w:t>
        </w:r>
        <w:r w:rsidR="003548C7">
          <w:rPr>
            <w:webHidden/>
          </w:rPr>
          <w:tab/>
        </w:r>
        <w:r w:rsidR="003548C7">
          <w:rPr>
            <w:webHidden/>
          </w:rPr>
          <w:fldChar w:fldCharType="begin"/>
        </w:r>
        <w:r w:rsidR="003548C7">
          <w:rPr>
            <w:webHidden/>
          </w:rPr>
          <w:instrText xml:space="preserve"> PAGEREF _Toc189044848 \h </w:instrText>
        </w:r>
        <w:r w:rsidR="003548C7">
          <w:rPr>
            <w:webHidden/>
          </w:rPr>
        </w:r>
        <w:r w:rsidR="003548C7">
          <w:rPr>
            <w:webHidden/>
          </w:rPr>
          <w:fldChar w:fldCharType="separate"/>
        </w:r>
        <w:r w:rsidR="003548C7">
          <w:rPr>
            <w:webHidden/>
          </w:rPr>
          <w:t>1</w:t>
        </w:r>
        <w:r w:rsidR="003548C7">
          <w:rPr>
            <w:webHidden/>
          </w:rPr>
          <w:fldChar w:fldCharType="end"/>
        </w:r>
      </w:hyperlink>
    </w:p>
    <w:p w14:paraId="47ABFEC8" w14:textId="4D00CC80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49" w:history="1">
        <w:r w:rsidRPr="00315552">
          <w:rPr>
            <w:rStyle w:val="Hyperlink"/>
            <w:rFonts w:ascii="Arial" w:hAnsi="Arial" w:cs="Arial"/>
            <w:noProof/>
          </w:rPr>
          <w:t>1.1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Policy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C5A1F17" w14:textId="767C7709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0" w:history="1">
        <w:r w:rsidRPr="00315552">
          <w:rPr>
            <w:rStyle w:val="Hyperlink"/>
            <w:rFonts w:ascii="Arial" w:hAnsi="Arial" w:cs="Arial"/>
            <w:noProof/>
          </w:rPr>
          <w:t>1.2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867866E" w14:textId="41DE1D35" w:rsidR="003548C7" w:rsidRDefault="003548C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lang w:eastAsia="en-GB"/>
          <w14:ligatures w14:val="standardContextual"/>
        </w:rPr>
      </w:pPr>
      <w:hyperlink w:anchor="_Toc189044851" w:history="1">
        <w:r w:rsidRPr="00315552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</w:rPr>
          <w:t>Policy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_Toc189044851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69CF1F7" w14:textId="5F68390D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2" w:history="1">
        <w:r w:rsidRPr="00315552">
          <w:rPr>
            <w:rStyle w:val="Hyperlink"/>
            <w:rFonts w:ascii="Arial" w:hAnsi="Arial" w:cs="Arial"/>
            <w:noProof/>
          </w:rPr>
          <w:t>2.1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Who can act as a chaperone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FB7FEC" w14:textId="05385CFE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3" w:history="1">
        <w:r w:rsidRPr="00315552">
          <w:rPr>
            <w:rStyle w:val="Hyperlink"/>
            <w:rFonts w:ascii="Arial" w:hAnsi="Arial" w:cs="Arial"/>
            <w:noProof/>
          </w:rPr>
          <w:t>2.2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General guidance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4676FDB" w14:textId="6050D80E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4" w:history="1">
        <w:r w:rsidRPr="00315552">
          <w:rPr>
            <w:rStyle w:val="Hyperlink"/>
            <w:rFonts w:ascii="Arial" w:hAnsi="Arial" w:cs="Arial"/>
            <w:noProof/>
          </w:rPr>
          <w:t>2.3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Role and expectations of a chaperone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3AE658" w14:textId="22B4A725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5" w:history="1">
        <w:r w:rsidRPr="00315552">
          <w:rPr>
            <w:rStyle w:val="Hyperlink"/>
            <w:rFonts w:ascii="Arial" w:hAnsi="Arial" w:cs="Arial"/>
            <w:noProof/>
          </w:rPr>
          <w:t>2.4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When a chaperone is unavailable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1A3AA3D" w14:textId="61964678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6" w:history="1">
        <w:r w:rsidRPr="00315552">
          <w:rPr>
            <w:rStyle w:val="Hyperlink"/>
            <w:rFonts w:ascii="Arial" w:hAnsi="Arial" w:cs="Arial"/>
            <w:noProof/>
          </w:rPr>
          <w:t>2.5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When a patient refuses a chaperone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EC6D20F" w14:textId="5446433C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7" w:history="1">
        <w:r w:rsidRPr="00315552">
          <w:rPr>
            <w:rStyle w:val="Hyperlink"/>
            <w:rFonts w:ascii="Arial" w:hAnsi="Arial" w:cs="Arial"/>
            <w:noProof/>
          </w:rPr>
          <w:t>2.6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Disclosure and Barring Service (DBS) check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755282" w14:textId="3ABF10EF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8" w:history="1">
        <w:r w:rsidRPr="00315552">
          <w:rPr>
            <w:rStyle w:val="Hyperlink"/>
            <w:rFonts w:ascii="Arial" w:hAnsi="Arial" w:cs="Arial"/>
            <w:noProof/>
          </w:rPr>
          <w:t>2.7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Using chaperones during a video consultation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EAFC86" w14:textId="549B9527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9" w:history="1">
        <w:r w:rsidRPr="00315552">
          <w:rPr>
            <w:rStyle w:val="Hyperlink"/>
            <w:rFonts w:ascii="Arial" w:hAnsi="Arial" w:cs="Arial"/>
            <w:noProof/>
          </w:rPr>
          <w:t>2.8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Practice procedure (including SNOMED codes)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E67C77" w14:textId="2E137DE6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60" w:history="1">
        <w:r w:rsidRPr="00315552">
          <w:rPr>
            <w:rStyle w:val="Hyperlink"/>
            <w:rFonts w:ascii="Arial" w:hAnsi="Arial" w:cs="Arial"/>
            <w:noProof/>
          </w:rPr>
          <w:t>2.9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Escorting of visitors and guests (including VIPs)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4919C2" w14:textId="0541CEA1" w:rsidR="00CD211E" w:rsidRDefault="00CD211E" w:rsidP="00CD211E">
      <w:pPr>
        <w:rPr>
          <w:rFonts w:ascii="Arial" w:hAnsi="Arial" w:cs="Arial"/>
          <w:sz w:val="28"/>
          <w:szCs w:val="28"/>
        </w:rPr>
      </w:pPr>
      <w:r w:rsidRPr="00912CB8">
        <w:rPr>
          <w:rFonts w:ascii="Arial" w:hAnsi="Arial" w:cs="Arial"/>
          <w:sz w:val="20"/>
          <w:szCs w:val="28"/>
        </w:rPr>
        <w:fldChar w:fldCharType="end"/>
      </w: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89044848"/>
      <w:r>
        <w:rPr>
          <w:sz w:val="28"/>
          <w:szCs w:val="28"/>
        </w:rPr>
        <w:t>Introduction</w:t>
      </w:r>
      <w:bookmarkEnd w:id="0"/>
    </w:p>
    <w:p w14:paraId="4838E002" w14:textId="3AA91E1A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Hlk40249495"/>
      <w:bookmarkStart w:id="2" w:name="_Toc189044849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2"/>
    </w:p>
    <w:p w14:paraId="48F68B49" w14:textId="77777777" w:rsidR="00CD211E" w:rsidRPr="001A01D7" w:rsidRDefault="00CD211E" w:rsidP="00CD211E">
      <w:pPr>
        <w:rPr>
          <w:lang w:val="en-US"/>
        </w:rPr>
      </w:pPr>
    </w:p>
    <w:p w14:paraId="111EE14F" w14:textId="3C181866" w:rsidR="00504519" w:rsidRPr="00E63567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 </w:t>
      </w:r>
      <w:r w:rsidR="00926198">
        <w:rPr>
          <w:rFonts w:ascii="Arial" w:hAnsi="Arial" w:cs="Arial"/>
          <w:sz w:val="22"/>
          <w:szCs w:val="22"/>
          <w:lang w:val="en-US"/>
        </w:rPr>
        <w:t>Weaver Vale Surgery,</w:t>
      </w:r>
      <w:r>
        <w:rPr>
          <w:rFonts w:ascii="Arial" w:hAnsi="Arial" w:cs="Arial"/>
          <w:sz w:val="22"/>
          <w:szCs w:val="22"/>
          <w:lang w:val="en-US"/>
        </w:rPr>
        <w:t xml:space="preserve"> all patients will routinely be offered a chaperone, ideally at the time of booking </w:t>
      </w:r>
      <w:r w:rsidR="00EE2AEB">
        <w:rPr>
          <w:rFonts w:ascii="Arial" w:hAnsi="Arial" w:cs="Arial"/>
          <w:sz w:val="22"/>
          <w:szCs w:val="22"/>
          <w:lang w:val="en-US"/>
        </w:rPr>
        <w:t>an</w:t>
      </w:r>
      <w:r>
        <w:rPr>
          <w:rFonts w:ascii="Arial" w:hAnsi="Arial" w:cs="Arial"/>
          <w:sz w:val="22"/>
          <w:szCs w:val="22"/>
          <w:lang w:val="en-US"/>
        </w:rPr>
        <w:t xml:space="preserve"> appointment. </w:t>
      </w:r>
      <w:r w:rsidRPr="00E63567">
        <w:rPr>
          <w:rFonts w:ascii="Arial" w:hAnsi="Arial" w:cs="Arial"/>
          <w:sz w:val="22"/>
          <w:szCs w:val="22"/>
          <w:lang w:val="en-US"/>
        </w:rPr>
        <w:t>It is a requirement</w:t>
      </w:r>
      <w:r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Pr="00E63567">
        <w:rPr>
          <w:rFonts w:ascii="Arial" w:hAnsi="Arial" w:cs="Arial"/>
          <w:sz w:val="22"/>
          <w:szCs w:val="22"/>
          <w:lang w:val="en-US"/>
        </w:rPr>
        <w:t>, whe</w:t>
      </w:r>
      <w:r w:rsidR="00674ED2">
        <w:rPr>
          <w:rFonts w:ascii="Arial" w:hAnsi="Arial" w:cs="Arial"/>
          <w:sz w:val="22"/>
          <w:szCs w:val="22"/>
          <w:lang w:val="en-US"/>
        </w:rPr>
        <w:t>n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necessary, chaperones are provided to protect and safeguard both patients and clinicians during intimate examinations and or procedures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39D30BA" w14:textId="77777777" w:rsidR="00536205" w:rsidRDefault="00536205" w:rsidP="00504519">
      <w:pPr>
        <w:rPr>
          <w:rFonts w:ascii="Arial" w:hAnsi="Arial" w:cs="Arial"/>
          <w:sz w:val="22"/>
          <w:szCs w:val="22"/>
          <w:lang w:val="en-US"/>
        </w:rPr>
      </w:pPr>
    </w:p>
    <w:p w14:paraId="50530B36" w14:textId="557E5EBA" w:rsidR="00536205" w:rsidRDefault="00536205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To raise awareness, the chaperone policy should be clearly advertised</w:t>
      </w:r>
      <w:r w:rsidR="00674ED2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674ED2"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en-US"/>
        </w:rPr>
        <w:t xml:space="preserve">t </w:t>
      </w:r>
      <w:r>
        <w:rPr>
          <w:rFonts w:ascii="Arial" w:eastAsia="Times New Roman" w:hAnsi="Arial" w:cs="Arial"/>
          <w:sz w:val="22"/>
          <w:szCs w:val="22"/>
          <w:lang w:eastAsia="en-GB"/>
        </w:rPr>
        <w:t>this 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hyperlink r:id="rId9" w:history="1">
        <w:r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chaperone poster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is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clearly displayed in the waiting area</w:t>
      </w:r>
      <w:r>
        <w:rPr>
          <w:rFonts w:ascii="Arial" w:eastAsia="Times New Roman" w:hAnsi="Arial" w:cs="Arial"/>
          <w:sz w:val="22"/>
          <w:szCs w:val="22"/>
          <w:lang w:eastAsia="en-GB"/>
        </w:rPr>
        <w:t>, i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n all clinical areas and annotated in the </w:t>
      </w:r>
      <w:r>
        <w:rPr>
          <w:rFonts w:ascii="Arial" w:eastAsia="Times New Roman" w:hAnsi="Arial" w:cs="Arial"/>
          <w:sz w:val="22"/>
          <w:szCs w:val="22"/>
          <w:lang w:eastAsia="en-GB"/>
        </w:rPr>
        <w:t>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leaflet as we</w:t>
      </w:r>
      <w:r>
        <w:rPr>
          <w:rFonts w:ascii="Arial" w:eastAsia="Times New Roman" w:hAnsi="Arial" w:cs="Arial"/>
          <w:sz w:val="22"/>
          <w:szCs w:val="22"/>
          <w:lang w:eastAsia="en-GB"/>
        </w:rPr>
        <w:t>ll as on the organisation website.</w:t>
      </w:r>
    </w:p>
    <w:p w14:paraId="7F4050D4" w14:textId="06A8C47F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" w:name="_Toc189044850"/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3"/>
    </w:p>
    <w:p w14:paraId="35F749ED" w14:textId="77777777" w:rsidR="008863DD" w:rsidRPr="008863DD" w:rsidRDefault="008863DD" w:rsidP="008863DD">
      <w:pPr>
        <w:rPr>
          <w:rFonts w:ascii="Arial" w:hAnsi="Arial" w:cs="Arial"/>
          <w:sz w:val="22"/>
          <w:szCs w:val="22"/>
          <w:lang w:val="en-US"/>
        </w:rPr>
      </w:pPr>
    </w:p>
    <w:p w14:paraId="57727233" w14:textId="77777777" w:rsidR="00550B22" w:rsidRDefault="00550B22" w:rsidP="00550B22">
      <w:pPr>
        <w:rPr>
          <w:rFonts w:ascii="Arial" w:hAnsi="Arial" w:cs="Arial"/>
          <w:sz w:val="22"/>
          <w:szCs w:val="22"/>
        </w:rPr>
      </w:pPr>
      <w:bookmarkStart w:id="4" w:name="_Toc55992397"/>
      <w:bookmarkStart w:id="5" w:name="_Toc55996804"/>
      <w:bookmarkStart w:id="6" w:name="_Toc55997017"/>
      <w:bookmarkStart w:id="7" w:name="_Toc43391044"/>
      <w:bookmarkStart w:id="8" w:name="_Toc43391298"/>
      <w:bookmarkStart w:id="9" w:name="_Toc43391045"/>
      <w:bookmarkStart w:id="10" w:name="_Toc43391299"/>
      <w:bookmarkStart w:id="11" w:name="_Toc43391046"/>
      <w:bookmarkStart w:id="12" w:name="_Toc43391300"/>
      <w:bookmarkStart w:id="13" w:name="_Toc43391047"/>
      <w:bookmarkStart w:id="14" w:name="_Toc433913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</w:rPr>
        <w:t xml:space="preserve">In accordance with the </w:t>
      </w:r>
      <w:hyperlink r:id="rId10" w:history="1">
        <w:r w:rsidRPr="002B2C8C">
          <w:rPr>
            <w:rStyle w:val="Hyperlink"/>
            <w:rFonts w:ascii="Arial" w:hAnsi="Arial" w:cs="Arial"/>
            <w:sz w:val="22"/>
            <w:szCs w:val="22"/>
          </w:rPr>
          <w:t>Equality Act 2010</w:t>
        </w:r>
      </w:hyperlink>
      <w:r>
        <w:rPr>
          <w:rFonts w:ascii="Arial" w:hAnsi="Arial" w:cs="Arial"/>
          <w:sz w:val="22"/>
          <w:szCs w:val="22"/>
        </w:rPr>
        <w:t xml:space="preserve">, we have considered how provisions within this policy might impact on different groups and individuals. This document and any </w:t>
      </w:r>
      <w:r>
        <w:rPr>
          <w:rFonts w:ascii="Arial" w:hAnsi="Arial" w:cs="Arial"/>
          <w:sz w:val="22"/>
          <w:szCs w:val="22"/>
        </w:rPr>
        <w:lastRenderedPageBreak/>
        <w:t xml:space="preserve">procedures contained within it are non-contractual, which means they may be modified or withdrawn at any time. They apply to all employees and contractors working for the organisation. </w:t>
      </w:r>
    </w:p>
    <w:p w14:paraId="55CFE305" w14:textId="77777777" w:rsidR="002826CC" w:rsidRPr="006B3AFE" w:rsidRDefault="002826CC" w:rsidP="00286DF9">
      <w:pPr>
        <w:rPr>
          <w:lang w:val="en-US"/>
        </w:rPr>
      </w:pPr>
    </w:p>
    <w:p w14:paraId="5BF94D17" w14:textId="2C89533F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15" w:name="_Toc40256520"/>
      <w:bookmarkStart w:id="16" w:name="_Toc40256521"/>
      <w:bookmarkStart w:id="17" w:name="_Toc40256522"/>
      <w:bookmarkStart w:id="18" w:name="_Toc56247915"/>
      <w:bookmarkStart w:id="19" w:name="_Toc56247916"/>
      <w:bookmarkStart w:id="20" w:name="_Toc56247917"/>
      <w:bookmarkStart w:id="21" w:name="_Toc189044851"/>
      <w:bookmarkEnd w:id="1"/>
      <w:bookmarkEnd w:id="15"/>
      <w:bookmarkEnd w:id="16"/>
      <w:bookmarkEnd w:id="17"/>
      <w:bookmarkEnd w:id="18"/>
      <w:bookmarkEnd w:id="19"/>
      <w:bookmarkEnd w:id="20"/>
      <w:r>
        <w:rPr>
          <w:sz w:val="28"/>
          <w:szCs w:val="28"/>
        </w:rPr>
        <w:t>Policy</w:t>
      </w:r>
      <w:bookmarkEnd w:id="21"/>
    </w:p>
    <w:p w14:paraId="060F4E31" w14:textId="4C9F1307" w:rsidR="00CD211E" w:rsidRPr="00A96691" w:rsidRDefault="00572EA9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2" w:name="_Toc189044852"/>
      <w:r>
        <w:rPr>
          <w:rFonts w:ascii="Arial" w:hAnsi="Arial" w:cs="Arial"/>
          <w:smallCaps w:val="0"/>
          <w:sz w:val="24"/>
          <w:szCs w:val="24"/>
        </w:rPr>
        <w:t>Who can act as a chaperone</w:t>
      </w:r>
      <w:bookmarkEnd w:id="22"/>
    </w:p>
    <w:p w14:paraId="14375152" w14:textId="77777777" w:rsidR="00CD211E" w:rsidRDefault="00CD211E" w:rsidP="00CD211E">
      <w:pPr>
        <w:rPr>
          <w:lang w:val="en-US"/>
        </w:rPr>
      </w:pPr>
    </w:p>
    <w:p w14:paraId="34463662" w14:textId="77777777" w:rsidR="00550B22" w:rsidRPr="00173773" w:rsidRDefault="00550B22" w:rsidP="00550B22">
      <w:pPr>
        <w:rPr>
          <w:rFonts w:ascii="Arial" w:eastAsia="Arial" w:hAnsi="Arial" w:cs="Arial"/>
          <w:color w:val="231F20"/>
          <w:sz w:val="22"/>
          <w:szCs w:val="22"/>
        </w:rPr>
      </w:pPr>
      <w:bookmarkStart w:id="23" w:name="_Hlk40280270"/>
      <w:r>
        <w:rPr>
          <w:rFonts w:ascii="Arial" w:eastAsia="Arial" w:hAnsi="Arial" w:cs="Arial"/>
          <w:color w:val="231F20"/>
          <w:sz w:val="22"/>
          <w:szCs w:val="22"/>
        </w:rPr>
        <w:t xml:space="preserve">At this organisation, it is policy that any member of the team can act as a chaperone. However, they must have undertaken chaperone training as detailed in </w:t>
      </w:r>
      <w:hyperlink r:id="rId11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 xml:space="preserve">CQC GP </w:t>
        </w:r>
        <w:proofErr w:type="spellStart"/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mythbuster</w:t>
        </w:r>
        <w:proofErr w:type="spellEnd"/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 xml:space="preserve"> 15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 xml:space="preserve">. Additionally, </w:t>
      </w:r>
      <w:r>
        <w:rPr>
          <w:rFonts w:ascii="Arial" w:eastAsia="Arial" w:hAnsi="Arial" w:cs="Arial"/>
          <w:b/>
          <w:color w:val="231F20"/>
          <w:sz w:val="22"/>
          <w:szCs w:val="22"/>
        </w:rPr>
        <w:t xml:space="preserve">all staff 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must complete chaperone awareness training which covers the role of the chaperone. </w:t>
      </w:r>
    </w:p>
    <w:p w14:paraId="7B64C922" w14:textId="77777777" w:rsidR="00572EA9" w:rsidRDefault="00572EA9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C6D8EDD" w14:textId="77777777" w:rsidR="00572EA9" w:rsidRPr="00536205" w:rsidRDefault="00572EA9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42C8558" w14:textId="45172C1D" w:rsidR="007C7F1F" w:rsidRPr="00A96691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4" w:name="_Toc189044853"/>
      <w:bookmarkEnd w:id="23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24"/>
    </w:p>
    <w:p w14:paraId="27BF5C97" w14:textId="77777777" w:rsidR="007C7F1F" w:rsidRDefault="007C7F1F" w:rsidP="007C7F1F">
      <w:pPr>
        <w:rPr>
          <w:lang w:val="en-US"/>
        </w:rPr>
      </w:pPr>
    </w:p>
    <w:p w14:paraId="1CC2B8F8" w14:textId="77777777" w:rsidR="00550B22" w:rsidRDefault="00550B22" w:rsidP="00550B2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hyperlink r:id="rId12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General Medical Council (GMC) Intimate examinations and chaperones guidance</w:t>
        </w:r>
      </w:hyperlink>
      <w:r>
        <w:rPr>
          <w:rFonts w:ascii="Arial" w:eastAsia="Arial" w:hAnsi="Arial" w:cs="Arial"/>
          <w:sz w:val="22"/>
          <w:szCs w:val="22"/>
        </w:rPr>
        <w:t xml:space="preserve"> explains that the patient should be given the option of having an impartial observer (a chaperone) present whenever possible. </w:t>
      </w:r>
    </w:p>
    <w:p w14:paraId="753ED1AA" w14:textId="77777777" w:rsidR="00550B22" w:rsidRDefault="00550B22" w:rsidP="00550B22">
      <w:pPr>
        <w:rPr>
          <w:rFonts w:ascii="Arial" w:eastAsia="Arial" w:hAnsi="Arial" w:cs="Arial"/>
          <w:sz w:val="22"/>
          <w:szCs w:val="22"/>
        </w:rPr>
      </w:pPr>
    </w:p>
    <w:p w14:paraId="05FE6338" w14:textId="77777777" w:rsidR="00550B22" w:rsidRDefault="00550B22" w:rsidP="00550B2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per the GMC guidance, relatives or friends of the patient are not considered to be an impartial observer so would not usually be a suitable chaperone but staff at this organisation should comply with a reasonable request to have such a person present in addition to the chaperone.</w:t>
      </w:r>
    </w:p>
    <w:p w14:paraId="0B310395" w14:textId="77777777" w:rsidR="00550B22" w:rsidRDefault="00550B22" w:rsidP="00550B22">
      <w:pPr>
        <w:rPr>
          <w:rFonts w:ascii="Arial" w:eastAsia="Arial" w:hAnsi="Arial" w:cs="Arial"/>
          <w:color w:val="231F20"/>
          <w:sz w:val="22"/>
          <w:szCs w:val="22"/>
        </w:rPr>
      </w:pPr>
    </w:p>
    <w:p w14:paraId="7263335B" w14:textId="77777777" w:rsidR="00550B22" w:rsidRDefault="00550B22" w:rsidP="00550B22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 xml:space="preserve">The GMC guidance also provides detailed guidance on what the clinician should do before and during the examination, including adhering to the GMC </w:t>
      </w:r>
      <w:hyperlink r:id="rId13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Decision making and consent guidance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 xml:space="preserve">. </w:t>
      </w:r>
    </w:p>
    <w:p w14:paraId="62B62E28" w14:textId="77777777" w:rsidR="00550B22" w:rsidRDefault="00550B22" w:rsidP="00550B2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215975E" w14:textId="77777777" w:rsidR="00550B22" w:rsidRDefault="00550B22" w:rsidP="00550B22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When a chaperone is present, the details of the chaperone must be recorded in the patient’s clinical record.</w:t>
      </w:r>
    </w:p>
    <w:p w14:paraId="2CFFE961" w14:textId="77777777" w:rsidR="00550B22" w:rsidRDefault="00550B22" w:rsidP="007C7F1F">
      <w:pPr>
        <w:rPr>
          <w:lang w:val="en-US"/>
        </w:rPr>
      </w:pPr>
    </w:p>
    <w:p w14:paraId="4FA79759" w14:textId="451E009E" w:rsidR="007C7F1F" w:rsidRDefault="00550B22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5" w:name="_Toc148018266"/>
      <w:bookmarkStart w:id="26" w:name="_Toc189044854"/>
      <w:bookmarkEnd w:id="25"/>
      <w:r>
        <w:rPr>
          <w:rFonts w:ascii="Arial" w:hAnsi="Arial" w:cs="Arial"/>
          <w:smallCaps w:val="0"/>
          <w:sz w:val="24"/>
          <w:szCs w:val="24"/>
        </w:rPr>
        <w:t>Role and e</w:t>
      </w:r>
      <w:r w:rsidR="00F22797">
        <w:rPr>
          <w:rFonts w:ascii="Arial" w:hAnsi="Arial" w:cs="Arial"/>
          <w:smallCaps w:val="0"/>
          <w:sz w:val="24"/>
          <w:szCs w:val="24"/>
        </w:rPr>
        <w:t>xpectations of a chaperone</w:t>
      </w:r>
      <w:bookmarkEnd w:id="26"/>
    </w:p>
    <w:p w14:paraId="1DC2D90F" w14:textId="77777777" w:rsidR="00550B22" w:rsidRDefault="00550B22" w:rsidP="00550B22">
      <w:pPr>
        <w:rPr>
          <w:lang w:val="en-US"/>
        </w:rPr>
      </w:pPr>
    </w:p>
    <w:p w14:paraId="47B89564" w14:textId="77777777" w:rsidR="00550B22" w:rsidRPr="00550B22" w:rsidRDefault="00550B22" w:rsidP="00550B22">
      <w:pPr>
        <w:rPr>
          <w:lang w:val="en-US"/>
        </w:rPr>
      </w:pPr>
    </w:p>
    <w:p w14:paraId="1D5446FC" w14:textId="5307B0F9" w:rsidR="0065017B" w:rsidRPr="00A96691" w:rsidRDefault="0065017B" w:rsidP="0065017B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7" w:name="_Toc189044855"/>
      <w:r>
        <w:rPr>
          <w:rFonts w:ascii="Arial" w:hAnsi="Arial" w:cs="Arial"/>
          <w:smallCaps w:val="0"/>
          <w:sz w:val="24"/>
          <w:szCs w:val="24"/>
        </w:rPr>
        <w:t>When a chaperone is unavailable</w:t>
      </w:r>
      <w:bookmarkEnd w:id="27"/>
      <w:r>
        <w:rPr>
          <w:rFonts w:ascii="Arial" w:hAnsi="Arial" w:cs="Arial"/>
          <w:smallCaps w:val="0"/>
          <w:sz w:val="24"/>
          <w:szCs w:val="24"/>
        </w:rPr>
        <w:t xml:space="preserve"> </w:t>
      </w:r>
    </w:p>
    <w:p w14:paraId="453402D8" w14:textId="77777777" w:rsidR="0065017B" w:rsidRDefault="0065017B" w:rsidP="0065017B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D94EFD8" w14:textId="08930FFF" w:rsidR="00DE3802" w:rsidRDefault="0065017B" w:rsidP="0065017B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GMC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advise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if either the clinician or the patient does not want the examination to go ahead without a chaperone present, of if either is uncomfortable with the choice of chaperone, the clinician may offer to delay the examination until a later date when a suitable chaperone will be available as long as the delay would not adversely affect the patient’s health.</w:t>
      </w:r>
    </w:p>
    <w:p w14:paraId="1A5ACA41" w14:textId="77777777" w:rsidR="00DE3802" w:rsidRDefault="00DE3802" w:rsidP="00DE380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8" w:name="_Toc189044856"/>
      <w:r>
        <w:rPr>
          <w:rFonts w:ascii="Arial" w:hAnsi="Arial" w:cs="Arial"/>
          <w:smallCaps w:val="0"/>
          <w:sz w:val="24"/>
          <w:szCs w:val="24"/>
        </w:rPr>
        <w:t>When a patient refuses a chaperone</w:t>
      </w:r>
      <w:bookmarkEnd w:id="28"/>
    </w:p>
    <w:p w14:paraId="280DE97F" w14:textId="77777777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18AAE6D0" w14:textId="4E2483CB" w:rsidR="00DE3802" w:rsidRDefault="00DE3802" w:rsidP="00DE38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If the clinician does not want to proceed with the examination</w:t>
      </w:r>
      <w:r w:rsidR="00674ED2">
        <w:rPr>
          <w:rFonts w:ascii="Arial" w:hAnsi="Arial" w:cs="Arial"/>
          <w:sz w:val="22"/>
          <w:szCs w:val="22"/>
          <w:lang w:val="en-US"/>
        </w:rPr>
        <w:t xml:space="preserve"> without a chaperone</w:t>
      </w:r>
      <w:r>
        <w:rPr>
          <w:rFonts w:ascii="Arial" w:hAnsi="Arial" w:cs="Arial"/>
          <w:sz w:val="22"/>
          <w:szCs w:val="22"/>
          <w:lang w:val="en-US"/>
        </w:rPr>
        <w:t xml:space="preserve"> but the patient has refused a chaperone, the clinician must clearly explain why they want </w:t>
      </w:r>
      <w:r>
        <w:rPr>
          <w:rFonts w:ascii="Arial" w:hAnsi="Arial" w:cs="Arial"/>
          <w:sz w:val="22"/>
          <w:szCs w:val="22"/>
          <w:lang w:val="en-US"/>
        </w:rPr>
        <w:lastRenderedPageBreak/>
        <w:t xml:space="preserve">a chaperone present. The </w:t>
      </w:r>
      <w:hyperlink r:id="rId14" w:history="1">
        <w:r w:rsidRPr="00DE3802">
          <w:rPr>
            <w:rStyle w:val="Hyperlink"/>
            <w:rFonts w:ascii="Arial" w:hAnsi="Arial" w:cs="Arial"/>
            <w:sz w:val="22"/>
            <w:szCs w:val="22"/>
            <w:lang w:val="en-US"/>
          </w:rPr>
          <w:t>GMC</w:t>
        </w:r>
        <w:r w:rsidRPr="00674ED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 xml:space="preserve"> state</w:t>
        </w:r>
      </w:hyperlink>
      <w:r w:rsidR="00674ED2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that ultimately the patient’s clinical needs must take precedence. The clinician may wish to consider referring the patient to a colleague who would be willing to examine them without a chaperone as long as a delay would not adversely affect the patient’s health. </w:t>
      </w:r>
    </w:p>
    <w:p w14:paraId="18F12CCC" w14:textId="77777777" w:rsidR="00DE3802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38C372BA" w14:textId="6F86CC9B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Any discussion about chaperones and the outcome should be recorded in the patient’s medical record, and in particular:</w:t>
      </w:r>
    </w:p>
    <w:p w14:paraId="3D152176" w14:textId="77777777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6EB1882D" w14:textId="77777777" w:rsidR="00DE3802" w:rsidRPr="003C4439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Who the chaperone was</w:t>
      </w:r>
    </w:p>
    <w:p w14:paraId="2BC21E29" w14:textId="77777777" w:rsidR="00DE3802" w:rsidRPr="003C4439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Their title </w:t>
      </w:r>
    </w:p>
    <w:p w14:paraId="510BCF74" w14:textId="77777777" w:rsidR="00DE3802" w:rsidRPr="00AB1996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That the offer was made and declined</w:t>
      </w:r>
    </w:p>
    <w:p w14:paraId="3C972379" w14:textId="30EF8662" w:rsidR="00E70E2D" w:rsidRPr="00A96691" w:rsidRDefault="00E70E2D" w:rsidP="00E70E2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9" w:name="_Toc189044857"/>
      <w:r>
        <w:rPr>
          <w:rFonts w:ascii="Arial" w:hAnsi="Arial" w:cs="Arial"/>
          <w:smallCaps w:val="0"/>
          <w:sz w:val="24"/>
          <w:szCs w:val="24"/>
        </w:rPr>
        <w:t>Disclosure and Barring Service (DBS) check</w:t>
      </w:r>
      <w:bookmarkEnd w:id="29"/>
    </w:p>
    <w:p w14:paraId="0D38B7D2" w14:textId="77777777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84A7003" w14:textId="75027A7F" w:rsidR="007F110E" w:rsidRDefault="00E70E2D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Clinical staff who undertake a chaperone role at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this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will already have a DBS check.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hyperlink r:id="rId15" w:history="1">
        <w:r w:rsidR="00DE3802" w:rsidRPr="00DE3802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CQC</w:t>
        </w:r>
        <w:r w:rsidR="00DE3802" w:rsidRPr="00674ED2">
          <w:rPr>
            <w:rStyle w:val="Hyperlink"/>
            <w:rFonts w:ascii="Arial" w:eastAsia="Times New Roman" w:hAnsi="Arial" w:cs="Arial"/>
            <w:bCs/>
            <w:iCs/>
            <w:color w:val="auto"/>
            <w:sz w:val="22"/>
            <w:szCs w:val="22"/>
            <w:u w:val="none"/>
            <w:lang w:eastAsia="en-GB"/>
          </w:rPr>
          <w:t xml:space="preserve"> state</w:t>
        </w:r>
      </w:hyperlink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on-clinical staff who carry ou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 duties may need a DBS check. This is due to the nature of chaperoning duties and the level of patient contact. Should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organisation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decide not to carry out a DBS check for any non-clinical staff, then a clear rationale for this decision must be give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including an appropriate risk assessment.</w:t>
      </w:r>
      <w:r w:rsidR="00DE3802" w:rsidRPr="00A33265" w:rsidDel="00DE3802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 xml:space="preserve"> </w:t>
      </w:r>
    </w:p>
    <w:p w14:paraId="5285F1FD" w14:textId="7C86F68C" w:rsidR="002826CC" w:rsidRDefault="002826CC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0" w:name="_Toc77169090"/>
      <w:bookmarkStart w:id="31" w:name="_Toc60921744"/>
      <w:bookmarkStart w:id="32" w:name="_Toc60921790"/>
      <w:bookmarkStart w:id="33" w:name="_Toc60922250"/>
      <w:bookmarkStart w:id="34" w:name="_Toc148018278"/>
      <w:bookmarkStart w:id="35" w:name="_Toc148018279"/>
      <w:bookmarkStart w:id="36" w:name="_Toc148018280"/>
      <w:bookmarkStart w:id="37" w:name="_Toc189044858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ascii="Arial" w:hAnsi="Arial" w:cs="Arial"/>
          <w:smallCaps w:val="0"/>
          <w:sz w:val="24"/>
          <w:szCs w:val="24"/>
        </w:rPr>
        <w:t>Using chaperones during a video consultation</w:t>
      </w:r>
      <w:bookmarkEnd w:id="37"/>
    </w:p>
    <w:p w14:paraId="59519062" w14:textId="77777777" w:rsidR="00550B22" w:rsidRDefault="00550B22" w:rsidP="00550B22">
      <w:pPr>
        <w:rPr>
          <w:lang w:val="en-US"/>
        </w:rPr>
      </w:pPr>
    </w:p>
    <w:p w14:paraId="74952D4B" w14:textId="77777777" w:rsidR="00550B22" w:rsidRDefault="00550B22" w:rsidP="00550B22">
      <w:pPr>
        <w:shd w:val="clear" w:color="auto" w:fill="FFFFFF"/>
        <w:spacing w:before="320" w:after="320"/>
        <w:rPr>
          <w:rFonts w:ascii="Arial" w:eastAsia="Arial" w:hAnsi="Arial" w:cs="Arial"/>
          <w:color w:val="0563C1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While it is widely accepted that many intimate examinations will not be suitable for a video consultation, should such a consultation be agreed, staff at this organisation are to adhere to the guidance detailed in </w:t>
      </w:r>
      <w:hyperlink r:id="rId16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 xml:space="preserve">CQC GP </w:t>
        </w:r>
        <w:proofErr w:type="spellStart"/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mythbuster</w:t>
        </w:r>
        <w:proofErr w:type="spellEnd"/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 xml:space="preserve"> 15</w:t>
        </w:r>
      </w:hyperlink>
      <w:r>
        <w:rPr>
          <w:rFonts w:ascii="Arial" w:eastAsia="Arial" w:hAnsi="Arial" w:cs="Arial"/>
          <w:color w:val="0563C1"/>
          <w:sz w:val="22"/>
          <w:szCs w:val="22"/>
          <w:u w:val="single"/>
        </w:rPr>
        <w:t xml:space="preserve">. </w:t>
      </w:r>
    </w:p>
    <w:p w14:paraId="523EDC30" w14:textId="77777777" w:rsidR="00550B22" w:rsidRPr="00550B22" w:rsidRDefault="00550B22" w:rsidP="00550B22">
      <w:pPr>
        <w:rPr>
          <w:lang w:val="en-US"/>
        </w:rPr>
      </w:pPr>
    </w:p>
    <w:p w14:paraId="483A280C" w14:textId="3034FE8A" w:rsidR="000114A0" w:rsidRPr="00A96691" w:rsidRDefault="000114A0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8" w:name="_Toc189044859"/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38"/>
    </w:p>
    <w:p w14:paraId="19F423ED" w14:textId="77777777" w:rsidR="000114A0" w:rsidRDefault="000114A0" w:rsidP="000114A0">
      <w:pPr>
        <w:rPr>
          <w:lang w:val="en-US"/>
        </w:rPr>
      </w:pPr>
    </w:p>
    <w:p w14:paraId="1F45DF6F" w14:textId="1C7D8070" w:rsidR="002624B0" w:rsidRDefault="000114A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39" w:name="_Hlk40280419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</w:t>
      </w:r>
      <w:r w:rsidRP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chaperone explaining the requirement</w:t>
      </w:r>
      <w:r w:rsidR="002F4AA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0751E976" w14:textId="77777777" w:rsidR="002624B0" w:rsidRDefault="002624B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5B7385F" w14:textId="521D96AA" w:rsidR="000114A0" w:rsidRDefault="00D40AE2" w:rsidP="000114A0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ontact reception and request a chaperone</w:t>
      </w:r>
    </w:p>
    <w:p w14:paraId="5429E980" w14:textId="77777777" w:rsidR="00286DF9" w:rsidRPr="00A96691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0FA6AD5" w14:textId="66EFA2FF" w:rsidR="000114A0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 is present and identify them</w:t>
      </w:r>
    </w:p>
    <w:p w14:paraId="124D0621" w14:textId="77777777" w:rsidR="00286DF9" w:rsidRPr="00CD6B41" w:rsidRDefault="00286DF9" w:rsidP="00CD6B41">
      <w:p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F335031" w14:textId="4C02F6A2" w:rsidR="00286DF9" w:rsidRDefault="00D40AE2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355FC2E2" w14:textId="77777777" w:rsidR="00077F82" w:rsidRPr="00077F82" w:rsidRDefault="00077F82" w:rsidP="00077F82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62632AC" w14:textId="66240727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(usually at the head end)</w:t>
      </w:r>
    </w:p>
    <w:p w14:paraId="6E01D174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272F9D4" w14:textId="3E98264B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adhere to their role at all times</w:t>
      </w:r>
    </w:p>
    <w:p w14:paraId="18CC49C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FE711E7" w14:textId="09DA95C1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ost procedure or examination, </w:t>
      </w:r>
      <w:r w:rsidR="00077F8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chaperone should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ensure they annotate in the patient’s healthcare record that they were present during the examination and there were no issues observed</w:t>
      </w:r>
    </w:p>
    <w:p w14:paraId="282FC4F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9587ECD" w14:textId="1EAE4567" w:rsidR="00286DF9" w:rsidRPr="00912CB8" w:rsidRDefault="00D40AE2" w:rsidP="00912CB8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77C4A134" w14:textId="77777777" w:rsidR="00DE3802" w:rsidRDefault="00DE3802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302E8B81" w14:textId="77777777" w:rsidR="00DE3802" w:rsidRPr="00912CB8" w:rsidRDefault="00DE3802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211"/>
        <w:gridCol w:w="3148"/>
      </w:tblGrid>
      <w:tr w:rsidR="00286DF9" w:rsidRPr="00286DF9" w14:paraId="49C118A1" w14:textId="77777777" w:rsidTr="00912CB8">
        <w:tc>
          <w:tcPr>
            <w:tcW w:w="5211" w:type="dxa"/>
            <w:shd w:val="clear" w:color="auto" w:fill="4472C4" w:themeFill="accent1"/>
          </w:tcPr>
          <w:p w14:paraId="208A5FE0" w14:textId="6307DBE0" w:rsidR="00286DF9" w:rsidRPr="00286DF9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Detail</w:t>
            </w:r>
          </w:p>
        </w:tc>
        <w:tc>
          <w:tcPr>
            <w:tcW w:w="3148" w:type="dxa"/>
            <w:shd w:val="clear" w:color="auto" w:fill="4472C4" w:themeFill="accent1"/>
          </w:tcPr>
          <w:p w14:paraId="4ADEDE51" w14:textId="1E3386BF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SNOMED CT Code</w:t>
            </w:r>
          </w:p>
          <w:p w14:paraId="14BDCA52" w14:textId="5DD18B6E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286DF9" w14:paraId="4D9086E3" w14:textId="77777777" w:rsidTr="00912CB8">
        <w:tc>
          <w:tcPr>
            <w:tcW w:w="5211" w:type="dxa"/>
          </w:tcPr>
          <w:p w14:paraId="72EF38EB" w14:textId="3F8B0D8C" w:rsidR="00286DF9" w:rsidRPr="00E63567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Th</w:t>
            </w: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e patient agrees to a chaperone</w:t>
            </w:r>
          </w:p>
        </w:tc>
        <w:tc>
          <w:tcPr>
            <w:tcW w:w="3148" w:type="dxa"/>
          </w:tcPr>
          <w:p w14:paraId="0FDAAB70" w14:textId="778CE30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1104081000000107</w:t>
            </w:r>
          </w:p>
        </w:tc>
      </w:tr>
      <w:tr w:rsidR="00286DF9" w14:paraId="2A20B161" w14:textId="77777777" w:rsidTr="00912CB8">
        <w:tc>
          <w:tcPr>
            <w:tcW w:w="5211" w:type="dxa"/>
          </w:tcPr>
          <w:p w14:paraId="45F60C68" w14:textId="5493804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Refusal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to have a chaperone present</w:t>
            </w:r>
          </w:p>
        </w:tc>
        <w:tc>
          <w:tcPr>
            <w:tcW w:w="3148" w:type="dxa"/>
          </w:tcPr>
          <w:p w14:paraId="3C938496" w14:textId="5E678F6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763380007</w:t>
            </w:r>
          </w:p>
        </w:tc>
      </w:tr>
      <w:tr w:rsidR="00286DF9" w14:paraId="5A4FAE26" w14:textId="77777777" w:rsidTr="00912CB8">
        <w:tc>
          <w:tcPr>
            <w:tcW w:w="5211" w:type="dxa"/>
          </w:tcPr>
          <w:p w14:paraId="3834AAF5" w14:textId="39AD54D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No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chaperones available</w:t>
            </w:r>
          </w:p>
        </w:tc>
        <w:tc>
          <w:tcPr>
            <w:tcW w:w="3148" w:type="dxa"/>
          </w:tcPr>
          <w:p w14:paraId="4341A43E" w14:textId="0B46DA62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428929009</w:t>
            </w:r>
          </w:p>
        </w:tc>
      </w:tr>
    </w:tbl>
    <w:p w14:paraId="0520B9F7" w14:textId="328EF407" w:rsidR="005B0DE9" w:rsidRPr="002F4AA0" w:rsidRDefault="005E00AE" w:rsidP="00E63567">
      <w:pPr>
        <w:pStyle w:val="Heading2"/>
        <w:ind w:left="0" w:firstLine="0"/>
        <w:rPr>
          <w:rFonts w:ascii="Arial" w:hAnsi="Arial" w:cs="Arial"/>
          <w:smallCaps w:val="0"/>
          <w:color w:val="auto"/>
          <w:sz w:val="24"/>
          <w:szCs w:val="24"/>
        </w:rPr>
      </w:pPr>
      <w:bookmarkStart w:id="40" w:name="_Toc56247939"/>
      <w:bookmarkStart w:id="41" w:name="_Toc56247940"/>
      <w:bookmarkStart w:id="42" w:name="_Toc56247941"/>
      <w:bookmarkStart w:id="43" w:name="_Toc56247942"/>
      <w:bookmarkStart w:id="44" w:name="_Toc56247943"/>
      <w:bookmarkStart w:id="45" w:name="_Toc189044860"/>
      <w:bookmarkEnd w:id="39"/>
      <w:bookmarkEnd w:id="40"/>
      <w:bookmarkEnd w:id="41"/>
      <w:bookmarkEnd w:id="42"/>
      <w:bookmarkEnd w:id="43"/>
      <w:bookmarkEnd w:id="44"/>
      <w:r w:rsidRPr="002F4AA0">
        <w:rPr>
          <w:rFonts w:ascii="Arial" w:hAnsi="Arial" w:cs="Arial"/>
          <w:smallCaps w:val="0"/>
          <w:color w:val="auto"/>
          <w:sz w:val="24"/>
          <w:szCs w:val="24"/>
        </w:rPr>
        <w:t xml:space="preserve">Escorting of </w:t>
      </w:r>
      <w:r w:rsidR="006E1384" w:rsidRPr="002F4AA0">
        <w:rPr>
          <w:rFonts w:ascii="Arial" w:hAnsi="Arial" w:cs="Arial"/>
          <w:smallCaps w:val="0"/>
          <w:color w:val="auto"/>
          <w:sz w:val="24"/>
          <w:szCs w:val="24"/>
        </w:rPr>
        <w:t>visitors and g</w:t>
      </w:r>
      <w:r w:rsidR="005B0DE9" w:rsidRPr="002F4AA0">
        <w:rPr>
          <w:rFonts w:ascii="Arial" w:hAnsi="Arial" w:cs="Arial"/>
          <w:smallCaps w:val="0"/>
          <w:color w:val="auto"/>
          <w:sz w:val="24"/>
          <w:szCs w:val="24"/>
        </w:rPr>
        <w:t>uests (including VIPs)</w:t>
      </w:r>
      <w:bookmarkEnd w:id="45"/>
    </w:p>
    <w:p w14:paraId="5DB03558" w14:textId="21527DDB" w:rsidR="005B0DE9" w:rsidRDefault="005B0DE9" w:rsidP="005B0DE9">
      <w:pPr>
        <w:rPr>
          <w:lang w:val="en-US"/>
        </w:rPr>
      </w:pPr>
    </w:p>
    <w:p w14:paraId="41549E63" w14:textId="717DFEC2" w:rsidR="00C271B0" w:rsidRDefault="005B0DE9" w:rsidP="00C271B0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There may be</w:t>
      </w:r>
      <w:r w:rsidR="00331C1D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on occasion, a need to ensure </w:t>
      </w:r>
      <w:r w:rsidR="00331C1D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appropriate measures are in place to </w:t>
      </w:r>
      <w:r w:rsidR="005E00AE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visitors and guests including VIPs. </w:t>
      </w:r>
      <w:r w:rsidR="00C271B0">
        <w:rPr>
          <w:rFonts w:ascii="Arial" w:hAnsi="Arial" w:cs="Arial"/>
          <w:sz w:val="22"/>
          <w:szCs w:val="22"/>
          <w:lang w:val="en-US"/>
        </w:rPr>
        <w:t xml:space="preserve">On such occasions, this organisation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will follow the recommendations outlined in the </w:t>
      </w:r>
      <w:hyperlink r:id="rId17" w:history="1">
        <w:r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Lampard Report (2015</w:t>
        </w:r>
        <w:r w:rsidR="00C271B0"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)</w:t>
        </w:r>
      </w:hyperlink>
      <w:r w:rsidR="00C271B0">
        <w:rPr>
          <w:rFonts w:ascii="Arial" w:hAnsi="Arial" w:cs="Arial"/>
          <w:sz w:val="22"/>
          <w:szCs w:val="22"/>
          <w:lang w:val="en-US"/>
        </w:rPr>
        <w:t>.</w:t>
      </w:r>
    </w:p>
    <w:p w14:paraId="53BFBEE5" w14:textId="77777777" w:rsidR="00C271B0" w:rsidRPr="00A96691" w:rsidRDefault="00C271B0" w:rsidP="00C271B0">
      <w:pPr>
        <w:rPr>
          <w:rFonts w:ascii="Arial" w:hAnsi="Arial" w:cs="Arial"/>
          <w:sz w:val="22"/>
          <w:szCs w:val="22"/>
          <w:lang w:val="en-US"/>
        </w:rPr>
      </w:pPr>
    </w:p>
    <w:p w14:paraId="0C2BB40C" w14:textId="5BCE21D8" w:rsidR="001D24C0" w:rsidRPr="00A96691" w:rsidRDefault="001D24C0" w:rsidP="00CA6885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If media interest is likely, the </w:t>
      </w:r>
      <w:r w:rsidR="00CA6885">
        <w:rPr>
          <w:rFonts w:ascii="Arial" w:hAnsi="Arial" w:cs="Arial"/>
          <w:sz w:val="22"/>
          <w:szCs w:val="22"/>
          <w:lang w:val="en-US"/>
        </w:rPr>
        <w:t>Practice Manager</w:t>
      </w:r>
      <w:r w:rsidR="00CA6885"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is to inform </w:t>
      </w:r>
      <w:r w:rsidR="00C271B0">
        <w:rPr>
          <w:rFonts w:ascii="Arial" w:hAnsi="Arial" w:cs="Arial"/>
          <w:sz w:val="22"/>
          <w:szCs w:val="22"/>
          <w:lang w:val="en-US"/>
        </w:rPr>
        <w:t>the local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9807BB">
        <w:rPr>
          <w:rFonts w:ascii="Arial" w:hAnsi="Arial" w:cs="Arial"/>
          <w:sz w:val="22"/>
          <w:szCs w:val="22"/>
          <w:lang w:val="en-US"/>
        </w:rPr>
        <w:t>ICB</w:t>
      </w:r>
      <w:r w:rsidR="006D37A8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reque</w:t>
      </w:r>
      <w:r w:rsidR="006D37A8">
        <w:rPr>
          <w:rFonts w:ascii="Arial" w:hAnsi="Arial" w:cs="Arial"/>
          <w:sz w:val="22"/>
          <w:szCs w:val="22"/>
          <w:lang w:val="en-US"/>
        </w:rPr>
        <w:t>s</w:t>
      </w:r>
      <w:r w:rsidR="00652704" w:rsidRPr="00A96691">
        <w:rPr>
          <w:rFonts w:ascii="Arial" w:hAnsi="Arial" w:cs="Arial"/>
          <w:sz w:val="22"/>
          <w:szCs w:val="22"/>
          <w:lang w:val="en-US"/>
        </w:rPr>
        <w:t xml:space="preserve">ting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the communication team provide</w:t>
      </w:r>
      <w:r w:rsidR="006D37A8">
        <w:rPr>
          <w:rFonts w:ascii="Arial" w:hAnsi="Arial" w:cs="Arial"/>
          <w:sz w:val="22"/>
          <w:szCs w:val="22"/>
          <w:lang w:val="en-US"/>
        </w:rPr>
        <w:t>s guidance</w:t>
      </w:r>
      <w:r w:rsidR="00C271B0">
        <w:rPr>
          <w:rFonts w:ascii="Arial" w:hAnsi="Arial" w:cs="Arial"/>
          <w:sz w:val="22"/>
          <w:szCs w:val="22"/>
          <w:lang w:val="en-US"/>
        </w:rPr>
        <w:t xml:space="preserve"> and</w:t>
      </w:r>
      <w:r w:rsidR="00CA6885">
        <w:rPr>
          <w:rFonts w:ascii="Arial" w:hAnsi="Arial" w:cs="Arial"/>
          <w:sz w:val="22"/>
          <w:szCs w:val="22"/>
          <w:lang w:val="en-US"/>
        </w:rPr>
        <w:t>/</w:t>
      </w:r>
      <w:r w:rsidR="00C271B0">
        <w:rPr>
          <w:rFonts w:ascii="Arial" w:hAnsi="Arial" w:cs="Arial"/>
          <w:sz w:val="22"/>
          <w:szCs w:val="22"/>
          <w:lang w:val="en-US"/>
        </w:rPr>
        <w:t>or support where necessary.</w:t>
      </w:r>
    </w:p>
    <w:p w14:paraId="5214D7F0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14323E2F" w14:textId="77777777" w:rsidR="009807BB" w:rsidRPr="009807BB" w:rsidRDefault="009807BB" w:rsidP="009807BB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12E705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53C95E7" w14:textId="77777777" w:rsidR="00DF03EF" w:rsidRDefault="00DF03EF" w:rsidP="00DF03EF">
      <w:pPr>
        <w:rPr>
          <w:rStyle w:val="Hyperlink"/>
          <w:lang w:val="en-US"/>
        </w:rPr>
      </w:pPr>
      <w:bookmarkStart w:id="46" w:name="_Annex_A_–"/>
      <w:bookmarkEnd w:id="46"/>
    </w:p>
    <w:sectPr w:rsidR="00DF03EF" w:rsidSect="00343A1F">
      <w:headerReference w:type="default" r:id="rId18"/>
      <w:footerReference w:type="even" r:id="rId19"/>
      <w:footerReference w:type="default" r:id="rId20"/>
      <w:pgSz w:w="11900" w:h="16840"/>
      <w:pgMar w:top="1440" w:right="211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BBF6" w14:textId="77777777" w:rsidR="00150EE5" w:rsidRDefault="00150EE5" w:rsidP="001A7ADA">
      <w:r>
        <w:separator/>
      </w:r>
    </w:p>
  </w:endnote>
  <w:endnote w:type="continuationSeparator" w:id="0">
    <w:p w14:paraId="5D4343AD" w14:textId="77777777" w:rsidR="00150EE5" w:rsidRDefault="00150EE5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4487" w14:textId="777777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047E" w14:textId="6A3F0A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C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6A0C06" w14:textId="77777777" w:rsidR="00126D4A" w:rsidRDefault="00126D4A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5F2B" w14:textId="77777777" w:rsidR="00150EE5" w:rsidRDefault="00150EE5" w:rsidP="001A7ADA">
      <w:r>
        <w:separator/>
      </w:r>
    </w:p>
  </w:footnote>
  <w:footnote w:type="continuationSeparator" w:id="0">
    <w:p w14:paraId="041E1005" w14:textId="77777777" w:rsidR="00150EE5" w:rsidRDefault="00150EE5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E0CF" w14:textId="4FDB4035" w:rsidR="00126D4A" w:rsidRPr="00926198" w:rsidRDefault="00926198" w:rsidP="00926198">
    <w:pPr>
      <w:pStyle w:val="Header"/>
      <w:jc w:val="center"/>
      <w:rPr>
        <w:b/>
        <w:bCs/>
        <w:color w:val="00B050"/>
        <w:sz w:val="48"/>
        <w:szCs w:val="48"/>
      </w:rPr>
    </w:pPr>
    <w:r w:rsidRPr="00926198">
      <w:rPr>
        <w:b/>
        <w:bCs/>
        <w:color w:val="00B050"/>
        <w:sz w:val="48"/>
        <w:szCs w:val="48"/>
      </w:rPr>
      <w:t>WE</w:t>
    </w:r>
    <w:r w:rsidR="00E61E7A">
      <w:rPr>
        <w:b/>
        <w:bCs/>
        <w:color w:val="00B050"/>
        <w:sz w:val="48"/>
        <w:szCs w:val="48"/>
      </w:rPr>
      <w:t>AV</w:t>
    </w:r>
    <w:r w:rsidRPr="00926198">
      <w:rPr>
        <w:b/>
        <w:bCs/>
        <w:color w:val="00B050"/>
        <w:sz w:val="48"/>
        <w:szCs w:val="48"/>
      </w:rPr>
      <w:t>ER VALE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8EA"/>
    <w:multiLevelType w:val="hybridMultilevel"/>
    <w:tmpl w:val="8A6E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6E3401"/>
    <w:multiLevelType w:val="hybridMultilevel"/>
    <w:tmpl w:val="9C32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3353"/>
    <w:multiLevelType w:val="multilevel"/>
    <w:tmpl w:val="8C2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48A9"/>
    <w:multiLevelType w:val="hybridMultilevel"/>
    <w:tmpl w:val="3DA2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B30F7"/>
    <w:multiLevelType w:val="hybridMultilevel"/>
    <w:tmpl w:val="42CC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B54"/>
    <w:multiLevelType w:val="hybridMultilevel"/>
    <w:tmpl w:val="9B80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8755">
    <w:abstractNumId w:val="8"/>
  </w:num>
  <w:num w:numId="2" w16cid:durableId="82846231">
    <w:abstractNumId w:val="0"/>
  </w:num>
  <w:num w:numId="3" w16cid:durableId="2052075681">
    <w:abstractNumId w:val="16"/>
  </w:num>
  <w:num w:numId="4" w16cid:durableId="1056586517">
    <w:abstractNumId w:val="26"/>
  </w:num>
  <w:num w:numId="5" w16cid:durableId="1812018166">
    <w:abstractNumId w:val="24"/>
  </w:num>
  <w:num w:numId="6" w16cid:durableId="2094353283">
    <w:abstractNumId w:val="15"/>
  </w:num>
  <w:num w:numId="7" w16cid:durableId="1504010502">
    <w:abstractNumId w:val="2"/>
  </w:num>
  <w:num w:numId="8" w16cid:durableId="1998193429">
    <w:abstractNumId w:val="4"/>
  </w:num>
  <w:num w:numId="9" w16cid:durableId="1257179569">
    <w:abstractNumId w:val="22"/>
  </w:num>
  <w:num w:numId="10" w16cid:durableId="437334169">
    <w:abstractNumId w:val="5"/>
  </w:num>
  <w:num w:numId="11" w16cid:durableId="1072966176">
    <w:abstractNumId w:val="9"/>
  </w:num>
  <w:num w:numId="12" w16cid:durableId="1943802675">
    <w:abstractNumId w:val="11"/>
  </w:num>
  <w:num w:numId="13" w16cid:durableId="209616336">
    <w:abstractNumId w:val="21"/>
  </w:num>
  <w:num w:numId="14" w16cid:durableId="472913591">
    <w:abstractNumId w:val="25"/>
  </w:num>
  <w:num w:numId="15" w16cid:durableId="862010163">
    <w:abstractNumId w:val="12"/>
  </w:num>
  <w:num w:numId="16" w16cid:durableId="215891948">
    <w:abstractNumId w:val="20"/>
  </w:num>
  <w:num w:numId="17" w16cid:durableId="284580584">
    <w:abstractNumId w:val="14"/>
  </w:num>
  <w:num w:numId="18" w16cid:durableId="713624504">
    <w:abstractNumId w:val="27"/>
  </w:num>
  <w:num w:numId="19" w16cid:durableId="1449547284">
    <w:abstractNumId w:val="1"/>
  </w:num>
  <w:num w:numId="20" w16cid:durableId="468861511">
    <w:abstractNumId w:val="18"/>
  </w:num>
  <w:num w:numId="21" w16cid:durableId="411970916">
    <w:abstractNumId w:val="19"/>
  </w:num>
  <w:num w:numId="22" w16cid:durableId="1674146510">
    <w:abstractNumId w:val="23"/>
  </w:num>
  <w:num w:numId="23" w16cid:durableId="58208681">
    <w:abstractNumId w:val="5"/>
  </w:num>
  <w:num w:numId="24" w16cid:durableId="1898394818">
    <w:abstractNumId w:val="5"/>
  </w:num>
  <w:num w:numId="25" w16cid:durableId="2132281515">
    <w:abstractNumId w:val="5"/>
  </w:num>
  <w:num w:numId="26" w16cid:durableId="810950085">
    <w:abstractNumId w:val="5"/>
  </w:num>
  <w:num w:numId="27" w16cid:durableId="1984695282">
    <w:abstractNumId w:val="5"/>
  </w:num>
  <w:num w:numId="28" w16cid:durableId="209001073">
    <w:abstractNumId w:val="7"/>
  </w:num>
  <w:num w:numId="29" w16cid:durableId="424039911">
    <w:abstractNumId w:val="6"/>
  </w:num>
  <w:num w:numId="30" w16cid:durableId="369309280">
    <w:abstractNumId w:val="10"/>
  </w:num>
  <w:num w:numId="31" w16cid:durableId="71127276">
    <w:abstractNumId w:val="13"/>
  </w:num>
  <w:num w:numId="32" w16cid:durableId="609895966">
    <w:abstractNumId w:val="17"/>
  </w:num>
  <w:num w:numId="33" w16cid:durableId="177779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114A0"/>
    <w:rsid w:val="000525E2"/>
    <w:rsid w:val="000532E5"/>
    <w:rsid w:val="000658F4"/>
    <w:rsid w:val="00072CCD"/>
    <w:rsid w:val="00077F82"/>
    <w:rsid w:val="0009116B"/>
    <w:rsid w:val="000C08D7"/>
    <w:rsid w:val="000C63A7"/>
    <w:rsid w:val="000D64AA"/>
    <w:rsid w:val="000F5555"/>
    <w:rsid w:val="001124E3"/>
    <w:rsid w:val="00126D4A"/>
    <w:rsid w:val="00131749"/>
    <w:rsid w:val="00132D32"/>
    <w:rsid w:val="00134281"/>
    <w:rsid w:val="00146831"/>
    <w:rsid w:val="00150EE5"/>
    <w:rsid w:val="00160F0B"/>
    <w:rsid w:val="00165544"/>
    <w:rsid w:val="00174139"/>
    <w:rsid w:val="00174558"/>
    <w:rsid w:val="001959D4"/>
    <w:rsid w:val="00196674"/>
    <w:rsid w:val="001A5809"/>
    <w:rsid w:val="001A5A31"/>
    <w:rsid w:val="001A7ADA"/>
    <w:rsid w:val="001C22E3"/>
    <w:rsid w:val="001D24C0"/>
    <w:rsid w:val="001F45C2"/>
    <w:rsid w:val="002050DA"/>
    <w:rsid w:val="00206065"/>
    <w:rsid w:val="00206463"/>
    <w:rsid w:val="0021394E"/>
    <w:rsid w:val="002341BB"/>
    <w:rsid w:val="00236735"/>
    <w:rsid w:val="00242BCA"/>
    <w:rsid w:val="00244DCD"/>
    <w:rsid w:val="00245B14"/>
    <w:rsid w:val="00250BC0"/>
    <w:rsid w:val="00253637"/>
    <w:rsid w:val="002624B0"/>
    <w:rsid w:val="0026600E"/>
    <w:rsid w:val="0026767F"/>
    <w:rsid w:val="002826CC"/>
    <w:rsid w:val="00286DF9"/>
    <w:rsid w:val="002C04CE"/>
    <w:rsid w:val="002C7888"/>
    <w:rsid w:val="002C7AA5"/>
    <w:rsid w:val="002E0DC0"/>
    <w:rsid w:val="002E419B"/>
    <w:rsid w:val="002E6B7A"/>
    <w:rsid w:val="002F4AA0"/>
    <w:rsid w:val="003061E8"/>
    <w:rsid w:val="00331C1D"/>
    <w:rsid w:val="00340F32"/>
    <w:rsid w:val="00343A1F"/>
    <w:rsid w:val="003548C7"/>
    <w:rsid w:val="0036134E"/>
    <w:rsid w:val="003671BB"/>
    <w:rsid w:val="003727CB"/>
    <w:rsid w:val="0038271D"/>
    <w:rsid w:val="00396043"/>
    <w:rsid w:val="003A093C"/>
    <w:rsid w:val="003A6581"/>
    <w:rsid w:val="003B55E8"/>
    <w:rsid w:val="003B6270"/>
    <w:rsid w:val="003D707C"/>
    <w:rsid w:val="003E73F4"/>
    <w:rsid w:val="0040722C"/>
    <w:rsid w:val="0042260A"/>
    <w:rsid w:val="0043009A"/>
    <w:rsid w:val="004422E0"/>
    <w:rsid w:val="00446B36"/>
    <w:rsid w:val="00450864"/>
    <w:rsid w:val="00462EF4"/>
    <w:rsid w:val="0046350B"/>
    <w:rsid w:val="00480428"/>
    <w:rsid w:val="004804E4"/>
    <w:rsid w:val="004856D4"/>
    <w:rsid w:val="00493388"/>
    <w:rsid w:val="00493E67"/>
    <w:rsid w:val="004C2922"/>
    <w:rsid w:val="004D30BF"/>
    <w:rsid w:val="004E0159"/>
    <w:rsid w:val="00504519"/>
    <w:rsid w:val="00512D0A"/>
    <w:rsid w:val="0051380A"/>
    <w:rsid w:val="00520739"/>
    <w:rsid w:val="0052132E"/>
    <w:rsid w:val="00534940"/>
    <w:rsid w:val="00536205"/>
    <w:rsid w:val="0054597C"/>
    <w:rsid w:val="00547585"/>
    <w:rsid w:val="00550B22"/>
    <w:rsid w:val="0055414F"/>
    <w:rsid w:val="00572EA9"/>
    <w:rsid w:val="00582904"/>
    <w:rsid w:val="00584A0C"/>
    <w:rsid w:val="00592497"/>
    <w:rsid w:val="005A5B08"/>
    <w:rsid w:val="005B0DE9"/>
    <w:rsid w:val="005E00AE"/>
    <w:rsid w:val="005F25AB"/>
    <w:rsid w:val="00625E93"/>
    <w:rsid w:val="00634245"/>
    <w:rsid w:val="00637498"/>
    <w:rsid w:val="0065017B"/>
    <w:rsid w:val="00652704"/>
    <w:rsid w:val="006650B1"/>
    <w:rsid w:val="0066702B"/>
    <w:rsid w:val="006731F9"/>
    <w:rsid w:val="00674ED2"/>
    <w:rsid w:val="00684300"/>
    <w:rsid w:val="0069158E"/>
    <w:rsid w:val="00691EAE"/>
    <w:rsid w:val="00697E17"/>
    <w:rsid w:val="006B0F78"/>
    <w:rsid w:val="006B3AFE"/>
    <w:rsid w:val="006D37A8"/>
    <w:rsid w:val="006E1384"/>
    <w:rsid w:val="006E1BE2"/>
    <w:rsid w:val="006E3925"/>
    <w:rsid w:val="006F7434"/>
    <w:rsid w:val="00701553"/>
    <w:rsid w:val="00705117"/>
    <w:rsid w:val="00731729"/>
    <w:rsid w:val="00734AAB"/>
    <w:rsid w:val="00741474"/>
    <w:rsid w:val="0074632C"/>
    <w:rsid w:val="0074778B"/>
    <w:rsid w:val="00751477"/>
    <w:rsid w:val="00751912"/>
    <w:rsid w:val="00766115"/>
    <w:rsid w:val="00766ED9"/>
    <w:rsid w:val="007703BC"/>
    <w:rsid w:val="00781C84"/>
    <w:rsid w:val="007A475E"/>
    <w:rsid w:val="007C7F1F"/>
    <w:rsid w:val="007D28C5"/>
    <w:rsid w:val="007D45DE"/>
    <w:rsid w:val="007F110E"/>
    <w:rsid w:val="007F34C9"/>
    <w:rsid w:val="008024B1"/>
    <w:rsid w:val="0080410F"/>
    <w:rsid w:val="00824A3D"/>
    <w:rsid w:val="008423EB"/>
    <w:rsid w:val="00851226"/>
    <w:rsid w:val="008609D6"/>
    <w:rsid w:val="0086511B"/>
    <w:rsid w:val="00866374"/>
    <w:rsid w:val="008706B5"/>
    <w:rsid w:val="00873FA8"/>
    <w:rsid w:val="0088291D"/>
    <w:rsid w:val="008863DD"/>
    <w:rsid w:val="00890CDD"/>
    <w:rsid w:val="008B6D58"/>
    <w:rsid w:val="008C3E36"/>
    <w:rsid w:val="008D101F"/>
    <w:rsid w:val="008E59BA"/>
    <w:rsid w:val="008F4CB6"/>
    <w:rsid w:val="008F7A1F"/>
    <w:rsid w:val="00912CB8"/>
    <w:rsid w:val="00917352"/>
    <w:rsid w:val="00926198"/>
    <w:rsid w:val="00955869"/>
    <w:rsid w:val="00960231"/>
    <w:rsid w:val="00964E93"/>
    <w:rsid w:val="0096760D"/>
    <w:rsid w:val="00971F60"/>
    <w:rsid w:val="00973C78"/>
    <w:rsid w:val="00974822"/>
    <w:rsid w:val="00977F92"/>
    <w:rsid w:val="009807BB"/>
    <w:rsid w:val="00991584"/>
    <w:rsid w:val="00996F35"/>
    <w:rsid w:val="009A2EFB"/>
    <w:rsid w:val="009A600C"/>
    <w:rsid w:val="00A02316"/>
    <w:rsid w:val="00A13559"/>
    <w:rsid w:val="00A16C3A"/>
    <w:rsid w:val="00A33265"/>
    <w:rsid w:val="00A40D2A"/>
    <w:rsid w:val="00A4249D"/>
    <w:rsid w:val="00A55E33"/>
    <w:rsid w:val="00A850EE"/>
    <w:rsid w:val="00A96691"/>
    <w:rsid w:val="00AA0569"/>
    <w:rsid w:val="00AA0D07"/>
    <w:rsid w:val="00AA25BE"/>
    <w:rsid w:val="00AA6383"/>
    <w:rsid w:val="00AB1996"/>
    <w:rsid w:val="00AB6453"/>
    <w:rsid w:val="00AC3A04"/>
    <w:rsid w:val="00AE0294"/>
    <w:rsid w:val="00AF05C1"/>
    <w:rsid w:val="00AF101E"/>
    <w:rsid w:val="00B06CE8"/>
    <w:rsid w:val="00B430B4"/>
    <w:rsid w:val="00B63CCD"/>
    <w:rsid w:val="00B80470"/>
    <w:rsid w:val="00BB22C3"/>
    <w:rsid w:val="00BB3FD8"/>
    <w:rsid w:val="00BB4D33"/>
    <w:rsid w:val="00BD2885"/>
    <w:rsid w:val="00BF0BFF"/>
    <w:rsid w:val="00C01026"/>
    <w:rsid w:val="00C020C8"/>
    <w:rsid w:val="00C02C82"/>
    <w:rsid w:val="00C140EF"/>
    <w:rsid w:val="00C24969"/>
    <w:rsid w:val="00C24A13"/>
    <w:rsid w:val="00C271B0"/>
    <w:rsid w:val="00C330F5"/>
    <w:rsid w:val="00C36C74"/>
    <w:rsid w:val="00C50536"/>
    <w:rsid w:val="00C531AC"/>
    <w:rsid w:val="00C6500F"/>
    <w:rsid w:val="00C67537"/>
    <w:rsid w:val="00C949CF"/>
    <w:rsid w:val="00CA0E7B"/>
    <w:rsid w:val="00CA6885"/>
    <w:rsid w:val="00CB1844"/>
    <w:rsid w:val="00CD211E"/>
    <w:rsid w:val="00CD5FAF"/>
    <w:rsid w:val="00CD6B41"/>
    <w:rsid w:val="00CE0E7A"/>
    <w:rsid w:val="00CE2B1E"/>
    <w:rsid w:val="00CF367A"/>
    <w:rsid w:val="00D0374B"/>
    <w:rsid w:val="00D13DEF"/>
    <w:rsid w:val="00D14C84"/>
    <w:rsid w:val="00D22F0A"/>
    <w:rsid w:val="00D30FD3"/>
    <w:rsid w:val="00D344BA"/>
    <w:rsid w:val="00D40AE2"/>
    <w:rsid w:val="00D42138"/>
    <w:rsid w:val="00D4369F"/>
    <w:rsid w:val="00D51886"/>
    <w:rsid w:val="00D6081F"/>
    <w:rsid w:val="00D66A16"/>
    <w:rsid w:val="00D709B5"/>
    <w:rsid w:val="00D77819"/>
    <w:rsid w:val="00D86F8B"/>
    <w:rsid w:val="00D91812"/>
    <w:rsid w:val="00D946C4"/>
    <w:rsid w:val="00DB0A65"/>
    <w:rsid w:val="00DE0117"/>
    <w:rsid w:val="00DE3802"/>
    <w:rsid w:val="00DF03EF"/>
    <w:rsid w:val="00DF7F75"/>
    <w:rsid w:val="00E16AC8"/>
    <w:rsid w:val="00E3013A"/>
    <w:rsid w:val="00E4181D"/>
    <w:rsid w:val="00E44634"/>
    <w:rsid w:val="00E61E7A"/>
    <w:rsid w:val="00E63567"/>
    <w:rsid w:val="00E676CA"/>
    <w:rsid w:val="00E70E2D"/>
    <w:rsid w:val="00E77596"/>
    <w:rsid w:val="00E7793A"/>
    <w:rsid w:val="00E87247"/>
    <w:rsid w:val="00E94ECF"/>
    <w:rsid w:val="00EA48C3"/>
    <w:rsid w:val="00EA6050"/>
    <w:rsid w:val="00EA7AC4"/>
    <w:rsid w:val="00EB4939"/>
    <w:rsid w:val="00EC40B2"/>
    <w:rsid w:val="00ED5BC9"/>
    <w:rsid w:val="00EE2AEB"/>
    <w:rsid w:val="00EF3839"/>
    <w:rsid w:val="00F01EC2"/>
    <w:rsid w:val="00F179B2"/>
    <w:rsid w:val="00F22797"/>
    <w:rsid w:val="00F41362"/>
    <w:rsid w:val="00F57C73"/>
    <w:rsid w:val="00F62D77"/>
    <w:rsid w:val="00F73C3F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47202D15-B2BE-D64D-98D0-740D47E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AF101E"/>
    <w:pPr>
      <w:tabs>
        <w:tab w:val="left" w:pos="440"/>
        <w:tab w:val="right" w:pos="8222"/>
      </w:tabs>
      <w:spacing w:before="36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973C78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styleId="UnresolvedMention">
    <w:name w:val="Unresolved Mention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0B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mc-uk.org/professional-standards/professional-standards-for-doctors/decision-making-and-consent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gmc-uk.org/professional-standards/professional-standards-for-doctors/intimate-examinations-and-chaperones/intimate-examinations-and-chaperones" TargetMode="External"/><Relationship Id="rId17" Type="http://schemas.openxmlformats.org/officeDocument/2006/relationships/hyperlink" Target="https://assets.publishing.service.gov.uk/government/uploads/system/uploads/attachment_data/file/407209/KL_lessons_learned_report_FINA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qc.org.uk/guidance-providers/gps/gp-mythbusters/gp-mythbuster-15-chaperon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qc.org.uk/guidance-providers/gps/gp-mythbusters/gp-mythbuster-15-chaperon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qc.org.uk/guidance-providers/gps/gp-mythbusters/gp-mythbuster-15-chaperones" TargetMode="External"/><Relationship Id="rId10" Type="http://schemas.openxmlformats.org/officeDocument/2006/relationships/hyperlink" Target="https://www.legislation.gov.uk/ukpga/2010/15/contents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practiceindex.co.uk/gp/forum/resources/chaperone-poster.1576/" TargetMode="External"/><Relationship Id="rId14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4842B0-2C41-4D8F-B0C8-A5516CFD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8192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Jess McDermott</cp:lastModifiedBy>
  <cp:revision>3</cp:revision>
  <cp:lastPrinted>2025-01-29T12:07:00Z</cp:lastPrinted>
  <dcterms:created xsi:type="dcterms:W3CDTF">2025-01-29T12:06:00Z</dcterms:created>
  <dcterms:modified xsi:type="dcterms:W3CDTF">2025-01-29T12:07:00Z</dcterms:modified>
</cp:coreProperties>
</file>