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64F3" w14:textId="75349E76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n-GB"/>
          <w14:ligatures w14:val="none"/>
        </w:rPr>
        <w:t>ADHD &amp; Autism Referrals</w:t>
      </w:r>
      <w:r w:rsidR="00965224">
        <w:rPr>
          <w:rFonts w:asciiTheme="majorHAnsi" w:eastAsia="Times New Roman" w:hAnsiTheme="majorHAnsi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(Child Referrals)</w:t>
      </w:r>
    </w:p>
    <w:p w14:paraId="6191B3B0" w14:textId="3AF617F6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We are experiencing high numbers of requests for GP appointments regarding referrals for assessment of child </w:t>
      </w:r>
      <w:proofErr w:type="gramStart"/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Attention Deficit Hyperactivity Disorder</w:t>
      </w:r>
      <w:proofErr w:type="gramEnd"/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(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ADHD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)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&amp; Autism (ASD). Information about the signs of these conditions can be found in the following links:</w:t>
      </w:r>
    </w:p>
    <w:p w14:paraId="2DA758FB" w14:textId="77777777" w:rsidR="00415A57" w:rsidRPr="00415A57" w:rsidRDefault="00965224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hyperlink r:id="rId5" w:tgtFrame="_blank" w:tooltip="https://www.nhs.uk/conditions/adhd-children-teenagers/" w:history="1">
        <w:r w:rsidR="00415A57" w:rsidRPr="00415A57">
          <w:rPr>
            <w:rFonts w:asciiTheme="majorHAnsi" w:eastAsia="Times New Roman" w:hAnsiTheme="majorHAnsi" w:cs="Times New Roman"/>
            <w:i/>
            <w:i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ADHD in children and young people - NHS</w:t>
        </w:r>
      </w:hyperlink>
    </w:p>
    <w:p w14:paraId="080D5A32" w14:textId="77777777" w:rsidR="00415A57" w:rsidRPr="00415A57" w:rsidRDefault="00965224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hyperlink r:id="rId6" w:tgtFrame="_blank" w:tooltip="https://www.nhs.uk/conditions/autism/signs/children/" w:history="1">
        <w:r w:rsidR="00415A57" w:rsidRPr="00415A57">
          <w:rPr>
            <w:rFonts w:asciiTheme="majorHAnsi" w:eastAsia="Times New Roman" w:hAnsiTheme="majorHAnsi" w:cs="Times New Roman"/>
            <w:i/>
            <w:i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Signs of autism in children - NHS</w:t>
        </w:r>
      </w:hyperlink>
    </w:p>
    <w:p w14:paraId="0349EECF" w14:textId="10D28352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If you feel your child is showing signs of ADHD or ASD then the current process recommends talking to your child’s teacher, school Special Educational Needs Coordinator (SENCO) or a member of the Healthy Fami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ly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Team (formally Health Visitors/School Nurses). They will then follow a ‘’Graduated Response’’ process which </w:t>
      </w:r>
      <w:r w:rsidR="00253D06"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involves support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/</w:t>
      </w:r>
      <w:r w:rsidR="00253D06"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signposting,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looking at reasonable adjustments within the educational setting and, where necessary, </w:t>
      </w:r>
      <w:r w:rsidR="00253D06"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completing a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General Developmental Assessment (GDA).</w:t>
      </w:r>
    </w:p>
    <w:p w14:paraId="465B28FB" w14:textId="11252D22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If a completed GDA suggests ADHD or </w:t>
      </w:r>
      <w:r w:rsidR="00253D06"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ASD,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the school or Healthy Famil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y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Team </w:t>
      </w:r>
      <w:proofErr w:type="gramStart"/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are able to</w:t>
      </w:r>
      <w:proofErr w:type="gramEnd"/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make a direct referral to the local Community Paediatricians for further assessment - and this does not require a GP appointment.</w:t>
      </w:r>
    </w:p>
    <w:p w14:paraId="323FFE5A" w14:textId="6324BEA3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In some cases, parents may prefer an assessment using a ‘’Right to Choose’’ (RTC) provider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Ri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ght to 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C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hoose 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p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rocess allows families to pick a healthcare provider for their child’s ADHD/ASD assessment. These services include private providers that work with the NHS.</w:t>
      </w:r>
    </w:p>
    <w:p w14:paraId="5C0D9304" w14:textId="69A7100F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A Right to Choose Referral does have to be made by the GP. However, in advance of a Kingfisher GP considering a referral we will need to know if the school SENCO or Healthy Famil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y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Team have been involved for support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.  In addition, </w:t>
      </w:r>
      <w:r w:rsidR="00253D06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it greatly</w:t>
      </w:r>
      <w:r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assists us if you can also </w:t>
      </w:r>
      <w:r w:rsidR="00253D06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provide </w:t>
      </w:r>
      <w:r w:rsidR="00253D06"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evidence</w:t>
      </w: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 xml:space="preserve"> of a completed GDA document which suggests the need for onward referral.</w:t>
      </w:r>
    </w:p>
    <w:p w14:paraId="0FCDF5DE" w14:textId="77777777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We understand parents’ concerns regarding ADHD/ASD and are keen to help with onward referrals wherever appropriate.</w:t>
      </w:r>
    </w:p>
    <w:p w14:paraId="6B5E1153" w14:textId="77777777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While appropriate referral for diagnosis is important, it is equally important for families to be getting the necessary support for their child.  We would also stress that having a diagnosis of ADHD/ASD is not a pre-requisite for reasonable adjustments to be put in place to support your child’s needs within their educational setting.</w:t>
      </w:r>
    </w:p>
    <w:p w14:paraId="12CB8887" w14:textId="77777777" w:rsidR="00415A57" w:rsidRP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A particularly good service for support and guidance through the Graduated Response and GDA pathway is APTCOO Bassetlaw.  Parents can make a self-referral to this service for their child.</w:t>
      </w:r>
    </w:p>
    <w:p w14:paraId="254161C3" w14:textId="77777777" w:rsidR="00415A57" w:rsidRPr="00415A57" w:rsidRDefault="00965224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hyperlink r:id="rId7" w:tgtFrame="_blank" w:tooltip="https://www.aptcoo.co.uk/aptcoo-in-bassetlaw" w:history="1">
        <w:r w:rsidR="00415A57" w:rsidRPr="00415A57">
          <w:rPr>
            <w:rFonts w:asciiTheme="majorHAnsi" w:eastAsia="Times New Roman" w:hAnsiTheme="majorHAnsi" w:cs="Times New Roman"/>
            <w:i/>
            <w:i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 xml:space="preserve">APTCOO in Bassetlaw | </w:t>
        </w:r>
        <w:proofErr w:type="spellStart"/>
        <w:r w:rsidR="00415A57" w:rsidRPr="00415A57">
          <w:rPr>
            <w:rFonts w:asciiTheme="majorHAnsi" w:eastAsia="Times New Roman" w:hAnsiTheme="majorHAnsi" w:cs="Times New Roman"/>
            <w:i/>
            <w:iCs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en-GB"/>
            <w14:ligatures w14:val="none"/>
          </w:rPr>
          <w:t>Aptcoo</w:t>
        </w:r>
        <w:proofErr w:type="spellEnd"/>
      </w:hyperlink>
    </w:p>
    <w:p w14:paraId="58502A97" w14:textId="77777777" w:rsid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i/>
          <w:iCs/>
          <w:color w:val="000000"/>
          <w:kern w:val="0"/>
          <w:sz w:val="24"/>
          <w:szCs w:val="24"/>
          <w:lang w:eastAsia="en-GB"/>
          <w14:ligatures w14:val="none"/>
        </w:rPr>
        <w:t>Please find other available support services linked below:</w:t>
      </w:r>
    </w:p>
    <w:p w14:paraId="13828C65" w14:textId="77777777" w:rsidR="00415A57" w:rsidRPr="00415A57" w:rsidRDefault="00415A57" w:rsidP="00415A5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15A57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Healthy Family Team </w:t>
      </w:r>
    </w:p>
    <w:p w14:paraId="44F18C78" w14:textId="194D2BEA" w:rsidR="00415A57" w:rsidRDefault="00965224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hyperlink r:id="rId8" w:history="1">
        <w:r w:rsidR="00415A57" w:rsidRPr="00C506FB">
          <w:rPr>
            <w:rStyle w:val="Hyperlink"/>
            <w:rFonts w:asciiTheme="majorHAnsi" w:eastAsia="Times New Roman" w:hAnsiTheme="majorHAnsi" w:cs="Times New Roman"/>
            <w:kern w:val="0"/>
            <w:sz w:val="24"/>
            <w:szCs w:val="24"/>
            <w:lang w:eastAsia="en-GB"/>
            <w14:ligatures w14:val="none"/>
          </w:rPr>
          <w:t>www.nottinghamshirehealthcare.nhs.uk/healthy-family-teams/</w:t>
        </w:r>
      </w:hyperlink>
    </w:p>
    <w:p w14:paraId="1E9BA67D" w14:textId="24DC6766" w:rsidR="00415A57" w:rsidRDefault="00415A57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  <w:t>Tel 01777 274400 (Single Point of Referral Retford Hospital)</w:t>
      </w:r>
    </w:p>
    <w:p w14:paraId="2AC63BF4" w14:textId="77777777" w:rsidR="00415A57" w:rsidRDefault="00415A57" w:rsidP="00415A5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  <w:t>Notts Help Yourself – Special Educational Needs (SEND)</w:t>
      </w:r>
    </w:p>
    <w:p w14:paraId="772C6D4C" w14:textId="2514D1ED" w:rsidR="007B5DA2" w:rsidRPr="00415A57" w:rsidRDefault="00965224" w:rsidP="00415A57">
      <w:pPr>
        <w:shd w:val="clear" w:color="auto" w:fill="FFFFFF"/>
        <w:spacing w:line="240" w:lineRule="auto"/>
        <w:jc w:val="both"/>
        <w:textAlignment w:val="baseline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lang w:eastAsia="en-GB"/>
          <w14:ligatures w14:val="none"/>
        </w:rPr>
      </w:pPr>
      <w:hyperlink r:id="rId9" w:history="1">
        <w:proofErr w:type="spellStart"/>
        <w:r w:rsidR="00415A57" w:rsidRPr="00415A57">
          <w:rPr>
            <w:color w:val="0000FF"/>
            <w:u w:val="single"/>
          </w:rPr>
          <w:t>Nottshelpyourself</w:t>
        </w:r>
        <w:proofErr w:type="spellEnd"/>
        <w:r w:rsidR="00415A57" w:rsidRPr="00415A57">
          <w:rPr>
            <w:color w:val="0000FF"/>
            <w:u w:val="single"/>
          </w:rPr>
          <w:t> | A guide to local support for children and young people with SEND in Nottinghamshire</w:t>
        </w:r>
      </w:hyperlink>
    </w:p>
    <w:sectPr w:rsidR="007B5DA2" w:rsidRPr="00415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52D19"/>
    <w:multiLevelType w:val="hybridMultilevel"/>
    <w:tmpl w:val="C59A1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7"/>
    <w:rsid w:val="00253D06"/>
    <w:rsid w:val="003C1CCF"/>
    <w:rsid w:val="00415A57"/>
    <w:rsid w:val="00445DF8"/>
    <w:rsid w:val="007B5DA2"/>
    <w:rsid w:val="00965224"/>
    <w:rsid w:val="00CC1BE2"/>
    <w:rsid w:val="00DC2002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90EC8"/>
  <w15:chartTrackingRefBased/>
  <w15:docId w15:val="{6D5D448E-6D2E-4389-BA0A-2EEBB4E5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A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A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8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tinghamshirehealthcare.nhs.uk/healthy-family-team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tcoo.co.uk/aptcoo-in-bassetl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autism/signs/childr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hs.uk/conditions/adhd-children-teenage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ottshelpyourself.org.uk/kb5/nottinghamshire/directory/site.page?id=WYOjLnhLF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Nikolas (KINGFISHER FAMILY PRACTICE)</dc:creator>
  <cp:keywords/>
  <dc:description/>
  <cp:lastModifiedBy>DOOLEY, Chloe (KINGFISHER FAMILY PRACTICE)</cp:lastModifiedBy>
  <cp:revision>3</cp:revision>
  <dcterms:created xsi:type="dcterms:W3CDTF">2025-06-23T11:38:00Z</dcterms:created>
  <dcterms:modified xsi:type="dcterms:W3CDTF">2025-06-23T11:38:00Z</dcterms:modified>
</cp:coreProperties>
</file>