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6445" w14:textId="0E0D6C7E" w:rsidR="00155812" w:rsidRDefault="00DF509B">
      <w:pPr>
        <w:spacing w:after="280"/>
        <w:rPr>
          <w:b/>
          <w:sz w:val="48"/>
          <w:szCs w:val="48"/>
        </w:rPr>
      </w:pPr>
      <w:r>
        <w:rPr>
          <w:b/>
          <w:sz w:val="48"/>
          <w:szCs w:val="48"/>
        </w:rPr>
        <w:t>NHS ADHD (</w:t>
      </w:r>
      <w:proofErr w:type="spellStart"/>
      <w:r>
        <w:rPr>
          <w:b/>
          <w:sz w:val="48"/>
          <w:szCs w:val="48"/>
        </w:rPr>
        <w:t>NeSS</w:t>
      </w:r>
      <w:proofErr w:type="spellEnd"/>
      <w:r>
        <w:rPr>
          <w:b/>
          <w:sz w:val="48"/>
          <w:szCs w:val="48"/>
        </w:rPr>
        <w:t xml:space="preserve">) and </w:t>
      </w:r>
      <w:r w:rsidR="00D623CC">
        <w:rPr>
          <w:b/>
          <w:sz w:val="48"/>
          <w:szCs w:val="48"/>
        </w:rPr>
        <w:t xml:space="preserve">Right to Choose (RTC) Referral Process </w:t>
      </w:r>
      <w:r>
        <w:rPr>
          <w:b/>
          <w:sz w:val="48"/>
          <w:szCs w:val="48"/>
        </w:rPr>
        <w:t xml:space="preserve">for ADHD/ASD </w:t>
      </w:r>
    </w:p>
    <w:p w14:paraId="315A8B93" w14:textId="7E5F6072" w:rsidR="00155812" w:rsidRPr="00DF509B" w:rsidRDefault="00DF509B">
      <w:pPr>
        <w:spacing w:before="280" w:after="280"/>
        <w:rPr>
          <w:b/>
        </w:rPr>
      </w:pPr>
      <w:r>
        <w:rPr>
          <w:b/>
        </w:rPr>
        <w:t xml:space="preserve">Derby Road health Centre </w:t>
      </w:r>
      <w:r w:rsidR="00D623CC">
        <w:br/>
      </w:r>
      <w:r>
        <w:rPr>
          <w:b/>
        </w:rPr>
        <w:t xml:space="preserve">October </w:t>
      </w:r>
      <w:r w:rsidR="00D623CC">
        <w:rPr>
          <w:b/>
        </w:rPr>
        <w:t>2025</w:t>
      </w:r>
    </w:p>
    <w:p w14:paraId="79A95E71" w14:textId="77777777" w:rsidR="00155812" w:rsidRDefault="00D623CC">
      <w:pPr>
        <w:spacing w:before="280" w:after="280"/>
        <w:rPr>
          <w:b/>
          <w:sz w:val="36"/>
          <w:szCs w:val="36"/>
        </w:rPr>
      </w:pPr>
      <w:r>
        <w:rPr>
          <w:b/>
          <w:sz w:val="36"/>
          <w:szCs w:val="36"/>
        </w:rPr>
        <w:t>Introduction</w:t>
      </w:r>
    </w:p>
    <w:p w14:paraId="7198FF4C" w14:textId="1CCD1A1A" w:rsidR="00155812" w:rsidRDefault="00D623CC">
      <w:pPr>
        <w:spacing w:before="280" w:after="280"/>
      </w:pPr>
      <w:r>
        <w:t xml:space="preserve">This document outlines the </w:t>
      </w:r>
      <w:r w:rsidR="00DF509B">
        <w:t xml:space="preserve">referral process for </w:t>
      </w:r>
      <w:proofErr w:type="gramStart"/>
      <w:r w:rsidR="00DF509B">
        <w:t>Attention Deficit Hyperactivity Disorder</w:t>
      </w:r>
      <w:proofErr w:type="gramEnd"/>
      <w:r w:rsidR="00DF509B">
        <w:t xml:space="preserve"> (ADHD)/Autism Spectrum Disorders (ASD), and </w:t>
      </w:r>
      <w:r>
        <w:rPr>
          <w:b/>
        </w:rPr>
        <w:t>Right to Choose (RTC) referral process</w:t>
      </w:r>
      <w:r>
        <w:t xml:space="preserve"> for </w:t>
      </w:r>
      <w:r>
        <w:rPr>
          <w:b/>
        </w:rPr>
        <w:t>Attention Deficit Hyperactivity Disorder (ADHD)</w:t>
      </w:r>
      <w:r w:rsidR="00DF509B">
        <w:t>/</w:t>
      </w:r>
      <w:r>
        <w:rPr>
          <w:b/>
        </w:rPr>
        <w:t>Autism Spectrum Disorder (ASD)</w:t>
      </w:r>
      <w:r>
        <w:t xml:space="preserve"> assessments. It aims to provide clear guidance for both </w:t>
      </w:r>
      <w:r>
        <w:rPr>
          <w:b/>
        </w:rPr>
        <w:t>practice staff</w:t>
      </w:r>
      <w:r>
        <w:t xml:space="preserve"> and </w:t>
      </w:r>
      <w:r>
        <w:rPr>
          <w:b/>
        </w:rPr>
        <w:t>patients</w:t>
      </w:r>
      <w:r>
        <w:t>, ensuring an efficient and safe referral process.</w:t>
      </w:r>
    </w:p>
    <w:p w14:paraId="1586F655" w14:textId="77777777" w:rsidR="00155812" w:rsidRDefault="00D623CC">
      <w:pPr>
        <w:spacing w:before="280" w:after="280"/>
      </w:pPr>
      <w:r>
        <w:t>The document is divided into two sections:</w:t>
      </w:r>
    </w:p>
    <w:p w14:paraId="75A4C7C2" w14:textId="77777777" w:rsidR="00155812" w:rsidRDefault="00D623CC">
      <w:pPr>
        <w:numPr>
          <w:ilvl w:val="0"/>
          <w:numId w:val="1"/>
        </w:numPr>
        <w:spacing w:before="280"/>
      </w:pPr>
      <w:r>
        <w:rPr>
          <w:b/>
        </w:rPr>
        <w:t>Practice Implementation</w:t>
      </w:r>
      <w:r>
        <w:t xml:space="preserve"> – Guidance for staff on processing RTC referrals.</w:t>
      </w:r>
    </w:p>
    <w:p w14:paraId="4D90561C" w14:textId="77777777" w:rsidR="00155812" w:rsidRDefault="00D623CC">
      <w:pPr>
        <w:numPr>
          <w:ilvl w:val="0"/>
          <w:numId w:val="1"/>
        </w:numPr>
        <w:spacing w:after="280"/>
      </w:pPr>
      <w:r>
        <w:rPr>
          <w:b/>
        </w:rPr>
        <w:t>Patient Information</w:t>
      </w:r>
      <w:r>
        <w:t xml:space="preserve"> – A structured guide to help patients understand their choices, responsibilities, and next steps.</w:t>
      </w:r>
    </w:p>
    <w:p w14:paraId="35445B18" w14:textId="7E135EB7" w:rsidR="00155812" w:rsidRDefault="00D623CC">
      <w:pPr>
        <w:spacing w:before="280" w:after="280"/>
      </w:pPr>
      <w:r>
        <w:t xml:space="preserve">This structured process ensures </w:t>
      </w:r>
      <w:r>
        <w:rPr>
          <w:b/>
        </w:rPr>
        <w:t>efficient referrals</w:t>
      </w:r>
      <w:r>
        <w:t xml:space="preserve">, </w:t>
      </w:r>
      <w:r>
        <w:rPr>
          <w:b/>
        </w:rPr>
        <w:t>patient safety</w:t>
      </w:r>
      <w:r>
        <w:t xml:space="preserve">, and </w:t>
      </w:r>
      <w:r>
        <w:rPr>
          <w:b/>
        </w:rPr>
        <w:t>minimal administrative burden</w:t>
      </w:r>
      <w:r>
        <w:t xml:space="preserve"> while clarifying responsibilities for both patients and practice staff. By implementing this, we aim to streamline </w:t>
      </w:r>
      <w:r w:rsidR="000E4DE7">
        <w:t xml:space="preserve">ADHD/ ASD referrals, including </w:t>
      </w:r>
      <w:r>
        <w:rPr>
          <w:b/>
        </w:rPr>
        <w:t>RTC referrals</w:t>
      </w:r>
      <w:r>
        <w:t>, reduce unnecessary delays, and protect practice resources.</w:t>
      </w:r>
    </w:p>
    <w:p w14:paraId="1A678947" w14:textId="77777777" w:rsidR="00155812" w:rsidRDefault="00000000">
      <w:r>
        <w:pict w14:anchorId="7AFB956F">
          <v:rect id="_x0000_i1025" style="width:0;height:1.5pt" o:hralign="center" o:hrstd="t" o:hr="t" fillcolor="#a0a0a0" stroked="f"/>
        </w:pict>
      </w:r>
    </w:p>
    <w:p w14:paraId="110A2F4E" w14:textId="77777777" w:rsidR="00155812" w:rsidRDefault="00D623CC">
      <w:pPr>
        <w:spacing w:before="280" w:after="280"/>
        <w:rPr>
          <w:b/>
          <w:sz w:val="36"/>
          <w:szCs w:val="36"/>
        </w:rPr>
      </w:pPr>
      <w:r>
        <w:rPr>
          <w:b/>
          <w:sz w:val="36"/>
          <w:szCs w:val="36"/>
        </w:rPr>
        <w:t>Practice Implementation: RTC Referral Process</w:t>
      </w:r>
    </w:p>
    <w:p w14:paraId="4EC573E4" w14:textId="77777777" w:rsidR="00155812" w:rsidRDefault="00D623CC">
      <w:pPr>
        <w:spacing w:before="280" w:after="280"/>
        <w:rPr>
          <w:b/>
          <w:sz w:val="27"/>
          <w:szCs w:val="27"/>
        </w:rPr>
      </w:pPr>
      <w:r>
        <w:rPr>
          <w:b/>
          <w:sz w:val="27"/>
          <w:szCs w:val="27"/>
        </w:rPr>
        <w:t>Overview</w:t>
      </w:r>
    </w:p>
    <w:p w14:paraId="07FBC048" w14:textId="77777777" w:rsidR="00155812" w:rsidRDefault="00D623CC">
      <w:pPr>
        <w:spacing w:before="280" w:after="280"/>
      </w:pPr>
      <w:r>
        <w:t xml:space="preserve">RTC allows patients to choose their preferred </w:t>
      </w:r>
      <w:r>
        <w:rPr>
          <w:b/>
        </w:rPr>
        <w:t>NHS-contracted</w:t>
      </w:r>
      <w:r>
        <w:t xml:space="preserve"> provider for ADHD/ASD assessments. This process is designed to ensure referrals are handled consistently while maintaining patient safety and minimising administrative burdens.</w:t>
      </w:r>
    </w:p>
    <w:p w14:paraId="600C4473" w14:textId="77777777" w:rsidR="00155812" w:rsidRDefault="00D623CC">
      <w:pPr>
        <w:spacing w:before="280" w:after="280"/>
        <w:rPr>
          <w:b/>
          <w:sz w:val="27"/>
          <w:szCs w:val="27"/>
        </w:rPr>
      </w:pPr>
      <w:r>
        <w:rPr>
          <w:b/>
          <w:sz w:val="27"/>
          <w:szCs w:val="27"/>
        </w:rPr>
        <w:t>Key Practice Considerations</w:t>
      </w:r>
    </w:p>
    <w:p w14:paraId="51AAD5C1" w14:textId="77777777" w:rsidR="00155812" w:rsidRDefault="00D623CC">
      <w:pPr>
        <w:numPr>
          <w:ilvl w:val="0"/>
          <w:numId w:val="4"/>
        </w:numPr>
        <w:spacing w:before="280"/>
      </w:pPr>
      <w:r>
        <w:t xml:space="preserve">Patients must </w:t>
      </w:r>
      <w:r>
        <w:rPr>
          <w:b/>
        </w:rPr>
        <w:t>choose their own provider</w:t>
      </w:r>
      <w:r>
        <w:t>—GPs cannot recommend one.</w:t>
      </w:r>
    </w:p>
    <w:p w14:paraId="21D72F1F" w14:textId="1F1853F1" w:rsidR="00155812" w:rsidRDefault="00D623CC">
      <w:pPr>
        <w:numPr>
          <w:ilvl w:val="0"/>
          <w:numId w:val="4"/>
        </w:numPr>
      </w:pPr>
      <w:proofErr w:type="spellStart"/>
      <w:r>
        <w:rPr>
          <w:b/>
        </w:rPr>
        <w:t>AccuRx</w:t>
      </w:r>
      <w:proofErr w:type="spellEnd"/>
      <w:r>
        <w:rPr>
          <w:b/>
        </w:rPr>
        <w:t xml:space="preserve"> </w:t>
      </w:r>
      <w:r w:rsidR="00DF509B">
        <w:rPr>
          <w:b/>
        </w:rPr>
        <w:t xml:space="preserve">text </w:t>
      </w:r>
      <w:r>
        <w:t xml:space="preserve">will be sent to </w:t>
      </w:r>
      <w:r w:rsidR="00DF509B">
        <w:t xml:space="preserve">the patients </w:t>
      </w:r>
      <w:r w:rsidR="000E4DE7">
        <w:t xml:space="preserve">with a referral form attached, to </w:t>
      </w:r>
      <w:r>
        <w:t xml:space="preserve">collect </w:t>
      </w:r>
      <w:r w:rsidR="00DF509B">
        <w:t xml:space="preserve">relevant </w:t>
      </w:r>
      <w:r>
        <w:t>referral information.</w:t>
      </w:r>
    </w:p>
    <w:p w14:paraId="57378237" w14:textId="77777777" w:rsidR="00155812" w:rsidRDefault="00D623CC">
      <w:pPr>
        <w:numPr>
          <w:ilvl w:val="0"/>
          <w:numId w:val="4"/>
        </w:numPr>
      </w:pPr>
      <w:r>
        <w:rPr>
          <w:b/>
        </w:rPr>
        <w:t>RTC providers are responsible</w:t>
      </w:r>
      <w:r>
        <w:t xml:space="preserve"> for arranging any transition to NHS services.</w:t>
      </w:r>
    </w:p>
    <w:p w14:paraId="078B5C8A" w14:textId="0AAA90C0" w:rsidR="00155812" w:rsidRDefault="00D623CC">
      <w:pPr>
        <w:numPr>
          <w:ilvl w:val="0"/>
          <w:numId w:val="4"/>
        </w:numPr>
        <w:spacing w:after="280"/>
      </w:pPr>
      <w:r>
        <w:rPr>
          <w:b/>
        </w:rPr>
        <w:t>GPs cannot routinely prescribe ADHD medications</w:t>
      </w:r>
      <w:r>
        <w:t>, and Shared Care Agreements are unlikely to be accepted</w:t>
      </w:r>
      <w:r w:rsidR="00DF509B">
        <w:t xml:space="preserve"> from the Right </w:t>
      </w:r>
      <w:proofErr w:type="gramStart"/>
      <w:r w:rsidR="00DF509B">
        <w:t>To</w:t>
      </w:r>
      <w:proofErr w:type="gramEnd"/>
      <w:r w:rsidR="00DF509B">
        <w:t xml:space="preserve"> Choose providers. </w:t>
      </w:r>
      <w:r w:rsidR="000E4DE7">
        <w:t xml:space="preserve">In </w:t>
      </w:r>
      <w:r w:rsidR="000E4DE7">
        <w:lastRenderedPageBreak/>
        <w:t xml:space="preserve">this situation the RTC provider remains responsible for all monitoring (Blood pressure/ weight/ pulse </w:t>
      </w:r>
      <w:proofErr w:type="gramStart"/>
      <w:r w:rsidR="000E4DE7">
        <w:t>checks)  and</w:t>
      </w:r>
      <w:proofErr w:type="gramEnd"/>
      <w:r w:rsidR="000E4DE7">
        <w:t xml:space="preserve"> prescribing. </w:t>
      </w:r>
    </w:p>
    <w:p w14:paraId="0869C479" w14:textId="77777777" w:rsidR="00155812" w:rsidRDefault="00000000">
      <w:r>
        <w:pict w14:anchorId="20A0AEF6">
          <v:rect id="_x0000_i1026" style="width:0;height:1.5pt" o:hralign="center" o:hrstd="t" o:hr="t" fillcolor="#a0a0a0" stroked="f"/>
        </w:pict>
      </w:r>
    </w:p>
    <w:p w14:paraId="5CA2FB1F" w14:textId="77777777" w:rsidR="00155812" w:rsidRDefault="00D623CC">
      <w:pPr>
        <w:spacing w:before="280" w:after="280"/>
        <w:rPr>
          <w:b/>
          <w:sz w:val="36"/>
          <w:szCs w:val="36"/>
        </w:rPr>
      </w:pPr>
      <w:r>
        <w:rPr>
          <w:b/>
          <w:sz w:val="36"/>
          <w:szCs w:val="36"/>
        </w:rPr>
        <w:t>Patient Information: Right to Choose Referrals and Prescriptions</w:t>
      </w:r>
    </w:p>
    <w:p w14:paraId="7388B1B2" w14:textId="77777777" w:rsidR="00155812" w:rsidRDefault="00D623CC">
      <w:pPr>
        <w:spacing w:before="280" w:after="280"/>
        <w:rPr>
          <w:b/>
          <w:sz w:val="27"/>
          <w:szCs w:val="27"/>
        </w:rPr>
      </w:pPr>
      <w:r>
        <w:rPr>
          <w:b/>
          <w:sz w:val="27"/>
          <w:szCs w:val="27"/>
        </w:rPr>
        <w:t>What is the Right to Choose?</w:t>
      </w:r>
    </w:p>
    <w:p w14:paraId="5E15E6E8" w14:textId="77777777" w:rsidR="00155812" w:rsidRDefault="00D623CC">
      <w:pPr>
        <w:spacing w:before="280" w:after="280"/>
      </w:pPr>
      <w:r>
        <w:t xml:space="preserve">Patients have the right to choose their provider for an </w:t>
      </w:r>
      <w:r>
        <w:rPr>
          <w:b/>
        </w:rPr>
        <w:t>ADHD or ASD</w:t>
      </w:r>
      <w:r>
        <w:t xml:space="preserve"> assessment under the NHS Right to Choose scheme. Our GPs will provide the referral to the patient or send it directly to their chosen provider upon request.</w:t>
      </w:r>
    </w:p>
    <w:p w14:paraId="09484C31" w14:textId="77777777" w:rsidR="00155812" w:rsidRDefault="00D623CC">
      <w:pPr>
        <w:spacing w:before="280" w:after="280"/>
      </w:pPr>
      <w:r>
        <w:t xml:space="preserve">If the patient has any questions about their appointment, they must contact the provider directly. </w:t>
      </w:r>
      <w:r>
        <w:rPr>
          <w:b/>
        </w:rPr>
        <w:t>RTC providers</w:t>
      </w:r>
      <w:r>
        <w:t xml:space="preserve"> are typically private companies with NHS contracts.</w:t>
      </w:r>
    </w:p>
    <w:p w14:paraId="359FBB95" w14:textId="77777777" w:rsidR="00155812" w:rsidRDefault="00D623CC">
      <w:pPr>
        <w:spacing w:before="280" w:after="280"/>
        <w:rPr>
          <w:b/>
          <w:sz w:val="27"/>
          <w:szCs w:val="27"/>
        </w:rPr>
      </w:pPr>
      <w:r>
        <w:rPr>
          <w:b/>
          <w:sz w:val="27"/>
          <w:szCs w:val="27"/>
        </w:rPr>
        <w:t>Choosing a Right to Choose Provider</w:t>
      </w:r>
    </w:p>
    <w:p w14:paraId="4BEC1D6B" w14:textId="77777777" w:rsidR="00155812" w:rsidRDefault="00D623CC">
      <w:pPr>
        <w:spacing w:before="280" w:after="280"/>
      </w:pPr>
      <w:r>
        <w:t xml:space="preserve">Our GPs </w:t>
      </w:r>
      <w:r>
        <w:rPr>
          <w:b/>
        </w:rPr>
        <w:t>cannot</w:t>
      </w:r>
      <w:r>
        <w:t xml:space="preserve"> select a provider on the patient's behalf. Patients must:</w:t>
      </w:r>
    </w:p>
    <w:p w14:paraId="3C3166FD" w14:textId="77777777" w:rsidR="00155812" w:rsidRDefault="00D623CC">
      <w:pPr>
        <w:numPr>
          <w:ilvl w:val="0"/>
          <w:numId w:val="5"/>
        </w:numPr>
        <w:spacing w:before="280"/>
      </w:pPr>
      <w:r>
        <w:t>Research their options.</w:t>
      </w:r>
    </w:p>
    <w:p w14:paraId="4E48DEF0" w14:textId="77777777" w:rsidR="00155812" w:rsidRDefault="00D623CC">
      <w:pPr>
        <w:numPr>
          <w:ilvl w:val="0"/>
          <w:numId w:val="5"/>
        </w:numPr>
      </w:pPr>
      <w:r>
        <w:t>Choose a provider that meets their needs.</w:t>
      </w:r>
    </w:p>
    <w:p w14:paraId="5C9D6DA9" w14:textId="77777777" w:rsidR="00155812" w:rsidRDefault="00D623CC">
      <w:pPr>
        <w:numPr>
          <w:ilvl w:val="0"/>
          <w:numId w:val="5"/>
        </w:numPr>
        <w:spacing w:after="280"/>
      </w:pPr>
      <w:r>
        <w:t>Inform the practice of their choice so that we can advise on the next steps.</w:t>
      </w:r>
    </w:p>
    <w:p w14:paraId="1E84C962" w14:textId="77777777" w:rsidR="00155812" w:rsidRDefault="00D623CC">
      <w:pPr>
        <w:spacing w:before="280" w:after="280"/>
      </w:pPr>
      <w:r>
        <w:t xml:space="preserve">A useful resource for finding RTC providers is </w:t>
      </w:r>
      <w:r>
        <w:rPr>
          <w:b/>
        </w:rPr>
        <w:t>ADHD UK</w:t>
      </w:r>
      <w:r>
        <w:t xml:space="preserve">: </w:t>
      </w:r>
      <w:hyperlink r:id="rId8">
        <w:r>
          <w:rPr>
            <w:color w:val="0000FF"/>
            <w:u w:val="single"/>
          </w:rPr>
          <w:t>https://adhduk.co.uk</w:t>
        </w:r>
      </w:hyperlink>
    </w:p>
    <w:p w14:paraId="672E7809" w14:textId="77777777" w:rsidR="00155812" w:rsidRDefault="00D623CC">
      <w:pPr>
        <w:spacing w:before="280" w:after="280"/>
        <w:rPr>
          <w:b/>
          <w:sz w:val="27"/>
          <w:szCs w:val="27"/>
        </w:rPr>
      </w:pPr>
      <w:r>
        <w:rPr>
          <w:b/>
          <w:sz w:val="27"/>
          <w:szCs w:val="27"/>
        </w:rPr>
        <w:t>Referrals</w:t>
      </w:r>
    </w:p>
    <w:p w14:paraId="7CBFDD63" w14:textId="77777777" w:rsidR="00155812" w:rsidRDefault="00D623CC">
      <w:pPr>
        <w:spacing w:before="280" w:after="280"/>
      </w:pPr>
      <w:r>
        <w:t>Since each provider has its own referral process, our GPs cannot complete different forms for every provider. However, most require the same core information. To streamline this process:</w:t>
      </w:r>
    </w:p>
    <w:p w14:paraId="679D2349" w14:textId="11DA6F43" w:rsidR="00155812" w:rsidRDefault="00D623CC">
      <w:pPr>
        <w:numPr>
          <w:ilvl w:val="0"/>
          <w:numId w:val="6"/>
        </w:numPr>
        <w:spacing w:before="280"/>
      </w:pPr>
      <w:r>
        <w:t xml:space="preserve">Patients will receive an </w:t>
      </w:r>
      <w:proofErr w:type="spellStart"/>
      <w:r>
        <w:rPr>
          <w:b/>
        </w:rPr>
        <w:t>AccuRx</w:t>
      </w:r>
      <w:proofErr w:type="spellEnd"/>
      <w:r>
        <w:rPr>
          <w:b/>
        </w:rPr>
        <w:t xml:space="preserve"> </w:t>
      </w:r>
      <w:r w:rsidR="00DF509B">
        <w:rPr>
          <w:b/>
        </w:rPr>
        <w:t xml:space="preserve">text </w:t>
      </w:r>
      <w:r w:rsidR="00DF509B">
        <w:t xml:space="preserve">message with </w:t>
      </w:r>
      <w:r w:rsidR="000E4DE7">
        <w:t xml:space="preserve">attached NHS/ NESS referral forms AND a generic referral form. </w:t>
      </w:r>
    </w:p>
    <w:p w14:paraId="125F9F55" w14:textId="77777777" w:rsidR="00155812" w:rsidRDefault="00D623CC">
      <w:pPr>
        <w:numPr>
          <w:ilvl w:val="0"/>
          <w:numId w:val="6"/>
        </w:numPr>
      </w:pPr>
      <w:r>
        <w:t xml:space="preserve">This will allow us to </w:t>
      </w:r>
      <w:r>
        <w:rPr>
          <w:b/>
        </w:rPr>
        <w:t>automatically collect the necessary information</w:t>
      </w:r>
      <w:r>
        <w:t xml:space="preserve"> for the referral.</w:t>
      </w:r>
    </w:p>
    <w:p w14:paraId="7970445C" w14:textId="77777777" w:rsidR="00155812" w:rsidRDefault="00D623CC">
      <w:pPr>
        <w:numPr>
          <w:ilvl w:val="0"/>
          <w:numId w:val="6"/>
        </w:numPr>
        <w:spacing w:after="280"/>
      </w:pPr>
      <w:r>
        <w:t>If the provider needs additional details, they can request them directly from the practice or the patient.</w:t>
      </w:r>
    </w:p>
    <w:p w14:paraId="62FB7E5F" w14:textId="77777777" w:rsidR="00155812" w:rsidRDefault="00D623CC">
      <w:pPr>
        <w:spacing w:before="280" w:after="280"/>
        <w:rPr>
          <w:b/>
          <w:sz w:val="27"/>
          <w:szCs w:val="27"/>
        </w:rPr>
      </w:pPr>
      <w:r>
        <w:rPr>
          <w:b/>
          <w:sz w:val="27"/>
          <w:szCs w:val="27"/>
        </w:rPr>
        <w:t>Diagnosis and Follow-up</w:t>
      </w:r>
    </w:p>
    <w:p w14:paraId="652BF394" w14:textId="77777777" w:rsidR="00155812" w:rsidRDefault="00D623CC">
      <w:pPr>
        <w:numPr>
          <w:ilvl w:val="0"/>
          <w:numId w:val="7"/>
        </w:numPr>
        <w:spacing w:before="280"/>
      </w:pPr>
      <w:r>
        <w:t xml:space="preserve">Most RTC providers </w:t>
      </w:r>
      <w:r>
        <w:rPr>
          <w:b/>
        </w:rPr>
        <w:t>operate remotely</w:t>
      </w:r>
      <w:r>
        <w:t xml:space="preserve"> and conduct online assessments.</w:t>
      </w:r>
    </w:p>
    <w:p w14:paraId="622C5246" w14:textId="77777777" w:rsidR="00155812" w:rsidRDefault="00D623CC">
      <w:pPr>
        <w:numPr>
          <w:ilvl w:val="0"/>
          <w:numId w:val="7"/>
        </w:numPr>
      </w:pPr>
      <w:r>
        <w:rPr>
          <w:b/>
        </w:rPr>
        <w:t>NHS services may not accept these diagnoses</w:t>
      </w:r>
      <w:r>
        <w:t>, and additional assessments may be required before transitioning into NHS care.</w:t>
      </w:r>
    </w:p>
    <w:p w14:paraId="595D3BA4" w14:textId="77777777" w:rsidR="00155812" w:rsidRDefault="00D623CC">
      <w:pPr>
        <w:numPr>
          <w:ilvl w:val="0"/>
          <w:numId w:val="7"/>
        </w:numPr>
        <w:spacing w:after="280"/>
      </w:pPr>
      <w:r>
        <w:rPr>
          <w:b/>
        </w:rPr>
        <w:lastRenderedPageBreak/>
        <w:t>The RTC provider is responsible for arranging any transfer of care into the NHS</w:t>
      </w:r>
      <w:r>
        <w:t xml:space="preserve">. Some providers claim they cannot do this, but this is </w:t>
      </w:r>
      <w:r>
        <w:rPr>
          <w:b/>
        </w:rPr>
        <w:t>incorrect</w:t>
      </w:r>
      <w:r>
        <w:t xml:space="preserve"> and leads to unnecessary delays and additional work for our team.</w:t>
      </w:r>
    </w:p>
    <w:p w14:paraId="68C5F837" w14:textId="77777777" w:rsidR="00155812" w:rsidRDefault="00D623CC">
      <w:pPr>
        <w:spacing w:before="280" w:after="280"/>
        <w:rPr>
          <w:b/>
          <w:sz w:val="27"/>
          <w:szCs w:val="27"/>
        </w:rPr>
      </w:pPr>
      <w:r>
        <w:rPr>
          <w:b/>
          <w:sz w:val="27"/>
          <w:szCs w:val="27"/>
        </w:rPr>
        <w:t>Prescriptions and Shared Care Agreements</w:t>
      </w:r>
    </w:p>
    <w:p w14:paraId="0DD03691" w14:textId="77777777" w:rsidR="00155812" w:rsidRDefault="00D623CC">
      <w:pPr>
        <w:spacing w:before="280" w:after="280"/>
      </w:pPr>
      <w:r>
        <w:t>If an RTC provider diagnoses a patient with ADHD, they may recommend medication. However:</w:t>
      </w:r>
    </w:p>
    <w:p w14:paraId="07CA1153" w14:textId="77777777" w:rsidR="00155812" w:rsidRDefault="00D623CC">
      <w:pPr>
        <w:numPr>
          <w:ilvl w:val="0"/>
          <w:numId w:val="8"/>
        </w:numPr>
        <w:spacing w:before="280"/>
      </w:pPr>
      <w:r>
        <w:rPr>
          <w:b/>
        </w:rPr>
        <w:t>ADHD medications are specialist-prescribed drugs</w:t>
      </w:r>
      <w:r>
        <w:t xml:space="preserve">, meaning GPs </w:t>
      </w:r>
      <w:r>
        <w:rPr>
          <w:b/>
        </w:rPr>
        <w:t>cannot routinely prescribe them</w:t>
      </w:r>
      <w:r>
        <w:t>.</w:t>
      </w:r>
    </w:p>
    <w:p w14:paraId="6E075CEA" w14:textId="77777777" w:rsidR="00155812" w:rsidRDefault="00D623CC">
      <w:pPr>
        <w:numPr>
          <w:ilvl w:val="0"/>
          <w:numId w:val="8"/>
        </w:numPr>
      </w:pPr>
      <w:r>
        <w:t xml:space="preserve">The prescribing responsibility remains with the </w:t>
      </w:r>
      <w:r>
        <w:rPr>
          <w:b/>
        </w:rPr>
        <w:t>specialist service</w:t>
      </w:r>
      <w:r>
        <w:t>.</w:t>
      </w:r>
    </w:p>
    <w:p w14:paraId="2B846CF4" w14:textId="77777777" w:rsidR="00155812" w:rsidRDefault="00D623CC">
      <w:pPr>
        <w:numPr>
          <w:ilvl w:val="0"/>
          <w:numId w:val="8"/>
        </w:numPr>
      </w:pPr>
      <w:r>
        <w:t xml:space="preserve">RTC providers may request a </w:t>
      </w:r>
      <w:r>
        <w:rPr>
          <w:b/>
        </w:rPr>
        <w:t>Shared Care Agreement</w:t>
      </w:r>
      <w:r>
        <w:t xml:space="preserve">, but we are unlikely to </w:t>
      </w:r>
      <w:proofErr w:type="gramStart"/>
      <w:r>
        <w:t>enter into</w:t>
      </w:r>
      <w:proofErr w:type="gramEnd"/>
      <w:r>
        <w:t xml:space="preserve"> these due to: </w:t>
      </w:r>
    </w:p>
    <w:p w14:paraId="12548E81" w14:textId="77777777" w:rsidR="00155812" w:rsidRDefault="00D623CC">
      <w:pPr>
        <w:numPr>
          <w:ilvl w:val="1"/>
          <w:numId w:val="8"/>
        </w:numPr>
      </w:pPr>
      <w:r>
        <w:rPr>
          <w:b/>
        </w:rPr>
        <w:t>Patient safety concerns</w:t>
      </w:r>
      <w:r>
        <w:t xml:space="preserve"> – Each RTC provider has different prescribing protocols.</w:t>
      </w:r>
    </w:p>
    <w:p w14:paraId="50EBB7BD" w14:textId="77777777" w:rsidR="00155812" w:rsidRDefault="00D623CC">
      <w:pPr>
        <w:numPr>
          <w:ilvl w:val="1"/>
          <w:numId w:val="8"/>
        </w:numPr>
        <w:spacing w:after="280"/>
      </w:pPr>
      <w:r>
        <w:rPr>
          <w:b/>
        </w:rPr>
        <w:t>Service continuity risks</w:t>
      </w:r>
      <w:r>
        <w:t xml:space="preserve"> – If an RTC provider ceases trading or loses its NHS contract, prescriptions may be suddenly discontinued.</w:t>
      </w:r>
    </w:p>
    <w:p w14:paraId="7DF4B56F" w14:textId="77777777" w:rsidR="00155812" w:rsidRDefault="00D623CC">
      <w:pPr>
        <w:spacing w:before="280" w:after="280"/>
      </w:pPr>
      <w:r>
        <w:t>Patients should consider this before choosing a provider and ensure their RTC provider will continue prescribing any recommended medications.</w:t>
      </w:r>
    </w:p>
    <w:p w14:paraId="2FE1531E" w14:textId="77777777" w:rsidR="00155812" w:rsidRDefault="00000000">
      <w:r>
        <w:pict w14:anchorId="4F64D754">
          <v:rect id="_x0000_i1027" style="width:0;height:1.5pt" o:hralign="center" o:hrstd="t" o:hr="t" fillcolor="#a0a0a0" stroked="f"/>
        </w:pict>
      </w:r>
    </w:p>
    <w:p w14:paraId="723E8009" w14:textId="77777777" w:rsidR="00155812" w:rsidRDefault="00D623CC">
      <w:pPr>
        <w:spacing w:before="280" w:after="280"/>
        <w:rPr>
          <w:b/>
          <w:sz w:val="36"/>
          <w:szCs w:val="36"/>
        </w:rPr>
      </w:pPr>
      <w:r>
        <w:rPr>
          <w:b/>
          <w:sz w:val="36"/>
          <w:szCs w:val="36"/>
        </w:rPr>
        <w:t>Next Steps for Patients</w:t>
      </w:r>
    </w:p>
    <w:p w14:paraId="62C2C6D0" w14:textId="49E69E84" w:rsidR="00155812" w:rsidRDefault="00D623CC">
      <w:pPr>
        <w:numPr>
          <w:ilvl w:val="0"/>
          <w:numId w:val="9"/>
        </w:numPr>
        <w:spacing w:before="280"/>
      </w:pPr>
      <w:r>
        <w:rPr>
          <w:b/>
        </w:rPr>
        <w:t>Step 1:</w:t>
      </w:r>
      <w:r>
        <w:t xml:space="preserve"> We will send the patient an </w:t>
      </w:r>
      <w:proofErr w:type="spellStart"/>
      <w:r>
        <w:rPr>
          <w:b/>
        </w:rPr>
        <w:t>AccuRx</w:t>
      </w:r>
      <w:proofErr w:type="spellEnd"/>
      <w:r>
        <w:rPr>
          <w:b/>
        </w:rPr>
        <w:t xml:space="preserve"> </w:t>
      </w:r>
      <w:r w:rsidR="00DF509B">
        <w:rPr>
          <w:b/>
        </w:rPr>
        <w:t xml:space="preserve">text </w:t>
      </w:r>
      <w:r>
        <w:t xml:space="preserve">to </w:t>
      </w:r>
      <w:r w:rsidR="00DF509B">
        <w:t>allow them to choose their service (</w:t>
      </w:r>
      <w:proofErr w:type="spellStart"/>
      <w:r w:rsidR="00DF509B">
        <w:t>NeSS</w:t>
      </w:r>
      <w:proofErr w:type="spellEnd"/>
      <w:r w:rsidR="00DF509B">
        <w:t xml:space="preserve"> vs RTC provider)</w:t>
      </w:r>
      <w:r w:rsidR="000E4DE7">
        <w:t>.</w:t>
      </w:r>
    </w:p>
    <w:p w14:paraId="655208FB" w14:textId="6B55D944" w:rsidR="00155812" w:rsidRDefault="00D623CC">
      <w:pPr>
        <w:numPr>
          <w:ilvl w:val="0"/>
          <w:numId w:val="9"/>
        </w:numPr>
        <w:spacing w:after="280"/>
      </w:pPr>
      <w:r>
        <w:rPr>
          <w:b/>
        </w:rPr>
        <w:t>Step 2:</w:t>
      </w:r>
      <w:r>
        <w:t xml:space="preserve"> Once they have chosen a provider</w:t>
      </w:r>
      <w:r w:rsidR="00DF509B">
        <w:t>/service</w:t>
      </w:r>
      <w:r>
        <w:t>, they must</w:t>
      </w:r>
      <w:r w:rsidR="00DF509B">
        <w:t xml:space="preserve"> complete the attached form in </w:t>
      </w:r>
      <w:proofErr w:type="spellStart"/>
      <w:r w:rsidR="00DF509B">
        <w:t>Accurx</w:t>
      </w:r>
      <w:proofErr w:type="spellEnd"/>
      <w:r w:rsidR="00DF509B">
        <w:t xml:space="preserve"> and return it,</w:t>
      </w:r>
      <w:r>
        <w:t xml:space="preserve"> so we can process the referral accordingly.</w:t>
      </w:r>
    </w:p>
    <w:p w14:paraId="2B377CF7" w14:textId="62EE12F1" w:rsidR="000E4DE7" w:rsidRDefault="000E4DE7">
      <w:pPr>
        <w:numPr>
          <w:ilvl w:val="0"/>
          <w:numId w:val="9"/>
        </w:numPr>
        <w:spacing w:after="280"/>
      </w:pPr>
      <w:r>
        <w:rPr>
          <w:b/>
        </w:rPr>
        <w:t>Step 3:</w:t>
      </w:r>
      <w:r>
        <w:t xml:space="preserve"> Await confirmation from practice secretarial team that the referral has been sent. If no confirmation has arrived within 2 weeks, patient to contact practice. </w:t>
      </w:r>
    </w:p>
    <w:p w14:paraId="7762BD1E" w14:textId="2A980A56" w:rsidR="00075841" w:rsidRDefault="00075841" w:rsidP="000E4DE7">
      <w:pPr>
        <w:spacing w:after="280"/>
        <w:rPr>
          <w:b/>
          <w:bCs/>
          <w:sz w:val="28"/>
          <w:szCs w:val="28"/>
        </w:rPr>
      </w:pPr>
      <w:r>
        <w:pict w14:anchorId="21FE0F27">
          <v:rect id="_x0000_i1029" style="width:0;height:1.5pt" o:hralign="center" o:hrstd="t" o:hr="t" fillcolor="#a0a0a0" stroked="f"/>
        </w:pict>
      </w:r>
    </w:p>
    <w:p w14:paraId="7B6CA858" w14:textId="58FCDACD" w:rsidR="000E4DE7" w:rsidRPr="00075841" w:rsidRDefault="000E4DE7" w:rsidP="000E4DE7">
      <w:pPr>
        <w:spacing w:after="280"/>
        <w:rPr>
          <w:b/>
          <w:bCs/>
          <w:sz w:val="36"/>
          <w:szCs w:val="36"/>
        </w:rPr>
      </w:pPr>
      <w:r w:rsidRPr="00075841">
        <w:rPr>
          <w:b/>
          <w:bCs/>
          <w:sz w:val="36"/>
          <w:szCs w:val="36"/>
        </w:rPr>
        <w:t xml:space="preserve">Practice steps once completed referral form has been received: </w:t>
      </w:r>
    </w:p>
    <w:p w14:paraId="5AF80D23" w14:textId="482362E7" w:rsidR="000E4DE7" w:rsidRPr="00075841" w:rsidRDefault="000E4DE7" w:rsidP="00075841">
      <w:pPr>
        <w:pStyle w:val="ListParagraph"/>
        <w:numPr>
          <w:ilvl w:val="0"/>
          <w:numId w:val="12"/>
        </w:numPr>
        <w:spacing w:after="280"/>
      </w:pPr>
      <w:r w:rsidRPr="00075841">
        <w:t xml:space="preserve">Referral form to sent to the registered GP for checking, to ensure there is sufficient information and detail, including issues dating back to childhood. GP to complete the referrer elements of the form. </w:t>
      </w:r>
    </w:p>
    <w:p w14:paraId="49D6DF0A" w14:textId="06391DDD" w:rsidR="000E4DE7" w:rsidRPr="00075841" w:rsidRDefault="000E4DE7" w:rsidP="00075841">
      <w:pPr>
        <w:pStyle w:val="ListParagraph"/>
        <w:numPr>
          <w:ilvl w:val="0"/>
          <w:numId w:val="12"/>
        </w:numPr>
        <w:spacing w:after="280"/>
      </w:pPr>
      <w:r w:rsidRPr="00075841">
        <w:t xml:space="preserve">Form to be forwarded to the secretarial team for sending to the relevant specialist provider. </w:t>
      </w:r>
    </w:p>
    <w:p w14:paraId="5FF059CC" w14:textId="522B8EB0" w:rsidR="000E4DE7" w:rsidRDefault="000E4DE7" w:rsidP="000E4DE7">
      <w:pPr>
        <w:pStyle w:val="ListParagraph"/>
        <w:numPr>
          <w:ilvl w:val="0"/>
          <w:numId w:val="12"/>
        </w:numPr>
        <w:spacing w:after="280"/>
      </w:pPr>
      <w:r w:rsidRPr="00075841">
        <w:lastRenderedPageBreak/>
        <w:t xml:space="preserve">Secretarial team to confirm to the patient via SMS/email that the referral has been sent. </w:t>
      </w:r>
    </w:p>
    <w:p w14:paraId="0FEFD442" w14:textId="35E1D7ED" w:rsidR="00155812" w:rsidRPr="00DF509B" w:rsidRDefault="00000000" w:rsidP="00DF509B">
      <w:r>
        <w:pict w14:anchorId="6AA581B0">
          <v:rect id="_x0000_i1028" style="width:0;height:1.5pt" o:hralign="center" o:hrstd="t" o:hr="t" fillcolor="#a0a0a0" stroked="f"/>
        </w:pict>
      </w:r>
      <w:r w:rsidR="00D623CC">
        <w:rPr>
          <w:b/>
          <w:sz w:val="36"/>
          <w:szCs w:val="36"/>
        </w:rPr>
        <w:t>Key Points to Consider Before Choosing an RTC Provider</w:t>
      </w:r>
    </w:p>
    <w:tbl>
      <w:tblPr>
        <w:tblStyle w:val="a"/>
        <w:tblW w:w="9026" w:type="dxa"/>
        <w:tblInd w:w="0" w:type="dxa"/>
        <w:tblLayout w:type="fixed"/>
        <w:tblLook w:val="0400" w:firstRow="0" w:lastRow="0" w:firstColumn="0" w:lastColumn="0" w:noHBand="0" w:noVBand="1"/>
      </w:tblPr>
      <w:tblGrid>
        <w:gridCol w:w="2288"/>
        <w:gridCol w:w="6738"/>
      </w:tblGrid>
      <w:tr w:rsidR="00155812" w14:paraId="6307347D" w14:textId="77777777">
        <w:trPr>
          <w:tblHeader/>
        </w:trPr>
        <w:tc>
          <w:tcPr>
            <w:tcW w:w="2288" w:type="dxa"/>
            <w:vAlign w:val="center"/>
          </w:tcPr>
          <w:p w14:paraId="7EAEAF01" w14:textId="77777777" w:rsidR="00155812" w:rsidRDefault="00D623CC">
            <w:pPr>
              <w:jc w:val="center"/>
              <w:rPr>
                <w:b/>
              </w:rPr>
            </w:pPr>
            <w:r>
              <w:rPr>
                <w:b/>
              </w:rPr>
              <w:t>Topic</w:t>
            </w:r>
          </w:p>
        </w:tc>
        <w:tc>
          <w:tcPr>
            <w:tcW w:w="6738" w:type="dxa"/>
            <w:vAlign w:val="center"/>
          </w:tcPr>
          <w:p w14:paraId="0E7CC110" w14:textId="77777777" w:rsidR="00155812" w:rsidRDefault="00D623CC">
            <w:pPr>
              <w:jc w:val="center"/>
              <w:rPr>
                <w:b/>
              </w:rPr>
            </w:pPr>
            <w:r>
              <w:rPr>
                <w:b/>
              </w:rPr>
              <w:t>Key Information</w:t>
            </w:r>
          </w:p>
        </w:tc>
      </w:tr>
      <w:tr w:rsidR="00155812" w14:paraId="4F91962E" w14:textId="77777777">
        <w:tc>
          <w:tcPr>
            <w:tcW w:w="2288" w:type="dxa"/>
            <w:vAlign w:val="center"/>
          </w:tcPr>
          <w:p w14:paraId="267589A9" w14:textId="77777777" w:rsidR="00155812" w:rsidRDefault="00D623CC">
            <w:r>
              <w:rPr>
                <w:b/>
              </w:rPr>
              <w:t>Choosing a provider</w:t>
            </w:r>
          </w:p>
        </w:tc>
        <w:tc>
          <w:tcPr>
            <w:tcW w:w="6738" w:type="dxa"/>
            <w:vAlign w:val="center"/>
          </w:tcPr>
          <w:p w14:paraId="0369F2E3" w14:textId="77777777" w:rsidR="00075841" w:rsidRDefault="00075841"/>
          <w:p w14:paraId="062EE19A" w14:textId="16BA4807" w:rsidR="00155812" w:rsidRDefault="00D623CC">
            <w:r>
              <w:t>Patients must research and select their own provider. A good starting point is ADHD UK.</w:t>
            </w:r>
          </w:p>
        </w:tc>
      </w:tr>
      <w:tr w:rsidR="00155812" w14:paraId="562371C4" w14:textId="77777777">
        <w:tc>
          <w:tcPr>
            <w:tcW w:w="2288" w:type="dxa"/>
            <w:vAlign w:val="center"/>
          </w:tcPr>
          <w:p w14:paraId="1F3B3642" w14:textId="77777777" w:rsidR="00155812" w:rsidRDefault="00D623CC">
            <w:r>
              <w:rPr>
                <w:b/>
              </w:rPr>
              <w:t>Referral process</w:t>
            </w:r>
          </w:p>
        </w:tc>
        <w:tc>
          <w:tcPr>
            <w:tcW w:w="6738" w:type="dxa"/>
            <w:vAlign w:val="center"/>
          </w:tcPr>
          <w:p w14:paraId="3D9D49C2" w14:textId="77777777" w:rsidR="00155812" w:rsidRDefault="00D623CC">
            <w:r>
              <w:t xml:space="preserve">We will send an </w:t>
            </w:r>
            <w:proofErr w:type="spellStart"/>
            <w:r>
              <w:t>AccuRx</w:t>
            </w:r>
            <w:proofErr w:type="spellEnd"/>
            <w:r>
              <w:t xml:space="preserve"> questionnaire to collect necessary details.</w:t>
            </w:r>
          </w:p>
        </w:tc>
      </w:tr>
      <w:tr w:rsidR="00155812" w14:paraId="7AF29B65" w14:textId="77777777">
        <w:tc>
          <w:tcPr>
            <w:tcW w:w="2288" w:type="dxa"/>
            <w:vAlign w:val="center"/>
          </w:tcPr>
          <w:p w14:paraId="28D04153" w14:textId="77777777" w:rsidR="00155812" w:rsidRDefault="00D623CC">
            <w:r>
              <w:rPr>
                <w:b/>
              </w:rPr>
              <w:t>Diagnosis acceptance</w:t>
            </w:r>
          </w:p>
        </w:tc>
        <w:tc>
          <w:tcPr>
            <w:tcW w:w="6738" w:type="dxa"/>
            <w:vAlign w:val="center"/>
          </w:tcPr>
          <w:p w14:paraId="5866CDD0" w14:textId="77777777" w:rsidR="00155812" w:rsidRDefault="00D623CC">
            <w:r>
              <w:t xml:space="preserve">NHS services </w:t>
            </w:r>
            <w:r>
              <w:rPr>
                <w:b/>
              </w:rPr>
              <w:t>may not</w:t>
            </w:r>
            <w:r>
              <w:t xml:space="preserve"> accept RTC diagnoses without reassessment.</w:t>
            </w:r>
          </w:p>
        </w:tc>
      </w:tr>
      <w:tr w:rsidR="00155812" w14:paraId="2EEF49F4" w14:textId="77777777">
        <w:tc>
          <w:tcPr>
            <w:tcW w:w="2288" w:type="dxa"/>
            <w:vAlign w:val="center"/>
          </w:tcPr>
          <w:p w14:paraId="4840750A" w14:textId="77777777" w:rsidR="00155812" w:rsidRDefault="00D623CC">
            <w:r>
              <w:rPr>
                <w:b/>
              </w:rPr>
              <w:t>NHS transfer responsibility</w:t>
            </w:r>
          </w:p>
        </w:tc>
        <w:tc>
          <w:tcPr>
            <w:tcW w:w="6738" w:type="dxa"/>
            <w:vAlign w:val="center"/>
          </w:tcPr>
          <w:p w14:paraId="6BD6EA81" w14:textId="77777777" w:rsidR="00155812" w:rsidRDefault="00D623CC">
            <w:r>
              <w:t xml:space="preserve">The RTC provider must arrange any transition into NHS care. Some may claim they cannot, but this is </w:t>
            </w:r>
            <w:r>
              <w:rPr>
                <w:b/>
              </w:rPr>
              <w:t>not true</w:t>
            </w:r>
            <w:r>
              <w:t>.</w:t>
            </w:r>
          </w:p>
        </w:tc>
      </w:tr>
      <w:tr w:rsidR="00155812" w14:paraId="0AB76374" w14:textId="77777777">
        <w:tc>
          <w:tcPr>
            <w:tcW w:w="2288" w:type="dxa"/>
            <w:vAlign w:val="center"/>
          </w:tcPr>
          <w:p w14:paraId="2CF4EF7B" w14:textId="77777777" w:rsidR="00155812" w:rsidRDefault="00D623CC">
            <w:r>
              <w:rPr>
                <w:b/>
              </w:rPr>
              <w:t>Prescriptions</w:t>
            </w:r>
          </w:p>
        </w:tc>
        <w:tc>
          <w:tcPr>
            <w:tcW w:w="6738" w:type="dxa"/>
            <w:vAlign w:val="center"/>
          </w:tcPr>
          <w:p w14:paraId="4B94135B" w14:textId="77777777" w:rsidR="00155812" w:rsidRDefault="00D623CC">
            <w:r>
              <w:t xml:space="preserve">Our GPs </w:t>
            </w:r>
            <w:r>
              <w:rPr>
                <w:b/>
              </w:rPr>
              <w:t>cannot routinely prescribe ADHD medication</w:t>
            </w:r>
            <w:r>
              <w:t>. Prescriptions remain the responsibility of the RTC provider.</w:t>
            </w:r>
          </w:p>
        </w:tc>
      </w:tr>
      <w:tr w:rsidR="00155812" w14:paraId="5C95FDE0" w14:textId="77777777">
        <w:tc>
          <w:tcPr>
            <w:tcW w:w="2288" w:type="dxa"/>
            <w:vAlign w:val="center"/>
          </w:tcPr>
          <w:p w14:paraId="386F0101" w14:textId="77777777" w:rsidR="00155812" w:rsidRDefault="00D623CC">
            <w:r>
              <w:rPr>
                <w:b/>
              </w:rPr>
              <w:t>Shared Care Agreements</w:t>
            </w:r>
          </w:p>
        </w:tc>
        <w:tc>
          <w:tcPr>
            <w:tcW w:w="6738" w:type="dxa"/>
            <w:vAlign w:val="center"/>
          </w:tcPr>
          <w:p w14:paraId="15864F1E" w14:textId="77777777" w:rsidR="00155812" w:rsidRDefault="00D623CC">
            <w:r>
              <w:t xml:space="preserve">We are </w:t>
            </w:r>
            <w:r>
              <w:rPr>
                <w:b/>
              </w:rPr>
              <w:t>unlikely</w:t>
            </w:r>
            <w:r>
              <w:t xml:space="preserve"> to enter into a Shared Care Agreement due to patient safety concerns and service continuity risks.</w:t>
            </w:r>
          </w:p>
        </w:tc>
      </w:tr>
    </w:tbl>
    <w:p w14:paraId="6C52AFA6" w14:textId="34257FAE" w:rsidR="00075841" w:rsidRDefault="00D623CC" w:rsidP="00DF509B">
      <w:pPr>
        <w:spacing w:before="280" w:after="280"/>
      </w:pPr>
      <w:r>
        <w:t xml:space="preserve">If patients have further questions, they should speak with us before </w:t>
      </w:r>
      <w:proofErr w:type="gramStart"/>
      <w:r>
        <w:t>making a decision</w:t>
      </w:r>
      <w:proofErr w:type="gramEnd"/>
      <w:r w:rsidR="00075841">
        <w:pict w14:anchorId="72785295">
          <v:rect id="_x0000_i1030" style="width:0;height:1.5pt" o:hralign="center" o:hrstd="t" o:hr="t" fillcolor="#a0a0a0" stroked="f"/>
        </w:pict>
      </w:r>
    </w:p>
    <w:p w14:paraId="0CCB20DD" w14:textId="1B70400D" w:rsidR="00FB3910" w:rsidRPr="00FB3910" w:rsidRDefault="00FB3910" w:rsidP="00FB3910">
      <w:pPr>
        <w:spacing w:before="280" w:after="280"/>
        <w:rPr>
          <w:b/>
          <w:bCs/>
          <w:sz w:val="36"/>
          <w:szCs w:val="36"/>
        </w:rPr>
      </w:pPr>
      <w:r w:rsidRPr="00FB3910">
        <w:rPr>
          <w:b/>
          <w:bCs/>
          <w:sz w:val="36"/>
          <w:szCs w:val="36"/>
        </w:rPr>
        <w:t>Overall Summary:</w:t>
      </w:r>
    </w:p>
    <w:p w14:paraId="67B887B6" w14:textId="77777777" w:rsidR="00FB3910" w:rsidRPr="00FB3910" w:rsidRDefault="00FB3910" w:rsidP="00FB3910">
      <w:pPr>
        <w:numPr>
          <w:ilvl w:val="0"/>
          <w:numId w:val="13"/>
        </w:numPr>
      </w:pPr>
      <w:r w:rsidRPr="00FB3910">
        <w:t>Patient asks for ADHD/ ASD referral and to see GP </w:t>
      </w:r>
    </w:p>
    <w:p w14:paraId="2D3B519F" w14:textId="454E132C" w:rsidR="00FB3910" w:rsidRPr="00FB3910" w:rsidRDefault="00FB3910" w:rsidP="00FB3910">
      <w:pPr>
        <w:numPr>
          <w:ilvl w:val="0"/>
          <w:numId w:val="14"/>
        </w:numPr>
      </w:pPr>
      <w:r w:rsidRPr="00FB3910">
        <w:t>CN advises no GP appointment is </w:t>
      </w:r>
      <w:proofErr w:type="gramStart"/>
      <w:r w:rsidRPr="00FB3910">
        <w:t>needed, but</w:t>
      </w:r>
      <w:proofErr w:type="gramEnd"/>
      <w:r w:rsidRPr="00FB3910">
        <w:t> offers to send all the necessary information for the referral to be actioned. Aim to send via EMAIL, so take/verify email address.  </w:t>
      </w:r>
    </w:p>
    <w:p w14:paraId="57B707F1" w14:textId="77777777" w:rsidR="00FB3910" w:rsidRPr="00FB3910" w:rsidRDefault="00FB3910" w:rsidP="00FB3910">
      <w:pPr>
        <w:numPr>
          <w:ilvl w:val="0"/>
          <w:numId w:val="15"/>
        </w:numPr>
      </w:pPr>
      <w:r w:rsidRPr="00FB3910">
        <w:t>Patient is then sent the agreed message, with 3 attachments:  </w:t>
      </w:r>
    </w:p>
    <w:p w14:paraId="23B897D2" w14:textId="77777777" w:rsidR="00FB3910" w:rsidRPr="00FB3910" w:rsidRDefault="00FB3910" w:rsidP="00FB3910">
      <w:pPr>
        <w:pStyle w:val="ListParagraph"/>
        <w:numPr>
          <w:ilvl w:val="1"/>
          <w:numId w:val="23"/>
        </w:numPr>
      </w:pPr>
      <w:r w:rsidRPr="00FB3910">
        <w:t>Practice referral info/ policy </w:t>
      </w:r>
    </w:p>
    <w:p w14:paraId="7BA52302" w14:textId="77777777" w:rsidR="00FB3910" w:rsidRPr="00FB3910" w:rsidRDefault="00FB3910" w:rsidP="00FB3910">
      <w:pPr>
        <w:pStyle w:val="ListParagraph"/>
        <w:numPr>
          <w:ilvl w:val="1"/>
          <w:numId w:val="23"/>
        </w:numPr>
      </w:pPr>
      <w:r w:rsidRPr="00FB3910">
        <w:t>NESS referral form </w:t>
      </w:r>
    </w:p>
    <w:p w14:paraId="093D0E1F" w14:textId="77777777" w:rsidR="00FB3910" w:rsidRPr="00FB3910" w:rsidRDefault="00FB3910" w:rsidP="00FB3910">
      <w:pPr>
        <w:pStyle w:val="ListParagraph"/>
        <w:numPr>
          <w:ilvl w:val="1"/>
          <w:numId w:val="23"/>
        </w:numPr>
      </w:pPr>
      <w:r w:rsidRPr="00FB3910">
        <w:t>Generic referral form.  </w:t>
      </w:r>
    </w:p>
    <w:p w14:paraId="065381A0" w14:textId="77777777" w:rsidR="00FB3910" w:rsidRPr="00FB3910" w:rsidRDefault="00FB3910" w:rsidP="00FB3910">
      <w:pPr>
        <w:numPr>
          <w:ilvl w:val="0"/>
          <w:numId w:val="19"/>
        </w:numPr>
      </w:pPr>
      <w:r w:rsidRPr="00FB3910">
        <w:t>Once patient has returned </w:t>
      </w:r>
      <w:proofErr w:type="gramStart"/>
      <w:r w:rsidRPr="00FB3910">
        <w:t>forms</w:t>
      </w:r>
      <w:proofErr w:type="gramEnd"/>
      <w:r w:rsidRPr="00FB3910">
        <w:t> they are sent to the registered GP for checking and completing.  </w:t>
      </w:r>
    </w:p>
    <w:p w14:paraId="4CA079BE" w14:textId="77777777" w:rsidR="00FB3910" w:rsidRPr="00FB3910" w:rsidRDefault="00FB3910" w:rsidP="00FB3910">
      <w:pPr>
        <w:numPr>
          <w:ilvl w:val="0"/>
          <w:numId w:val="20"/>
        </w:numPr>
      </w:pPr>
      <w:r w:rsidRPr="00FB3910">
        <w:t>Registered GP forwards completed referral to secretarial team.  </w:t>
      </w:r>
    </w:p>
    <w:p w14:paraId="436B44B7" w14:textId="7F318DD3" w:rsidR="00FB3910" w:rsidRPr="00FB3910" w:rsidRDefault="00FB3910" w:rsidP="00FB3910">
      <w:pPr>
        <w:numPr>
          <w:ilvl w:val="0"/>
          <w:numId w:val="21"/>
        </w:numPr>
      </w:pPr>
      <w:r w:rsidRPr="00FB3910">
        <w:t>Secretarial team action/ send referral to </w:t>
      </w:r>
      <w:proofErr w:type="gramStart"/>
      <w:r w:rsidRPr="00FB3910">
        <w:t>NESS/chosen</w:t>
      </w:r>
      <w:proofErr w:type="gramEnd"/>
      <w:r w:rsidRPr="00FB3910">
        <w:t> RTT provider and sends patient an </w:t>
      </w:r>
      <w:proofErr w:type="spellStart"/>
      <w:r w:rsidRPr="00FB3910">
        <w:t>AccuRx</w:t>
      </w:r>
      <w:proofErr w:type="spellEnd"/>
      <w:r w:rsidRPr="00FB3910">
        <w:t> to confirm that the referral has been sent. </w:t>
      </w:r>
    </w:p>
    <w:p w14:paraId="05380065" w14:textId="77777777" w:rsidR="00FB3910" w:rsidRPr="00FB3910" w:rsidRDefault="00FB3910" w:rsidP="00FB3910">
      <w:pPr>
        <w:numPr>
          <w:ilvl w:val="0"/>
          <w:numId w:val="22"/>
        </w:numPr>
      </w:pPr>
      <w:r w:rsidRPr="00FB3910">
        <w:t>Patient to contact practice if no confirmation </w:t>
      </w:r>
      <w:proofErr w:type="spellStart"/>
      <w:r w:rsidRPr="00FB3910">
        <w:t>AccurX</w:t>
      </w:r>
      <w:proofErr w:type="spellEnd"/>
      <w:r w:rsidRPr="00FB3910">
        <w:t> has been received within 2 weeks of sending completed referral form to us.  </w:t>
      </w:r>
    </w:p>
    <w:p w14:paraId="5073C2FC" w14:textId="77777777" w:rsidR="00FB3910" w:rsidRPr="00FB3910" w:rsidRDefault="00FB3910" w:rsidP="00FB3910">
      <w:pPr>
        <w:spacing w:before="280" w:after="280"/>
      </w:pPr>
      <w:r w:rsidRPr="00FB3910">
        <w:t> </w:t>
      </w:r>
    </w:p>
    <w:p w14:paraId="6BBDCD1D" w14:textId="77777777" w:rsidR="00FB3910" w:rsidRDefault="00FB3910" w:rsidP="00DF509B">
      <w:pPr>
        <w:spacing w:before="280" w:after="280"/>
      </w:pPr>
    </w:p>
    <w:sectPr w:rsidR="00FB391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Play">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911"/>
    <w:multiLevelType w:val="hybridMultilevel"/>
    <w:tmpl w:val="FE04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55639"/>
    <w:multiLevelType w:val="multilevel"/>
    <w:tmpl w:val="31E0DD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4F0DD6"/>
    <w:multiLevelType w:val="multilevel"/>
    <w:tmpl w:val="0A9446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E697A9A"/>
    <w:multiLevelType w:val="multilevel"/>
    <w:tmpl w:val="695698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E80676C"/>
    <w:multiLevelType w:val="multilevel"/>
    <w:tmpl w:val="DC36BA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0DB58D3"/>
    <w:multiLevelType w:val="multilevel"/>
    <w:tmpl w:val="DEFC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279B5"/>
    <w:multiLevelType w:val="multilevel"/>
    <w:tmpl w:val="B80C1B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326807"/>
    <w:multiLevelType w:val="multilevel"/>
    <w:tmpl w:val="452E8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43C4D08"/>
    <w:multiLevelType w:val="multilevel"/>
    <w:tmpl w:val="C90082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2AC1D9F"/>
    <w:multiLevelType w:val="multilevel"/>
    <w:tmpl w:val="0C42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A6B06"/>
    <w:multiLevelType w:val="multilevel"/>
    <w:tmpl w:val="0D8E3D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6061585"/>
    <w:multiLevelType w:val="multilevel"/>
    <w:tmpl w:val="732E2C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D12023A"/>
    <w:multiLevelType w:val="multilevel"/>
    <w:tmpl w:val="4822A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6C5B95"/>
    <w:multiLevelType w:val="multilevel"/>
    <w:tmpl w:val="59EAFD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EA270D5"/>
    <w:multiLevelType w:val="multilevel"/>
    <w:tmpl w:val="B776E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A13A9A"/>
    <w:multiLevelType w:val="multilevel"/>
    <w:tmpl w:val="A6A0C0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5741A46"/>
    <w:multiLevelType w:val="multilevel"/>
    <w:tmpl w:val="3F76F7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B494428"/>
    <w:multiLevelType w:val="multilevel"/>
    <w:tmpl w:val="F3DE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02090E"/>
    <w:multiLevelType w:val="multilevel"/>
    <w:tmpl w:val="FF2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475827"/>
    <w:multiLevelType w:val="multilevel"/>
    <w:tmpl w:val="22162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34E6212"/>
    <w:multiLevelType w:val="multilevel"/>
    <w:tmpl w:val="518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22784"/>
    <w:multiLevelType w:val="multilevel"/>
    <w:tmpl w:val="4DA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CB2B48"/>
    <w:multiLevelType w:val="multilevel"/>
    <w:tmpl w:val="2B8C0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12506803">
    <w:abstractNumId w:val="8"/>
  </w:num>
  <w:num w:numId="2" w16cid:durableId="1796290555">
    <w:abstractNumId w:val="10"/>
  </w:num>
  <w:num w:numId="3" w16cid:durableId="1187213152">
    <w:abstractNumId w:val="16"/>
  </w:num>
  <w:num w:numId="4" w16cid:durableId="528639154">
    <w:abstractNumId w:val="2"/>
  </w:num>
  <w:num w:numId="5" w16cid:durableId="1089355284">
    <w:abstractNumId w:val="6"/>
  </w:num>
  <w:num w:numId="6" w16cid:durableId="1481270870">
    <w:abstractNumId w:val="15"/>
  </w:num>
  <w:num w:numId="7" w16cid:durableId="707684800">
    <w:abstractNumId w:val="7"/>
  </w:num>
  <w:num w:numId="8" w16cid:durableId="1780418227">
    <w:abstractNumId w:val="3"/>
  </w:num>
  <w:num w:numId="9" w16cid:durableId="1369988977">
    <w:abstractNumId w:val="4"/>
  </w:num>
  <w:num w:numId="10" w16cid:durableId="1445346405">
    <w:abstractNumId w:val="1"/>
  </w:num>
  <w:num w:numId="11" w16cid:durableId="1350763347">
    <w:abstractNumId w:val="11"/>
  </w:num>
  <w:num w:numId="12" w16cid:durableId="1464928115">
    <w:abstractNumId w:val="0"/>
  </w:num>
  <w:num w:numId="13" w16cid:durableId="425226975">
    <w:abstractNumId w:val="17"/>
  </w:num>
  <w:num w:numId="14" w16cid:durableId="422606459">
    <w:abstractNumId w:val="9"/>
  </w:num>
  <w:num w:numId="15" w16cid:durableId="815030797">
    <w:abstractNumId w:val="12"/>
  </w:num>
  <w:num w:numId="16" w16cid:durableId="1557355623">
    <w:abstractNumId w:val="13"/>
  </w:num>
  <w:num w:numId="17" w16cid:durableId="1112673323">
    <w:abstractNumId w:val="19"/>
  </w:num>
  <w:num w:numId="18" w16cid:durableId="877013911">
    <w:abstractNumId w:val="22"/>
  </w:num>
  <w:num w:numId="19" w16cid:durableId="507908113">
    <w:abstractNumId w:val="20"/>
  </w:num>
  <w:num w:numId="20" w16cid:durableId="1006833204">
    <w:abstractNumId w:val="18"/>
  </w:num>
  <w:num w:numId="21" w16cid:durableId="1211265128">
    <w:abstractNumId w:val="5"/>
  </w:num>
  <w:num w:numId="22" w16cid:durableId="558055574">
    <w:abstractNumId w:val="21"/>
  </w:num>
  <w:num w:numId="23" w16cid:durableId="18915768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12"/>
    <w:rsid w:val="00075841"/>
    <w:rsid w:val="000A490E"/>
    <w:rsid w:val="000E4DE7"/>
    <w:rsid w:val="000F19B8"/>
    <w:rsid w:val="00155812"/>
    <w:rsid w:val="006A6FC7"/>
    <w:rsid w:val="00D205D4"/>
    <w:rsid w:val="00D623CC"/>
    <w:rsid w:val="00DF509B"/>
    <w:rsid w:val="00FB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2A78"/>
  <w15:docId w15:val="{0AE9C6BD-CD5B-4C45-B8E7-02DDE6E6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paragraph" w:styleId="Subtitle">
    <w:name w:val="Subtitle"/>
    <w:basedOn w:val="Normal"/>
    <w:next w:val="Normal"/>
    <w:uiPriority w:val="11"/>
    <w:qFormat/>
    <w:pPr>
      <w:spacing w:after="160"/>
    </w:pPr>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075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40849">
      <w:bodyDiv w:val="1"/>
      <w:marLeft w:val="0"/>
      <w:marRight w:val="0"/>
      <w:marTop w:val="0"/>
      <w:marBottom w:val="0"/>
      <w:divBdr>
        <w:top w:val="none" w:sz="0" w:space="0" w:color="auto"/>
        <w:left w:val="none" w:sz="0" w:space="0" w:color="auto"/>
        <w:bottom w:val="none" w:sz="0" w:space="0" w:color="auto"/>
        <w:right w:val="none" w:sz="0" w:space="0" w:color="auto"/>
      </w:divBdr>
      <w:divsChild>
        <w:div w:id="516971183">
          <w:marLeft w:val="0"/>
          <w:marRight w:val="0"/>
          <w:marTop w:val="0"/>
          <w:marBottom w:val="0"/>
          <w:divBdr>
            <w:top w:val="none" w:sz="0" w:space="0" w:color="auto"/>
            <w:left w:val="none" w:sz="0" w:space="0" w:color="auto"/>
            <w:bottom w:val="none" w:sz="0" w:space="0" w:color="auto"/>
            <w:right w:val="none" w:sz="0" w:space="0" w:color="auto"/>
          </w:divBdr>
        </w:div>
        <w:div w:id="2097481777">
          <w:marLeft w:val="0"/>
          <w:marRight w:val="0"/>
          <w:marTop w:val="0"/>
          <w:marBottom w:val="0"/>
          <w:divBdr>
            <w:top w:val="none" w:sz="0" w:space="0" w:color="auto"/>
            <w:left w:val="none" w:sz="0" w:space="0" w:color="auto"/>
            <w:bottom w:val="none" w:sz="0" w:space="0" w:color="auto"/>
            <w:right w:val="none" w:sz="0" w:space="0" w:color="auto"/>
          </w:divBdr>
        </w:div>
        <w:div w:id="379206258">
          <w:marLeft w:val="0"/>
          <w:marRight w:val="0"/>
          <w:marTop w:val="0"/>
          <w:marBottom w:val="0"/>
          <w:divBdr>
            <w:top w:val="none" w:sz="0" w:space="0" w:color="auto"/>
            <w:left w:val="none" w:sz="0" w:space="0" w:color="auto"/>
            <w:bottom w:val="none" w:sz="0" w:space="0" w:color="auto"/>
            <w:right w:val="none" w:sz="0" w:space="0" w:color="auto"/>
          </w:divBdr>
        </w:div>
        <w:div w:id="461000838">
          <w:marLeft w:val="0"/>
          <w:marRight w:val="0"/>
          <w:marTop w:val="0"/>
          <w:marBottom w:val="0"/>
          <w:divBdr>
            <w:top w:val="none" w:sz="0" w:space="0" w:color="auto"/>
            <w:left w:val="none" w:sz="0" w:space="0" w:color="auto"/>
            <w:bottom w:val="none" w:sz="0" w:space="0" w:color="auto"/>
            <w:right w:val="none" w:sz="0" w:space="0" w:color="auto"/>
          </w:divBdr>
        </w:div>
        <w:div w:id="1585456636">
          <w:marLeft w:val="0"/>
          <w:marRight w:val="0"/>
          <w:marTop w:val="0"/>
          <w:marBottom w:val="0"/>
          <w:divBdr>
            <w:top w:val="none" w:sz="0" w:space="0" w:color="auto"/>
            <w:left w:val="none" w:sz="0" w:space="0" w:color="auto"/>
            <w:bottom w:val="none" w:sz="0" w:space="0" w:color="auto"/>
            <w:right w:val="none" w:sz="0" w:space="0" w:color="auto"/>
          </w:divBdr>
        </w:div>
        <w:div w:id="537469673">
          <w:marLeft w:val="0"/>
          <w:marRight w:val="0"/>
          <w:marTop w:val="0"/>
          <w:marBottom w:val="0"/>
          <w:divBdr>
            <w:top w:val="none" w:sz="0" w:space="0" w:color="auto"/>
            <w:left w:val="none" w:sz="0" w:space="0" w:color="auto"/>
            <w:bottom w:val="none" w:sz="0" w:space="0" w:color="auto"/>
            <w:right w:val="none" w:sz="0" w:space="0" w:color="auto"/>
          </w:divBdr>
        </w:div>
        <w:div w:id="31735999">
          <w:marLeft w:val="0"/>
          <w:marRight w:val="0"/>
          <w:marTop w:val="0"/>
          <w:marBottom w:val="0"/>
          <w:divBdr>
            <w:top w:val="none" w:sz="0" w:space="0" w:color="auto"/>
            <w:left w:val="none" w:sz="0" w:space="0" w:color="auto"/>
            <w:bottom w:val="none" w:sz="0" w:space="0" w:color="auto"/>
            <w:right w:val="none" w:sz="0" w:space="0" w:color="auto"/>
          </w:divBdr>
        </w:div>
        <w:div w:id="179318086">
          <w:marLeft w:val="0"/>
          <w:marRight w:val="0"/>
          <w:marTop w:val="0"/>
          <w:marBottom w:val="0"/>
          <w:divBdr>
            <w:top w:val="none" w:sz="0" w:space="0" w:color="auto"/>
            <w:left w:val="none" w:sz="0" w:space="0" w:color="auto"/>
            <w:bottom w:val="none" w:sz="0" w:space="0" w:color="auto"/>
            <w:right w:val="none" w:sz="0" w:space="0" w:color="auto"/>
          </w:divBdr>
        </w:div>
        <w:div w:id="503787906">
          <w:marLeft w:val="0"/>
          <w:marRight w:val="0"/>
          <w:marTop w:val="0"/>
          <w:marBottom w:val="0"/>
          <w:divBdr>
            <w:top w:val="none" w:sz="0" w:space="0" w:color="auto"/>
            <w:left w:val="none" w:sz="0" w:space="0" w:color="auto"/>
            <w:bottom w:val="none" w:sz="0" w:space="0" w:color="auto"/>
            <w:right w:val="none" w:sz="0" w:space="0" w:color="auto"/>
          </w:divBdr>
        </w:div>
        <w:div w:id="438649160">
          <w:marLeft w:val="0"/>
          <w:marRight w:val="0"/>
          <w:marTop w:val="0"/>
          <w:marBottom w:val="0"/>
          <w:divBdr>
            <w:top w:val="none" w:sz="0" w:space="0" w:color="auto"/>
            <w:left w:val="none" w:sz="0" w:space="0" w:color="auto"/>
            <w:bottom w:val="none" w:sz="0" w:space="0" w:color="auto"/>
            <w:right w:val="none" w:sz="0" w:space="0" w:color="auto"/>
          </w:divBdr>
        </w:div>
        <w:div w:id="259410918">
          <w:marLeft w:val="0"/>
          <w:marRight w:val="0"/>
          <w:marTop w:val="0"/>
          <w:marBottom w:val="0"/>
          <w:divBdr>
            <w:top w:val="none" w:sz="0" w:space="0" w:color="auto"/>
            <w:left w:val="none" w:sz="0" w:space="0" w:color="auto"/>
            <w:bottom w:val="none" w:sz="0" w:space="0" w:color="auto"/>
            <w:right w:val="none" w:sz="0" w:space="0" w:color="auto"/>
          </w:divBdr>
        </w:div>
        <w:div w:id="99574508">
          <w:marLeft w:val="0"/>
          <w:marRight w:val="0"/>
          <w:marTop w:val="0"/>
          <w:marBottom w:val="0"/>
          <w:divBdr>
            <w:top w:val="none" w:sz="0" w:space="0" w:color="auto"/>
            <w:left w:val="none" w:sz="0" w:space="0" w:color="auto"/>
            <w:bottom w:val="none" w:sz="0" w:space="0" w:color="auto"/>
            <w:right w:val="none" w:sz="0" w:space="0" w:color="auto"/>
          </w:divBdr>
        </w:div>
        <w:div w:id="570045607">
          <w:marLeft w:val="0"/>
          <w:marRight w:val="0"/>
          <w:marTop w:val="0"/>
          <w:marBottom w:val="0"/>
          <w:divBdr>
            <w:top w:val="none" w:sz="0" w:space="0" w:color="auto"/>
            <w:left w:val="none" w:sz="0" w:space="0" w:color="auto"/>
            <w:bottom w:val="none" w:sz="0" w:space="0" w:color="auto"/>
            <w:right w:val="none" w:sz="0" w:space="0" w:color="auto"/>
          </w:divBdr>
        </w:div>
      </w:divsChild>
    </w:div>
    <w:div w:id="1412464316">
      <w:bodyDiv w:val="1"/>
      <w:marLeft w:val="0"/>
      <w:marRight w:val="0"/>
      <w:marTop w:val="0"/>
      <w:marBottom w:val="0"/>
      <w:divBdr>
        <w:top w:val="none" w:sz="0" w:space="0" w:color="auto"/>
        <w:left w:val="none" w:sz="0" w:space="0" w:color="auto"/>
        <w:bottom w:val="none" w:sz="0" w:space="0" w:color="auto"/>
        <w:right w:val="none" w:sz="0" w:space="0" w:color="auto"/>
      </w:divBdr>
      <w:divsChild>
        <w:div w:id="1951622928">
          <w:marLeft w:val="0"/>
          <w:marRight w:val="0"/>
          <w:marTop w:val="0"/>
          <w:marBottom w:val="0"/>
          <w:divBdr>
            <w:top w:val="none" w:sz="0" w:space="0" w:color="auto"/>
            <w:left w:val="none" w:sz="0" w:space="0" w:color="auto"/>
            <w:bottom w:val="none" w:sz="0" w:space="0" w:color="auto"/>
            <w:right w:val="none" w:sz="0" w:space="0" w:color="auto"/>
          </w:divBdr>
        </w:div>
        <w:div w:id="1952859724">
          <w:marLeft w:val="0"/>
          <w:marRight w:val="0"/>
          <w:marTop w:val="0"/>
          <w:marBottom w:val="0"/>
          <w:divBdr>
            <w:top w:val="none" w:sz="0" w:space="0" w:color="auto"/>
            <w:left w:val="none" w:sz="0" w:space="0" w:color="auto"/>
            <w:bottom w:val="none" w:sz="0" w:space="0" w:color="auto"/>
            <w:right w:val="none" w:sz="0" w:space="0" w:color="auto"/>
          </w:divBdr>
        </w:div>
        <w:div w:id="1025446120">
          <w:marLeft w:val="0"/>
          <w:marRight w:val="0"/>
          <w:marTop w:val="0"/>
          <w:marBottom w:val="0"/>
          <w:divBdr>
            <w:top w:val="none" w:sz="0" w:space="0" w:color="auto"/>
            <w:left w:val="none" w:sz="0" w:space="0" w:color="auto"/>
            <w:bottom w:val="none" w:sz="0" w:space="0" w:color="auto"/>
            <w:right w:val="none" w:sz="0" w:space="0" w:color="auto"/>
          </w:divBdr>
        </w:div>
        <w:div w:id="273558818">
          <w:marLeft w:val="0"/>
          <w:marRight w:val="0"/>
          <w:marTop w:val="0"/>
          <w:marBottom w:val="0"/>
          <w:divBdr>
            <w:top w:val="none" w:sz="0" w:space="0" w:color="auto"/>
            <w:left w:val="none" w:sz="0" w:space="0" w:color="auto"/>
            <w:bottom w:val="none" w:sz="0" w:space="0" w:color="auto"/>
            <w:right w:val="none" w:sz="0" w:space="0" w:color="auto"/>
          </w:divBdr>
        </w:div>
        <w:div w:id="1856259626">
          <w:marLeft w:val="0"/>
          <w:marRight w:val="0"/>
          <w:marTop w:val="0"/>
          <w:marBottom w:val="0"/>
          <w:divBdr>
            <w:top w:val="none" w:sz="0" w:space="0" w:color="auto"/>
            <w:left w:val="none" w:sz="0" w:space="0" w:color="auto"/>
            <w:bottom w:val="none" w:sz="0" w:space="0" w:color="auto"/>
            <w:right w:val="none" w:sz="0" w:space="0" w:color="auto"/>
          </w:divBdr>
        </w:div>
        <w:div w:id="303434727">
          <w:marLeft w:val="0"/>
          <w:marRight w:val="0"/>
          <w:marTop w:val="0"/>
          <w:marBottom w:val="0"/>
          <w:divBdr>
            <w:top w:val="none" w:sz="0" w:space="0" w:color="auto"/>
            <w:left w:val="none" w:sz="0" w:space="0" w:color="auto"/>
            <w:bottom w:val="none" w:sz="0" w:space="0" w:color="auto"/>
            <w:right w:val="none" w:sz="0" w:space="0" w:color="auto"/>
          </w:divBdr>
        </w:div>
        <w:div w:id="548226536">
          <w:marLeft w:val="0"/>
          <w:marRight w:val="0"/>
          <w:marTop w:val="0"/>
          <w:marBottom w:val="0"/>
          <w:divBdr>
            <w:top w:val="none" w:sz="0" w:space="0" w:color="auto"/>
            <w:left w:val="none" w:sz="0" w:space="0" w:color="auto"/>
            <w:bottom w:val="none" w:sz="0" w:space="0" w:color="auto"/>
            <w:right w:val="none" w:sz="0" w:space="0" w:color="auto"/>
          </w:divBdr>
        </w:div>
        <w:div w:id="587235153">
          <w:marLeft w:val="0"/>
          <w:marRight w:val="0"/>
          <w:marTop w:val="0"/>
          <w:marBottom w:val="0"/>
          <w:divBdr>
            <w:top w:val="none" w:sz="0" w:space="0" w:color="auto"/>
            <w:left w:val="none" w:sz="0" w:space="0" w:color="auto"/>
            <w:bottom w:val="none" w:sz="0" w:space="0" w:color="auto"/>
            <w:right w:val="none" w:sz="0" w:space="0" w:color="auto"/>
          </w:divBdr>
        </w:div>
        <w:div w:id="1940332065">
          <w:marLeft w:val="0"/>
          <w:marRight w:val="0"/>
          <w:marTop w:val="0"/>
          <w:marBottom w:val="0"/>
          <w:divBdr>
            <w:top w:val="none" w:sz="0" w:space="0" w:color="auto"/>
            <w:left w:val="none" w:sz="0" w:space="0" w:color="auto"/>
            <w:bottom w:val="none" w:sz="0" w:space="0" w:color="auto"/>
            <w:right w:val="none" w:sz="0" w:space="0" w:color="auto"/>
          </w:divBdr>
        </w:div>
        <w:div w:id="897017416">
          <w:marLeft w:val="0"/>
          <w:marRight w:val="0"/>
          <w:marTop w:val="0"/>
          <w:marBottom w:val="0"/>
          <w:divBdr>
            <w:top w:val="none" w:sz="0" w:space="0" w:color="auto"/>
            <w:left w:val="none" w:sz="0" w:space="0" w:color="auto"/>
            <w:bottom w:val="none" w:sz="0" w:space="0" w:color="auto"/>
            <w:right w:val="none" w:sz="0" w:space="0" w:color="auto"/>
          </w:divBdr>
        </w:div>
        <w:div w:id="462619646">
          <w:marLeft w:val="0"/>
          <w:marRight w:val="0"/>
          <w:marTop w:val="0"/>
          <w:marBottom w:val="0"/>
          <w:divBdr>
            <w:top w:val="none" w:sz="0" w:space="0" w:color="auto"/>
            <w:left w:val="none" w:sz="0" w:space="0" w:color="auto"/>
            <w:bottom w:val="none" w:sz="0" w:space="0" w:color="auto"/>
            <w:right w:val="none" w:sz="0" w:space="0" w:color="auto"/>
          </w:divBdr>
        </w:div>
        <w:div w:id="2019114013">
          <w:marLeft w:val="0"/>
          <w:marRight w:val="0"/>
          <w:marTop w:val="0"/>
          <w:marBottom w:val="0"/>
          <w:divBdr>
            <w:top w:val="none" w:sz="0" w:space="0" w:color="auto"/>
            <w:left w:val="none" w:sz="0" w:space="0" w:color="auto"/>
            <w:bottom w:val="none" w:sz="0" w:space="0" w:color="auto"/>
            <w:right w:val="none" w:sz="0" w:space="0" w:color="auto"/>
          </w:divBdr>
        </w:div>
        <w:div w:id="9049494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hduk.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4" ma:contentTypeDescription="Create a new document." ma:contentTypeScope="" ma:versionID="8dcd759d8135e7321f8adbea8f68b9ea">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3f42b0d332a387daca7edc73ebb87d5d"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element ref="ns3:MediaServiceObjectDetectorVersion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3AFC6E-7B57-4511-B22E-D3B6D5E346C0}">
  <ds:schemaRefs>
    <ds:schemaRef ds:uri="http://schemas.microsoft.com/sharepoint/v3/contenttype/forms"/>
  </ds:schemaRefs>
</ds:datastoreItem>
</file>

<file path=customXml/itemProps2.xml><?xml version="1.0" encoding="utf-8"?>
<ds:datastoreItem xmlns:ds="http://schemas.openxmlformats.org/officeDocument/2006/customXml" ds:itemID="{F7452F67-3BC9-4E90-96D0-7F5444F7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D8231-F439-4B61-8576-5A0101EF6ABB}">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HUSSAIN, Salman (DERBY ROAD HEALTH CENTRE)</cp:lastModifiedBy>
  <cp:revision>4</cp:revision>
  <cp:lastPrinted>2025-10-29T10:08:00Z</cp:lastPrinted>
  <dcterms:created xsi:type="dcterms:W3CDTF">2025-11-05T10:54:00Z</dcterms:created>
  <dcterms:modified xsi:type="dcterms:W3CDTF">2025-11-05T11:24:00Z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