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6586B5B5" w:rsidR="006D7977" w:rsidRPr="005C5309" w:rsidRDefault="00313484" w:rsidP="00313484">
      <w:pPr>
        <w:pStyle w:val="Heading1"/>
        <w:jc w:val="center"/>
      </w:pPr>
      <w:r>
        <w:t>Moorfield House Surgery P</w:t>
      </w:r>
      <w:r w:rsidR="00645217" w:rsidRPr="005C5309">
        <w:t xml:space="preserve">rivacy </w:t>
      </w:r>
      <w:r>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089E12A8"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313484">
        <w:rPr>
          <w:rFonts w:ascii="Arial" w:eastAsia="Arial" w:hAnsi="Arial" w:cs="Arial"/>
          <w:color w:val="000000" w:themeColor="text1"/>
        </w:rPr>
        <w:t>Moorfield House Surgery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1DF593C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313484">
        <w:rPr>
          <w:rFonts w:ascii="Arial" w:eastAsia="Arial" w:hAnsi="Arial" w:cs="Arial"/>
          <w:color w:val="000000" w:themeColor="text1"/>
        </w:rPr>
        <w:t>11 Wakefield Road, Garforth, Leeds, LS25 1AN</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55E40B77"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313484">
        <w:rPr>
          <w:rFonts w:ascii="Arial" w:eastAsia="Arial" w:hAnsi="Arial" w:cs="Arial"/>
          <w:color w:val="000000" w:themeColor="text1"/>
        </w:rPr>
        <w:t>0113 2862214</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1426A5FC"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hyperlink r:id="rId12" w:history="1">
        <w:r w:rsidR="00313484" w:rsidRPr="005F2234">
          <w:rPr>
            <w:rStyle w:val="Hyperlink"/>
            <w:rFonts w:ascii="Arial" w:eastAsia="Arial" w:hAnsi="Arial" w:cs="Arial"/>
          </w:rPr>
          <w:t>moorfieldhouse.admin@nhs.net</w:t>
        </w:r>
      </w:hyperlink>
      <w:r w:rsidR="00313484">
        <w:rPr>
          <w:rFonts w:ascii="Arial" w:eastAsia="Arial" w:hAnsi="Arial" w:cs="Arial"/>
          <w:color w:val="000000" w:themeColor="text1"/>
        </w:rPr>
        <w:t xml:space="preserve"> </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1057B22E" w14:textId="77777777" w:rsidR="00313484" w:rsidRDefault="00313484">
      <w:pPr>
        <w:pBdr>
          <w:top w:val="nil"/>
          <w:left w:val="nil"/>
          <w:bottom w:val="nil"/>
          <w:right w:val="nil"/>
          <w:between w:val="nil"/>
        </w:pBdr>
        <w:rPr>
          <w:rFonts w:ascii="Arial" w:eastAsia="Arial" w:hAnsi="Arial" w:cs="Arial"/>
          <w:color w:val="000000" w:themeColor="text1"/>
        </w:rPr>
      </w:pPr>
    </w:p>
    <w:p w14:paraId="00000030" w14:textId="604F7A3A" w:rsidR="006D7977" w:rsidRDefault="00313484">
      <w:pPr>
        <w:pBdr>
          <w:top w:val="nil"/>
          <w:left w:val="nil"/>
          <w:bottom w:val="nil"/>
          <w:right w:val="nil"/>
          <w:between w:val="nil"/>
        </w:pBdr>
        <w:rPr>
          <w:rFonts w:ascii="Arial" w:eastAsia="Arial" w:hAnsi="Arial" w:cs="Arial"/>
          <w:color w:val="000000" w:themeColor="text1"/>
        </w:rPr>
      </w:pPr>
      <w:r w:rsidRPr="00313484">
        <w:rPr>
          <w:rFonts w:ascii="Arial" w:eastAsia="Arial" w:hAnsi="Arial" w:cs="Arial"/>
          <w:color w:val="000000" w:themeColor="text1"/>
        </w:rPr>
        <w:t xml:space="preserve">The practice is registered with the Information Commissioners Office as a Data Controller- our registration number is: ZA488893 and you can view our registration here </w:t>
      </w:r>
      <w:hyperlink r:id="rId13" w:history="1">
        <w:r w:rsidRPr="005F2234">
          <w:rPr>
            <w:rStyle w:val="Hyperlink"/>
            <w:rFonts w:ascii="Arial" w:eastAsia="Arial" w:hAnsi="Arial" w:cs="Arial"/>
          </w:rPr>
          <w:t>https://ico.org.uk/ESDWe</w:t>
        </w:r>
        <w:r w:rsidRPr="005F2234">
          <w:rPr>
            <w:rStyle w:val="Hyperlink"/>
            <w:rFonts w:ascii="Arial" w:eastAsia="Arial" w:hAnsi="Arial" w:cs="Arial"/>
          </w:rPr>
          <w:t>b</w:t>
        </w:r>
        <w:r w:rsidRPr="005F2234">
          <w:rPr>
            <w:rStyle w:val="Hyperlink"/>
            <w:rFonts w:ascii="Arial" w:eastAsia="Arial" w:hAnsi="Arial" w:cs="Arial"/>
          </w:rPr>
          <w:t>Pages/Search</w:t>
        </w:r>
      </w:hyperlink>
      <w:r>
        <w:rPr>
          <w:rFonts w:ascii="Arial" w:eastAsia="Arial" w:hAnsi="Arial" w:cs="Arial"/>
          <w:color w:val="000000" w:themeColor="text1"/>
        </w:rPr>
        <w:t xml:space="preserve"> </w:t>
      </w:r>
    </w:p>
    <w:p w14:paraId="55016918" w14:textId="77777777" w:rsidR="00313484" w:rsidRPr="00313484" w:rsidRDefault="00313484">
      <w:pPr>
        <w:pBdr>
          <w:top w:val="nil"/>
          <w:left w:val="nil"/>
          <w:bottom w:val="nil"/>
          <w:right w:val="nil"/>
          <w:between w:val="nil"/>
        </w:pBdr>
        <w:rPr>
          <w:rFonts w:ascii="Arial" w:eastAsia="Arial" w:hAnsi="Arial" w:cs="Arial"/>
          <w:color w:val="000000" w:themeColor="text1"/>
        </w:rPr>
      </w:pPr>
    </w:p>
    <w:p w14:paraId="00000031" w14:textId="6E4883AF" w:rsidR="006D7977" w:rsidRPr="00D15FB7" w:rsidRDefault="00645217" w:rsidP="005C5309">
      <w:pPr>
        <w:pStyle w:val="Heading1"/>
        <w:rPr>
          <w:color w:val="000000"/>
        </w:rPr>
      </w:pPr>
      <w:r w:rsidRPr="00313484">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0B1F62DE"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313484">
        <w:rPr>
          <w:rFonts w:ascii="Arial" w:eastAsia="Arial" w:hAnsi="Arial" w:cs="Arial"/>
          <w:color w:val="000000" w:themeColor="text1"/>
        </w:rPr>
        <w:t>Aaron Linden</w:t>
      </w:r>
      <w:r w:rsidR="00313484">
        <w:rPr>
          <w:rFonts w:ascii="Arial" w:eastAsia="Arial" w:hAnsi="Arial" w:cs="Arial"/>
          <w:color w:val="000000" w:themeColor="text1"/>
        </w:rPr>
        <w:t xml:space="preserve"> </w:t>
      </w:r>
      <w:r w:rsidRPr="001E3BBE">
        <w:rPr>
          <w:rFonts w:ascii="Arial" w:eastAsia="Arial" w:hAnsi="Arial" w:cs="Arial"/>
          <w:color w:val="000000" w:themeColor="text1"/>
        </w:rPr>
        <w:t xml:space="preserve">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w:t>
      </w:r>
      <w:r w:rsidRPr="00313484">
        <w:rPr>
          <w:rFonts w:ascii="Arial" w:eastAsia="Arial" w:hAnsi="Arial" w:cs="Arial"/>
          <w:color w:val="000000" w:themeColor="text1"/>
        </w:rPr>
        <w:t xml:space="preserve">at </w:t>
      </w:r>
      <w:hyperlink r:id="rId14" w:history="1">
        <w:r w:rsidR="00313484" w:rsidRPr="005F2234">
          <w:rPr>
            <w:rStyle w:val="Hyperlink"/>
            <w:rFonts w:ascii="Arial" w:hAnsi="Arial" w:cs="Arial"/>
            <w:lang w:val="en"/>
          </w:rPr>
          <w:t>wyicb-leeds.dpo@nhs.net</w:t>
        </w:r>
      </w:hyperlink>
      <w:r w:rsidRPr="00313484">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67CD5" w:rsidP="007314C2">
      <w:pPr>
        <w:shd w:val="clear" w:color="auto" w:fill="FFFFFF"/>
        <w:rPr>
          <w:rFonts w:ascii="Arial" w:eastAsia="Times New Roman" w:hAnsi="Arial" w:cs="Arial"/>
          <w:color w:val="333333"/>
          <w:lang w:eastAsia="en-GB"/>
        </w:rPr>
      </w:pPr>
      <w:hyperlink r:id="rId18"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3E753AC6" w14:textId="77777777" w:rsidR="00767CD5" w:rsidRPr="00AA57FD" w:rsidRDefault="00767CD5" w:rsidP="00376841">
      <w:pPr>
        <w:shd w:val="clear" w:color="auto" w:fill="FFFFFF"/>
        <w:rPr>
          <w:rFonts w:ascii="Arial" w:eastAsia="Times New Roman" w:hAnsi="Arial" w:cs="Arial"/>
          <w:color w:val="333333"/>
          <w:sz w:val="32"/>
          <w:szCs w:val="32"/>
          <w:lang w:eastAsia="en-GB"/>
        </w:rPr>
      </w:pP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0B7C9F1F" w14:textId="77777777" w:rsidR="00313484" w:rsidRPr="00313484" w:rsidRDefault="00313484" w:rsidP="00AA57FD">
      <w:pPr>
        <w:pBdr>
          <w:top w:val="nil"/>
          <w:left w:val="nil"/>
          <w:bottom w:val="nil"/>
          <w:right w:val="nil"/>
          <w:between w:val="nil"/>
        </w:pBdr>
        <w:rPr>
          <w:rFonts w:ascii="Arial" w:eastAsiaTheme="majorEastAsia" w:hAnsi="Arial" w:cs="Arial"/>
        </w:rPr>
      </w:pPr>
      <w:r w:rsidRPr="00313484">
        <w:rPr>
          <w:rFonts w:ascii="Arial" w:eastAsiaTheme="majorEastAsia" w:hAnsi="Arial" w:cs="Arial"/>
        </w:rPr>
        <w:t>We are members of LS25/26 PCN along with Garforth Medical Centre, Gibson Lane Surgery, Kippax Hall Surgery, Lofthouse Surgery, Nova Scotia Medical Centre &amp; Oulton Medical Centre of other practices in PCN.</w:t>
      </w:r>
    </w:p>
    <w:p w14:paraId="2C404222" w14:textId="77777777" w:rsidR="00313484" w:rsidRDefault="00313484" w:rsidP="00AA57FD">
      <w:pPr>
        <w:pBdr>
          <w:top w:val="nil"/>
          <w:left w:val="nil"/>
          <w:bottom w:val="nil"/>
          <w:right w:val="nil"/>
          <w:between w:val="nil"/>
        </w:pBdr>
        <w:rPr>
          <w:color w:val="000000"/>
          <w:sz w:val="27"/>
          <w:szCs w:val="27"/>
        </w:rPr>
      </w:pPr>
    </w:p>
    <w:p w14:paraId="26B96502" w14:textId="46F125B4"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Default="00AA57FD" w:rsidP="00AA57FD">
      <w:pPr>
        <w:rPr>
          <w:rStyle w:val="Heading2Char"/>
          <w:color w:val="auto"/>
          <w:sz w:val="32"/>
          <w:szCs w:val="32"/>
        </w:rPr>
      </w:pPr>
      <w:bookmarkStart w:id="1" w:name="_Toc122588339"/>
      <w:r w:rsidRPr="00AA57FD">
        <w:rPr>
          <w:rStyle w:val="Heading2Char"/>
          <w:color w:val="auto"/>
          <w:sz w:val="32"/>
          <w:szCs w:val="32"/>
        </w:rPr>
        <w:t>For commissioning and healthcare planning purposes:</w:t>
      </w:r>
      <w:bookmarkEnd w:id="1"/>
    </w:p>
    <w:p w14:paraId="25794F44" w14:textId="77777777" w:rsidR="00767CD5" w:rsidRPr="00AA57FD" w:rsidRDefault="00767CD5" w:rsidP="00AA57FD">
      <w:pPr>
        <w:rPr>
          <w:rStyle w:val="Heading2Char"/>
          <w:b w:val="0"/>
          <w:color w:val="auto"/>
          <w:sz w:val="32"/>
          <w:szCs w:val="32"/>
        </w:rPr>
      </w:pPr>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767CD5"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767CD5"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767CD5"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4"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7C84F1C" w14:textId="77777777" w:rsidR="00767CD5" w:rsidRDefault="00767CD5" w:rsidP="007E0975">
      <w:pPr>
        <w:shd w:val="clear" w:color="auto" w:fill="FFFFFF"/>
        <w:rPr>
          <w:rStyle w:val="Heading2Char"/>
          <w:color w:val="auto"/>
          <w:sz w:val="32"/>
          <w:szCs w:val="32"/>
        </w:rPr>
      </w:pP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2A9F253C" w14:textId="77777777" w:rsidR="00767CD5" w:rsidRDefault="00767CD5" w:rsidP="0091165F">
      <w:pPr>
        <w:shd w:val="clear" w:color="auto" w:fill="FFFFFF"/>
        <w:rPr>
          <w:rStyle w:val="Heading2Char"/>
          <w:color w:val="auto"/>
          <w:sz w:val="32"/>
          <w:szCs w:val="32"/>
        </w:rPr>
      </w:pPr>
    </w:p>
    <w:p w14:paraId="3EBCCA6E" w14:textId="56C01B07" w:rsidR="008D4676" w:rsidRPr="008D4676" w:rsidRDefault="00767CD5" w:rsidP="008D4676">
      <w:pPr>
        <w:autoSpaceDE w:val="0"/>
        <w:autoSpaceDN w:val="0"/>
        <w:adjustRightInd w:val="0"/>
        <w:rPr>
          <w:rFonts w:ascii="Arial" w:eastAsia="Times New Roman" w:hAnsi="Arial" w:cs="Arial"/>
          <w:color w:val="333333"/>
          <w:lang w:eastAsia="en-GB"/>
        </w:rPr>
      </w:pPr>
      <w:hyperlink r:id="rId28"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9"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3C46F4CC" w14:textId="77777777" w:rsidR="00767CD5" w:rsidRPr="00C217F7" w:rsidRDefault="00767CD5" w:rsidP="00AA57FD">
      <w:pPr>
        <w:shd w:val="clear" w:color="auto" w:fill="FFFFFF"/>
        <w:rPr>
          <w:rStyle w:val="Heading2Char"/>
          <w:bCs/>
          <w:color w:val="auto"/>
          <w:sz w:val="32"/>
          <w:szCs w:val="32"/>
        </w:rPr>
      </w:pPr>
    </w:p>
    <w:p w14:paraId="07EAA0C8" w14:textId="14A33B00" w:rsidR="003943EE" w:rsidRDefault="00767CD5" w:rsidP="00AA57FD">
      <w:pPr>
        <w:shd w:val="clear" w:color="auto" w:fill="FFFFFF"/>
        <w:rPr>
          <w:rStyle w:val="Heading2Char"/>
          <w:b w:val="0"/>
          <w:color w:val="auto"/>
        </w:rPr>
      </w:pPr>
      <w:hyperlink r:id="rId30"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1"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2"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3"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2E67C6CE" w14:textId="77777777" w:rsidR="00767CD5" w:rsidRDefault="00767CD5" w:rsidP="00AA57FD">
      <w:pPr>
        <w:shd w:val="clear" w:color="auto" w:fill="FFFFFF"/>
        <w:rPr>
          <w:rStyle w:val="Heading2Char"/>
          <w:b w:val="0"/>
          <w:color w:val="auto"/>
          <w:sz w:val="28"/>
          <w:szCs w:val="28"/>
        </w:rPr>
      </w:pPr>
    </w:p>
    <w:p w14:paraId="3986201F" w14:textId="77777777" w:rsidR="00767CD5" w:rsidRDefault="00767CD5" w:rsidP="00AA57FD">
      <w:pPr>
        <w:shd w:val="clear" w:color="auto" w:fill="FFFFFF"/>
        <w:rPr>
          <w:rStyle w:val="Heading2Char"/>
          <w:b w:val="0"/>
          <w:color w:val="auto"/>
          <w:sz w:val="28"/>
          <w:szCs w:val="28"/>
        </w:rPr>
      </w:pPr>
    </w:p>
    <w:p w14:paraId="03C52BF9" w14:textId="3E60FED8" w:rsidR="00AA57FD" w:rsidRDefault="00AA57FD" w:rsidP="00AA57FD">
      <w:pPr>
        <w:shd w:val="clear" w:color="auto" w:fill="FFFFFF"/>
        <w:rPr>
          <w:rStyle w:val="Heading2Char"/>
          <w:color w:val="auto"/>
          <w:sz w:val="32"/>
          <w:szCs w:val="32"/>
        </w:rPr>
      </w:pPr>
      <w:bookmarkStart w:id="2" w:name="_Toc122588340"/>
      <w:r w:rsidRPr="00AA57FD">
        <w:rPr>
          <w:rStyle w:val="Heading2Char"/>
          <w:color w:val="auto"/>
          <w:sz w:val="32"/>
          <w:szCs w:val="32"/>
        </w:rPr>
        <w:lastRenderedPageBreak/>
        <w:t>For research purposes</w:t>
      </w:r>
      <w:bookmarkEnd w:id="2"/>
    </w:p>
    <w:p w14:paraId="72AB077E" w14:textId="77777777" w:rsidR="00767CD5" w:rsidRPr="00AA57FD" w:rsidRDefault="00767CD5" w:rsidP="00AA57FD">
      <w:pPr>
        <w:shd w:val="clear" w:color="auto" w:fill="FFFFFF"/>
        <w:rPr>
          <w:rStyle w:val="Heading2Char"/>
          <w:b w:val="0"/>
          <w:color w:val="auto"/>
          <w:sz w:val="32"/>
          <w:szCs w:val="32"/>
        </w:rPr>
      </w:pPr>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58D0F810" w14:textId="30876902" w:rsidR="000978E4" w:rsidRDefault="000978E4" w:rsidP="0067356C">
      <w:pPr>
        <w:pStyle w:val="ListParagraph"/>
        <w:numPr>
          <w:ilvl w:val="0"/>
          <w:numId w:val="42"/>
        </w:numPr>
        <w:rPr>
          <w:rFonts w:ascii="Arial" w:hAnsi="Arial" w:cs="Arial"/>
          <w:lang w:val="en"/>
        </w:rPr>
      </w:pPr>
      <w:r>
        <w:rPr>
          <w:rFonts w:ascii="Arial" w:hAnsi="Arial" w:cs="Arial"/>
          <w:lang w:val="en"/>
        </w:rPr>
        <w:t>West Yorkshire ICB</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3A3E497C" w14:textId="4DBE2815" w:rsidR="000978E4" w:rsidRDefault="000978E4" w:rsidP="00C55F12">
      <w:pPr>
        <w:pStyle w:val="ListParagraph"/>
        <w:numPr>
          <w:ilvl w:val="0"/>
          <w:numId w:val="42"/>
        </w:numPr>
        <w:rPr>
          <w:rFonts w:ascii="Arial" w:hAnsi="Arial" w:cs="Arial"/>
          <w:lang w:val="en"/>
        </w:rPr>
      </w:pPr>
      <w:r>
        <w:rPr>
          <w:rFonts w:ascii="Arial" w:hAnsi="Arial" w:cs="Arial"/>
          <w:lang w:val="en"/>
        </w:rPr>
        <w:lastRenderedPageBreak/>
        <w:t>Police and Judicial Services</w:t>
      </w:r>
    </w:p>
    <w:p w14:paraId="1780C28B" w14:textId="6F687FDC" w:rsidR="000978E4" w:rsidRDefault="000978E4" w:rsidP="00C55F12">
      <w:pPr>
        <w:pStyle w:val="ListParagraph"/>
        <w:numPr>
          <w:ilvl w:val="0"/>
          <w:numId w:val="42"/>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C55F12">
      <w:pPr>
        <w:pStyle w:val="ListParagraph"/>
        <w:numPr>
          <w:ilvl w:val="0"/>
          <w:numId w:val="42"/>
        </w:numPr>
        <w:rPr>
          <w:rFonts w:ascii="Arial" w:hAnsi="Arial" w:cs="Arial"/>
          <w:lang w:val="en"/>
        </w:rPr>
      </w:pPr>
      <w:r>
        <w:rPr>
          <w:rFonts w:ascii="Arial" w:hAnsi="Arial" w:cs="Arial"/>
          <w:lang w:val="en"/>
        </w:rPr>
        <w:t>NHS England and NHS Digital</w:t>
      </w:r>
    </w:p>
    <w:p w14:paraId="1C1873AB" w14:textId="37368A8B" w:rsidR="00C55F12"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C55F12">
      <w:pPr>
        <w:pStyle w:val="ListParagraph"/>
        <w:numPr>
          <w:ilvl w:val="0"/>
          <w:numId w:val="42"/>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lastRenderedPageBreak/>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lastRenderedPageBreak/>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lastRenderedPageBreak/>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767CD5"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767CD5"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26CFBC5"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313484">
        <w:rPr>
          <w:rFonts w:ascii="Arial" w:eastAsia="Times New Roman" w:hAnsi="Arial" w:cs="Arial"/>
          <w:color w:val="333333"/>
          <w:lang w:eastAsia="en-GB"/>
        </w:rPr>
        <w:t xml:space="preserve"> </w:t>
      </w:r>
      <w:hyperlink r:id="rId45" w:history="1">
        <w:r w:rsidR="00313484" w:rsidRPr="005F2234">
          <w:rPr>
            <w:rStyle w:val="Hyperlink"/>
            <w:rFonts w:ascii="Arial" w:eastAsia="Times New Roman" w:hAnsi="Arial" w:cs="Arial"/>
            <w:lang w:eastAsia="en-GB"/>
          </w:rPr>
          <w:t>moorfieldhouse.admin@nhs.net</w:t>
        </w:r>
      </w:hyperlink>
      <w:r w:rsidR="00313484">
        <w:rPr>
          <w:rFonts w:ascii="Arial" w:eastAsia="Times New Roman" w:hAnsi="Arial" w:cs="Arial"/>
          <w:color w:val="333333"/>
          <w:lang w:eastAsia="en-GB"/>
        </w:rPr>
        <w:t xml:space="preserve">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767CD5"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767CD5"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lastRenderedPageBreak/>
        <w:t>The right to restrict processing</w:t>
      </w:r>
      <w:bookmarkEnd w:id="9"/>
    </w:p>
    <w:p w14:paraId="6366061F" w14:textId="77777777" w:rsidR="004A1DD6" w:rsidRPr="00E53955" w:rsidRDefault="00767CD5"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767CD5" w:rsidP="004A1DD6">
      <w:pPr>
        <w:rPr>
          <w:rFonts w:ascii="Arial" w:eastAsia="Times New Roman" w:hAnsi="Arial" w:cs="Arial"/>
          <w:color w:val="333333"/>
          <w:lang w:eastAsia="en-GB"/>
        </w:rPr>
      </w:pPr>
      <w:hyperlink r:id="rId49"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767CD5" w:rsidP="004A1DD6">
      <w:pPr>
        <w:pBdr>
          <w:top w:val="nil"/>
          <w:left w:val="nil"/>
          <w:bottom w:val="nil"/>
          <w:right w:val="nil"/>
          <w:between w:val="nil"/>
        </w:pBdr>
        <w:rPr>
          <w:rFonts w:ascii="Arial" w:eastAsia="Times New Roman" w:hAnsi="Arial" w:cs="Arial"/>
          <w:color w:val="333333"/>
          <w:lang w:eastAsia="en-GB"/>
        </w:rPr>
      </w:pPr>
      <w:hyperlink r:id="rId50"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767CD5" w:rsidP="00EC78CB">
      <w:pPr>
        <w:pBdr>
          <w:top w:val="nil"/>
          <w:left w:val="nil"/>
          <w:bottom w:val="nil"/>
          <w:right w:val="nil"/>
          <w:between w:val="nil"/>
        </w:pBdr>
        <w:rPr>
          <w:rFonts w:ascii="Arial" w:eastAsia="Times New Roman" w:hAnsi="Arial" w:cs="Arial"/>
          <w:color w:val="333333"/>
          <w:lang w:eastAsia="en-GB"/>
        </w:rPr>
      </w:pPr>
      <w:hyperlink r:id="rId51"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2">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7C3F4713" w14:textId="58E8118A" w:rsidR="00317454" w:rsidRPr="00313484" w:rsidRDefault="00313484" w:rsidP="00317454">
      <w:pPr>
        <w:pBdr>
          <w:top w:val="nil"/>
          <w:left w:val="nil"/>
          <w:bottom w:val="nil"/>
          <w:right w:val="nil"/>
          <w:between w:val="nil"/>
        </w:pBdr>
        <w:rPr>
          <w:rFonts w:ascii="Arial" w:eastAsia="Arial" w:hAnsi="Arial" w:cs="Arial"/>
          <w:color w:val="000000" w:themeColor="text1"/>
        </w:rPr>
      </w:pPr>
      <w:r w:rsidRPr="00313484">
        <w:rPr>
          <w:rFonts w:ascii="Arial" w:eastAsia="Arial" w:hAnsi="Arial" w:cs="Arial"/>
          <w:color w:val="000000" w:themeColor="text1"/>
        </w:rPr>
        <w:t>If you have any concerns about our use of your personal information, you can make a complaint to us at Moorfield House Surgery, 11 Wakefield Road, Garforth, Leeds, LS25 1AN</w:t>
      </w:r>
      <w:r w:rsidRPr="00313484">
        <w:rPr>
          <w:rFonts w:ascii="Arial" w:eastAsia="Arial" w:hAnsi="Arial" w:cs="Arial"/>
          <w:color w:val="000000" w:themeColor="text1"/>
        </w:rPr>
        <w:t xml:space="preserve"> or email </w:t>
      </w:r>
      <w:hyperlink r:id="rId53" w:history="1">
        <w:r w:rsidRPr="00313484">
          <w:rPr>
            <w:rFonts w:ascii="Arial" w:eastAsia="Arial" w:hAnsi="Arial" w:cs="Arial"/>
            <w:color w:val="000000" w:themeColor="text1"/>
          </w:rPr>
          <w:t>moorfieldhouse.admin@nhs.net</w:t>
        </w:r>
      </w:hyperlink>
    </w:p>
    <w:p w14:paraId="75316EE5" w14:textId="77777777" w:rsidR="00313484" w:rsidRPr="00D15FB7" w:rsidRDefault="0031348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7BD9F104"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January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5CCD4CEA"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 xml:space="preserve">Other ways we use your </w:t>
      </w:r>
      <w:r w:rsidR="00767CD5" w:rsidRPr="00562891">
        <w:rPr>
          <w:rFonts w:ascii="Arial" w:eastAsia="Arial" w:hAnsi="Arial" w:cs="Arial"/>
          <w:b/>
          <w:bCs/>
          <w:color w:val="000000"/>
          <w:sz w:val="32"/>
          <w:szCs w:val="32"/>
        </w:rPr>
        <w:t>information.</w:t>
      </w:r>
      <w:r w:rsidR="00317454">
        <w:rPr>
          <w:rFonts w:ascii="Arial" w:eastAsia="Arial" w:hAnsi="Arial" w:cs="Arial"/>
          <w:b/>
          <w:bCs/>
          <w:color w:val="000000"/>
          <w:sz w:val="32"/>
          <w:szCs w:val="32"/>
        </w:rPr>
        <w:t xml:space="preserve"> </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4E4E144B"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0000011A" w14:textId="0A9386F0" w:rsidR="006D7977" w:rsidRPr="00313484" w:rsidRDefault="00313484">
      <w:pPr>
        <w:pBdr>
          <w:top w:val="nil"/>
          <w:left w:val="nil"/>
          <w:bottom w:val="nil"/>
          <w:right w:val="nil"/>
          <w:between w:val="nil"/>
        </w:pBdr>
        <w:rPr>
          <w:rFonts w:ascii="Arial" w:eastAsia="Arial" w:hAnsi="Arial" w:cs="Arial"/>
          <w:color w:val="000000"/>
        </w:rPr>
      </w:pPr>
      <w:r w:rsidRPr="00313484">
        <w:rPr>
          <w:rFonts w:ascii="Arial" w:eastAsia="Arial" w:hAnsi="Arial" w:cs="Arial"/>
          <w:color w:val="000000"/>
        </w:rPr>
        <w:t xml:space="preserve">We will only retain surveillance data for a reasonable period or </w:t>
      </w:r>
      <w:proofErr w:type="gramStart"/>
      <w:r w:rsidRPr="00313484">
        <w:rPr>
          <w:rFonts w:ascii="Arial" w:eastAsia="Arial" w:hAnsi="Arial" w:cs="Arial"/>
          <w:color w:val="000000"/>
        </w:rPr>
        <w:t>as long as</w:t>
      </w:r>
      <w:proofErr w:type="gramEnd"/>
      <w:r w:rsidRPr="00313484">
        <w:rPr>
          <w:rFonts w:ascii="Arial" w:eastAsia="Arial" w:hAnsi="Arial" w:cs="Arial"/>
          <w:color w:val="000000"/>
        </w:rPr>
        <w:t xml:space="preserve"> is required by law</w:t>
      </w:r>
      <w:r>
        <w:rPr>
          <w:rFonts w:ascii="Arial" w:eastAsia="Arial" w:hAnsi="Arial" w:cs="Arial"/>
          <w:color w:val="000000"/>
        </w:rPr>
        <w:t>.</w:t>
      </w:r>
    </w:p>
    <w:p w14:paraId="75F868C9" w14:textId="77777777" w:rsidR="00313484" w:rsidRDefault="00313484">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3705DCA5"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sidR="00313484">
        <w:rPr>
          <w:rFonts w:ascii="Arial" w:eastAsia="Arial" w:hAnsi="Arial" w:cs="Arial"/>
          <w:color w:val="000000"/>
        </w:rPr>
        <w:t xml:space="preserve"> Moorfield House Surgery </w:t>
      </w:r>
      <w:r w:rsidRPr="00C778EF">
        <w:rPr>
          <w:rFonts w:ascii="Arial" w:eastAsia="Arial" w:hAnsi="Arial" w:cs="Arial"/>
          <w:color w:val="000000"/>
        </w:rPr>
        <w:t>we are now obliged to inform</w:t>
      </w:r>
      <w:r w:rsidR="00313484">
        <w:rPr>
          <w:rFonts w:ascii="Arial" w:eastAsia="Arial" w:hAnsi="Arial" w:cs="Arial"/>
          <w:color w:val="000000"/>
        </w:rPr>
        <w:t xml:space="preserve"> Leeds Teaching Hospitals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w:t>
      </w:r>
      <w:r w:rsidRPr="006E4397">
        <w:rPr>
          <w:rFonts w:ascii="Arial" w:eastAsia="Arial" w:hAnsi="Arial" w:cs="Arial"/>
          <w:color w:val="000000"/>
        </w:rPr>
        <w:lastRenderedPageBreak/>
        <w:t>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P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processor, iGPR Technologies Limited (“iGPR”),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iGPR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instructions we issue to iGPR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5"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sectPr w:rsidR="00C778EF" w:rsidRPr="00C778EF">
      <w:footerReference w:type="default" r:id="rId56"/>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484"/>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67CD5"/>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Search"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www.westyorkshire.icb.nhs.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get-your-data-deleted/" TargetMode="External"/><Relationship Id="rId50" Type="http://schemas.openxmlformats.org/officeDocument/2006/relationships/hyperlink" Target="https://ico.org.uk/your-data-matters/your-rights-relating-to-decisions-being-made-about-you-without-human-involvement/" TargetMode="External"/><Relationship Id="rId55" Type="http://schemas.openxmlformats.org/officeDocument/2006/relationships/hyperlink" Target="https://www.heidihealth.com/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www.leedscarerecord.org/about/can-i-object/"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digital.nhs.uk/services/summary-care-records-scr/summary-care-records-scr-information-for-patients"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mailto:moorfieldhouse.admin@nhs.net" TargetMode="External"/><Relationship Id="rId53" Type="http://schemas.openxmlformats.org/officeDocument/2006/relationships/hyperlink" Target="mailto:moorfieldhouse.admin@nhs.net" TargetMode="External"/><Relationship Id="rId58" Type="http://schemas.openxmlformats.org/officeDocument/2006/relationships/glossaryDocument" Target="glossary/document.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hyperlink" Target="https://www.england.nhs.uk/primary-care/primary-care-networks/" TargetMode="Externa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your-right-to-limit-how-organisations-use-your-data/"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ico.org.uk/your-data-matters/your-right-to-data-portability/" TargetMode="External"/><Relationship Id="rId3" Type="http://schemas.openxmlformats.org/officeDocument/2006/relationships/customXml" Target="../customXml/item3.xml"/><Relationship Id="rId12" Type="http://schemas.openxmlformats.org/officeDocument/2006/relationships/hyperlink" Target="mailto:moorfieldhouse.admin@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corrected/" TargetMode="External"/><Relationship Id="rId59" Type="http://schemas.openxmlformats.org/officeDocument/2006/relationships/theme" Target="theme/theme1.xml"/><Relationship Id="rId20" Type="http://schemas.openxmlformats.org/officeDocument/2006/relationships/hyperlink" Target="https://www.leeds.gov.uk/" TargetMode="External"/><Relationship Id="rId41" Type="http://schemas.openxmlformats.org/officeDocument/2006/relationships/hyperlink" Target="https://www.dsptoolkit.nhs.uk/" TargetMode="External"/><Relationship Id="rId54"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www.leedscarerecord.org/"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the-right-to-object-to-the-use-of-your-data/"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www.nhs.uk/your-nhs-data-matters"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1F7830"/>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6055</Words>
  <Characters>34520</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DAVIS, Hayley (MOORFIELD HOUSE SURGERY)</cp:lastModifiedBy>
  <cp:revision>2</cp:revision>
  <dcterms:created xsi:type="dcterms:W3CDTF">2025-06-06T10:29:00Z</dcterms:created>
  <dcterms:modified xsi:type="dcterms:W3CDTF">2025-06-06T10:29:00Z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