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44"/>
        <w:gridCol w:w="4598"/>
      </w:tblGrid>
      <w:tr w:rsidR="00916D78" w:rsidRPr="00DA1863" w14:paraId="3E4ACFCB" w14:textId="77777777" w:rsidTr="36EFAFC7">
        <w:tc>
          <w:tcPr>
            <w:tcW w:w="4644" w:type="dxa"/>
            <w:shd w:val="clear" w:color="auto" w:fill="auto"/>
            <w:vAlign w:val="center"/>
          </w:tcPr>
          <w:p w14:paraId="14C9CC98" w14:textId="14E0DF3D" w:rsidR="00916D78" w:rsidRPr="000A16A6" w:rsidRDefault="00CA03AB" w:rsidP="00CB0177">
            <w:pPr>
              <w:spacing w:before="240"/>
              <w:jc w:val="right"/>
              <w:rPr>
                <w:rFonts w:cs="Arial"/>
              </w:rPr>
            </w:pPr>
            <w:r>
              <w:rPr>
                <w:rFonts w:cs="Arial"/>
              </w:rPr>
              <w:t>Primary Integrated Community Ser</w:t>
            </w:r>
            <w:r w:rsidR="00E84700">
              <w:rPr>
                <w:rFonts w:cs="Arial"/>
              </w:rPr>
              <w:t>vices</w:t>
            </w:r>
          </w:p>
        </w:tc>
        <w:tc>
          <w:tcPr>
            <w:tcW w:w="4598" w:type="dxa"/>
            <w:shd w:val="clear" w:color="auto" w:fill="auto"/>
            <w:vAlign w:val="center"/>
          </w:tcPr>
          <w:p w14:paraId="1CBA9DF7" w14:textId="01A0599A" w:rsidR="00916D78" w:rsidRPr="005E52CF" w:rsidRDefault="00CA03AB" w:rsidP="00CA03AB">
            <w:pPr>
              <w:jc w:val="right"/>
              <w:rPr>
                <w:rFonts w:cs="Arial"/>
                <w:i/>
                <w:color w:val="403152" w:themeColor="accent4" w:themeShade="80"/>
                <w:sz w:val="20"/>
                <w:szCs w:val="20"/>
              </w:rPr>
            </w:pPr>
            <w:r>
              <w:rPr>
                <w:rFonts w:cs="Arial"/>
                <w:i/>
                <w:noProof/>
                <w:color w:val="403152" w:themeColor="accent4" w:themeShade="80"/>
                <w:sz w:val="20"/>
                <w:szCs w:val="20"/>
              </w:rPr>
              <w:drawing>
                <wp:inline distT="0" distB="0" distL="0" distR="0" wp14:anchorId="7F9A15E6" wp14:editId="0C941C88">
                  <wp:extent cx="915035" cy="600075"/>
                  <wp:effectExtent l="0" t="0" r="0" b="9525"/>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5104" cy="626352"/>
                          </a:xfrm>
                          <a:prstGeom prst="rect">
                            <a:avLst/>
                          </a:prstGeom>
                        </pic:spPr>
                      </pic:pic>
                    </a:graphicData>
                  </a:graphic>
                </wp:inline>
              </w:drawing>
            </w:r>
          </w:p>
        </w:tc>
      </w:tr>
    </w:tbl>
    <w:p w14:paraId="782DA0BE" w14:textId="77777777" w:rsidR="00916D78" w:rsidRDefault="00916D78"/>
    <w:p w14:paraId="344B5D40" w14:textId="0FC80DEF" w:rsidR="000F265D" w:rsidRDefault="007F1FAA" w:rsidP="006E127A">
      <w:pPr>
        <w:spacing w:after="360"/>
        <w:ind w:left="-284" w:right="119"/>
        <w:jc w:val="center"/>
        <w:rPr>
          <w:rFonts w:cs="Arial"/>
          <w:bCs/>
          <w:color w:val="005EB8"/>
          <w:sz w:val="56"/>
          <w:szCs w:val="56"/>
        </w:rPr>
      </w:pPr>
      <w:r w:rsidRPr="00F17175">
        <w:rPr>
          <w:rFonts w:cs="Arial"/>
          <w:bCs/>
          <w:color w:val="005EB8"/>
          <w:sz w:val="56"/>
          <w:szCs w:val="56"/>
        </w:rPr>
        <w:t xml:space="preserve">Patient </w:t>
      </w:r>
      <w:r w:rsidR="006E127A">
        <w:rPr>
          <w:rFonts w:cs="Arial"/>
          <w:bCs/>
          <w:color w:val="005EB8"/>
          <w:sz w:val="56"/>
          <w:szCs w:val="56"/>
        </w:rPr>
        <w:t>S</w:t>
      </w:r>
      <w:r w:rsidR="00F17175" w:rsidRPr="00F17175">
        <w:rPr>
          <w:rFonts w:cs="Arial"/>
          <w:bCs/>
          <w:color w:val="005EB8"/>
          <w:sz w:val="56"/>
          <w:szCs w:val="56"/>
        </w:rPr>
        <w:t xml:space="preserve">afety </w:t>
      </w:r>
      <w:r w:rsidR="006E127A">
        <w:rPr>
          <w:rFonts w:cs="Arial"/>
          <w:bCs/>
          <w:color w:val="005EB8"/>
          <w:sz w:val="56"/>
          <w:szCs w:val="56"/>
        </w:rPr>
        <w:t>I</w:t>
      </w:r>
      <w:r w:rsidR="00F17175" w:rsidRPr="00F17175">
        <w:rPr>
          <w:rFonts w:cs="Arial"/>
          <w:bCs/>
          <w:color w:val="005EB8"/>
          <w:sz w:val="56"/>
          <w:szCs w:val="56"/>
        </w:rPr>
        <w:t xml:space="preserve">ncident </w:t>
      </w:r>
      <w:r w:rsidR="006E127A">
        <w:rPr>
          <w:rFonts w:cs="Arial"/>
          <w:bCs/>
          <w:color w:val="005EB8"/>
          <w:sz w:val="56"/>
          <w:szCs w:val="56"/>
        </w:rPr>
        <w:t>R</w:t>
      </w:r>
      <w:r w:rsidR="000E31F1">
        <w:rPr>
          <w:rFonts w:cs="Arial"/>
          <w:bCs/>
          <w:color w:val="005EB8"/>
          <w:sz w:val="56"/>
          <w:szCs w:val="56"/>
        </w:rPr>
        <w:t xml:space="preserve">esponse </w:t>
      </w:r>
      <w:r w:rsidR="006E127A">
        <w:rPr>
          <w:rFonts w:cs="Arial"/>
          <w:bCs/>
          <w:color w:val="005EB8"/>
          <w:sz w:val="56"/>
          <w:szCs w:val="56"/>
        </w:rPr>
        <w:t>P</w:t>
      </w:r>
      <w:r w:rsidR="000F265D">
        <w:rPr>
          <w:rFonts w:cs="Arial"/>
          <w:bCs/>
          <w:color w:val="005EB8"/>
          <w:sz w:val="56"/>
          <w:szCs w:val="56"/>
        </w:rPr>
        <w:t>lan</w:t>
      </w:r>
      <w:r w:rsidR="006E127A">
        <w:rPr>
          <w:rFonts w:cs="Arial"/>
          <w:bCs/>
          <w:color w:val="005EB8"/>
          <w:sz w:val="56"/>
          <w:szCs w:val="56"/>
        </w:rPr>
        <w:t xml:space="preserve"> (PSIRP)</w:t>
      </w:r>
    </w:p>
    <w:p w14:paraId="456D694C" w14:textId="04EB6D62" w:rsidR="00E37978" w:rsidRPr="00B9403D" w:rsidRDefault="00E37978" w:rsidP="00B9403D">
      <w:pPr>
        <w:spacing w:after="280"/>
        <w:ind w:left="-284"/>
        <w:rPr>
          <w:rFonts w:cs="Arial"/>
          <w:bCs/>
          <w:sz w:val="24"/>
          <w:szCs w:val="24"/>
        </w:rPr>
      </w:pPr>
      <w:r w:rsidRPr="00B9403D">
        <w:rPr>
          <w:rFonts w:cs="Arial"/>
          <w:bCs/>
          <w:sz w:val="24"/>
          <w:szCs w:val="24"/>
        </w:rPr>
        <w:t>Effective date</w:t>
      </w:r>
      <w:r w:rsidR="00B9403D" w:rsidRPr="00B9403D">
        <w:rPr>
          <w:rFonts w:cs="Arial"/>
          <w:bCs/>
          <w:sz w:val="24"/>
          <w:szCs w:val="24"/>
        </w:rPr>
        <w:t>:</w:t>
      </w:r>
      <w:r w:rsidR="00BF6D8F">
        <w:rPr>
          <w:rFonts w:cs="Arial"/>
          <w:bCs/>
          <w:sz w:val="24"/>
          <w:szCs w:val="24"/>
        </w:rPr>
        <w:t xml:space="preserve"> </w:t>
      </w:r>
    </w:p>
    <w:p w14:paraId="709A3B42" w14:textId="0326D154" w:rsidR="00E37978" w:rsidRDefault="00E37978" w:rsidP="00371AA6">
      <w:pPr>
        <w:spacing w:after="600"/>
        <w:ind w:left="-284"/>
        <w:rPr>
          <w:rFonts w:cs="Arial"/>
          <w:bCs/>
          <w:sz w:val="24"/>
          <w:szCs w:val="24"/>
        </w:rPr>
      </w:pPr>
      <w:r w:rsidRPr="00B9403D">
        <w:rPr>
          <w:rFonts w:cs="Arial"/>
          <w:bCs/>
          <w:sz w:val="24"/>
          <w:szCs w:val="24"/>
        </w:rPr>
        <w:t>Estimated refresh date:</w:t>
      </w: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26"/>
        <w:gridCol w:w="1843"/>
        <w:gridCol w:w="1843"/>
        <w:gridCol w:w="1842"/>
      </w:tblGrid>
      <w:tr w:rsidR="00CB1F58" w14:paraId="02339999" w14:textId="77777777" w:rsidTr="00503EA1">
        <w:tc>
          <w:tcPr>
            <w:tcW w:w="1702" w:type="dxa"/>
            <w:tcBorders>
              <w:top w:val="nil"/>
              <w:left w:val="nil"/>
              <w:bottom w:val="single" w:sz="4" w:space="0" w:color="000000"/>
              <w:right w:val="single" w:sz="4" w:space="0" w:color="000000"/>
            </w:tcBorders>
          </w:tcPr>
          <w:p w14:paraId="00812DDF"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2126" w:type="dxa"/>
            <w:tcBorders>
              <w:left w:val="nil"/>
            </w:tcBorders>
          </w:tcPr>
          <w:p w14:paraId="76C984D2"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NAME</w:t>
            </w:r>
          </w:p>
        </w:tc>
        <w:tc>
          <w:tcPr>
            <w:tcW w:w="1843" w:type="dxa"/>
            <w:tcBorders>
              <w:left w:val="nil"/>
              <w:right w:val="single" w:sz="4" w:space="0" w:color="000000"/>
            </w:tcBorders>
          </w:tcPr>
          <w:p w14:paraId="2BF97111"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TITLE</w:t>
            </w:r>
          </w:p>
        </w:tc>
        <w:tc>
          <w:tcPr>
            <w:tcW w:w="1843" w:type="dxa"/>
            <w:tcBorders>
              <w:left w:val="single" w:sz="4" w:space="0" w:color="000000"/>
            </w:tcBorders>
          </w:tcPr>
          <w:p w14:paraId="1B735319"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SIGNATURE</w:t>
            </w:r>
          </w:p>
        </w:tc>
        <w:tc>
          <w:tcPr>
            <w:tcW w:w="1842" w:type="dxa"/>
          </w:tcPr>
          <w:p w14:paraId="3247A938"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DATE</w:t>
            </w:r>
          </w:p>
        </w:tc>
      </w:tr>
      <w:tr w:rsidR="00CB1F58" w14:paraId="7D034250" w14:textId="77777777" w:rsidTr="00503EA1">
        <w:trPr>
          <w:trHeight w:val="567"/>
        </w:trPr>
        <w:tc>
          <w:tcPr>
            <w:tcW w:w="1702" w:type="dxa"/>
            <w:tcBorders>
              <w:top w:val="single" w:sz="4" w:space="0" w:color="000000"/>
              <w:left w:val="single" w:sz="4" w:space="0" w:color="000000"/>
              <w:bottom w:val="single" w:sz="4" w:space="0" w:color="000000"/>
            </w:tcBorders>
          </w:tcPr>
          <w:p w14:paraId="1098244E"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w:t>
            </w:r>
          </w:p>
        </w:tc>
        <w:tc>
          <w:tcPr>
            <w:tcW w:w="2126" w:type="dxa"/>
          </w:tcPr>
          <w:p w14:paraId="37B56DC6" w14:textId="62DD86D2" w:rsidR="00CB1F58" w:rsidRDefault="00770417"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Emma Alder</w:t>
            </w:r>
          </w:p>
        </w:tc>
        <w:tc>
          <w:tcPr>
            <w:tcW w:w="1843" w:type="dxa"/>
          </w:tcPr>
          <w:p w14:paraId="46412091" w14:textId="78FCDEB9" w:rsidR="00CB1F58" w:rsidRDefault="00770417"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 xml:space="preserve">Quality and Clinical Governance Lead </w:t>
            </w:r>
            <w:r w:rsidR="00E84700">
              <w:rPr>
                <w:rFonts w:eastAsia="Arial" w:cs="Arial"/>
                <w:b/>
                <w:color w:val="000000"/>
              </w:rPr>
              <w:t>N</w:t>
            </w:r>
            <w:r>
              <w:rPr>
                <w:rFonts w:eastAsia="Arial" w:cs="Arial"/>
                <w:b/>
                <w:color w:val="000000"/>
              </w:rPr>
              <w:t>urse</w:t>
            </w:r>
          </w:p>
        </w:tc>
        <w:tc>
          <w:tcPr>
            <w:tcW w:w="1843" w:type="dxa"/>
          </w:tcPr>
          <w:p w14:paraId="4B8B3A22" w14:textId="51D4533D" w:rsidR="00CB1F58" w:rsidRDefault="00E84700" w:rsidP="004B04C6">
            <w:pPr>
              <w:pBdr>
                <w:top w:val="nil"/>
                <w:left w:val="nil"/>
                <w:bottom w:val="nil"/>
                <w:right w:val="nil"/>
                <w:between w:val="nil"/>
              </w:pBdr>
              <w:spacing w:before="40" w:after="40" w:line="240" w:lineRule="auto"/>
              <w:rPr>
                <w:rFonts w:eastAsia="Arial" w:cs="Arial"/>
                <w:b/>
                <w:color w:val="000000"/>
              </w:rPr>
            </w:pPr>
            <w:r>
              <w:rPr>
                <w:rFonts w:eastAsia="Arial" w:cs="Arial"/>
                <w:b/>
                <w:noProof/>
                <w:color w:val="000000"/>
              </w:rPr>
              <w:drawing>
                <wp:inline distT="0" distB="0" distL="0" distR="0" wp14:anchorId="598A1E08" wp14:editId="06914663">
                  <wp:extent cx="1033145" cy="319405"/>
                  <wp:effectExtent l="0" t="0" r="0" b="4445"/>
                  <wp:docPr id="2" name="Picture 2" descr="A picture containing handwriting, calligraphy, fo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dwriting, calligraphy, font, draw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3145" cy="319405"/>
                          </a:xfrm>
                          <a:prstGeom prst="rect">
                            <a:avLst/>
                          </a:prstGeom>
                        </pic:spPr>
                      </pic:pic>
                    </a:graphicData>
                  </a:graphic>
                </wp:inline>
              </w:drawing>
            </w:r>
          </w:p>
        </w:tc>
        <w:tc>
          <w:tcPr>
            <w:tcW w:w="1842" w:type="dxa"/>
          </w:tcPr>
          <w:p w14:paraId="374213ED" w14:textId="79843A02" w:rsidR="00CB1F58" w:rsidRDefault="00E150C1"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14/12/23</w:t>
            </w:r>
          </w:p>
        </w:tc>
      </w:tr>
      <w:tr w:rsidR="00CB1F58" w14:paraId="2300E8AE" w14:textId="77777777" w:rsidTr="00503EA1">
        <w:trPr>
          <w:trHeight w:val="567"/>
        </w:trPr>
        <w:tc>
          <w:tcPr>
            <w:tcW w:w="1702" w:type="dxa"/>
            <w:tcBorders>
              <w:top w:val="single" w:sz="4" w:space="0" w:color="000000"/>
              <w:left w:val="single" w:sz="4" w:space="0" w:color="000000"/>
              <w:bottom w:val="single" w:sz="4" w:space="0" w:color="000000"/>
            </w:tcBorders>
          </w:tcPr>
          <w:p w14:paraId="0113E164"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Reviewer</w:t>
            </w:r>
          </w:p>
        </w:tc>
        <w:tc>
          <w:tcPr>
            <w:tcW w:w="2126" w:type="dxa"/>
          </w:tcPr>
          <w:p w14:paraId="482B06EE" w14:textId="77777777" w:rsidR="00744CBC" w:rsidRDefault="00744CBC" w:rsidP="00744CBC">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 xml:space="preserve">Clinical Governance </w:t>
            </w:r>
          </w:p>
          <w:p w14:paraId="72BA6336" w14:textId="35B5C33C" w:rsidR="00CB1F58" w:rsidRDefault="00744CBC" w:rsidP="00744CBC">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Committee</w:t>
            </w:r>
          </w:p>
        </w:tc>
        <w:tc>
          <w:tcPr>
            <w:tcW w:w="1843" w:type="dxa"/>
          </w:tcPr>
          <w:p w14:paraId="7FA06569" w14:textId="77777777" w:rsidR="00CB1F58" w:rsidRDefault="00744CBC"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 xml:space="preserve">Clinical Governance </w:t>
            </w:r>
          </w:p>
          <w:p w14:paraId="737CFD0F" w14:textId="0721837B" w:rsidR="00744CBC" w:rsidRDefault="00744CBC"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Committee</w:t>
            </w:r>
          </w:p>
        </w:tc>
        <w:tc>
          <w:tcPr>
            <w:tcW w:w="1843" w:type="dxa"/>
          </w:tcPr>
          <w:p w14:paraId="1D052A27" w14:textId="5FCF5D5F" w:rsidR="00CB1F58" w:rsidRDefault="001933A1"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Approved at Clinical Governance Committee</w:t>
            </w:r>
          </w:p>
        </w:tc>
        <w:tc>
          <w:tcPr>
            <w:tcW w:w="1842" w:type="dxa"/>
          </w:tcPr>
          <w:p w14:paraId="6A2EDDD3" w14:textId="1087EF06" w:rsidR="00CB1F58" w:rsidRDefault="001933A1"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20/12/23</w:t>
            </w:r>
          </w:p>
        </w:tc>
      </w:tr>
      <w:tr w:rsidR="00CB1F58" w14:paraId="043D483A" w14:textId="77777777" w:rsidTr="00503EA1">
        <w:trPr>
          <w:trHeight w:val="567"/>
        </w:trPr>
        <w:tc>
          <w:tcPr>
            <w:tcW w:w="1702" w:type="dxa"/>
            <w:tcBorders>
              <w:top w:val="single" w:sz="4" w:space="0" w:color="000000"/>
              <w:left w:val="single" w:sz="4" w:space="0" w:color="000000"/>
              <w:bottom w:val="single" w:sz="4" w:space="0" w:color="000000"/>
              <w:right w:val="single" w:sz="4" w:space="0" w:color="000000"/>
            </w:tcBorders>
          </w:tcPr>
          <w:p w14:paraId="74EB2CCE"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Authoriser</w:t>
            </w:r>
          </w:p>
        </w:tc>
        <w:tc>
          <w:tcPr>
            <w:tcW w:w="2126" w:type="dxa"/>
            <w:tcBorders>
              <w:left w:val="nil"/>
            </w:tcBorders>
          </w:tcPr>
          <w:p w14:paraId="7D22D39E" w14:textId="56CFF9FB" w:rsidR="00CB1F58" w:rsidRDefault="006647B6"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Dr Neil Fraser</w:t>
            </w:r>
          </w:p>
        </w:tc>
        <w:tc>
          <w:tcPr>
            <w:tcW w:w="1843" w:type="dxa"/>
            <w:tcBorders>
              <w:left w:val="nil"/>
              <w:right w:val="single" w:sz="4" w:space="0" w:color="000000"/>
            </w:tcBorders>
          </w:tcPr>
          <w:p w14:paraId="3C1D4D1C" w14:textId="73998A5A" w:rsidR="00CB1F58" w:rsidRDefault="007F1E27"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Medical Director</w:t>
            </w:r>
          </w:p>
        </w:tc>
        <w:tc>
          <w:tcPr>
            <w:tcW w:w="1843" w:type="dxa"/>
            <w:tcBorders>
              <w:left w:val="single" w:sz="4" w:space="0" w:color="000000"/>
            </w:tcBorders>
          </w:tcPr>
          <w:p w14:paraId="4B23F6A0" w14:textId="7E7FCC2F" w:rsidR="00CB1F58" w:rsidRDefault="006523EC" w:rsidP="004B04C6">
            <w:pPr>
              <w:pBdr>
                <w:top w:val="nil"/>
                <w:left w:val="nil"/>
                <w:bottom w:val="nil"/>
                <w:right w:val="nil"/>
                <w:between w:val="nil"/>
              </w:pBdr>
              <w:spacing w:before="40" w:after="40" w:line="240" w:lineRule="auto"/>
              <w:rPr>
                <w:rFonts w:eastAsia="Arial" w:cs="Arial"/>
                <w:b/>
                <w:color w:val="000000"/>
              </w:rPr>
            </w:pPr>
            <w:r>
              <w:object w:dxaOrig="1130" w:dyaOrig="480" w14:anchorId="65581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24pt" o:ole="">
                  <v:imagedata r:id="rId13" o:title=""/>
                </v:shape>
                <o:OLEObject Type="Embed" ProgID="PBrush" ShapeID="_x0000_i1025" DrawAspect="Content" ObjectID="_1812521708" r:id="rId14"/>
              </w:object>
            </w:r>
          </w:p>
        </w:tc>
        <w:tc>
          <w:tcPr>
            <w:tcW w:w="1842" w:type="dxa"/>
          </w:tcPr>
          <w:p w14:paraId="3DB92E98" w14:textId="1E652E03" w:rsidR="00CB1F58" w:rsidRDefault="00E150C1"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20/12/23</w:t>
            </w:r>
          </w:p>
        </w:tc>
      </w:tr>
    </w:tbl>
    <w:p w14:paraId="3E0885BA" w14:textId="77777777" w:rsidR="00CB1F58" w:rsidRPr="00093384" w:rsidRDefault="00CB1F58" w:rsidP="00CB1F58"/>
    <w:p w14:paraId="24711460" w14:textId="4B21C5AB" w:rsidR="00DB6911" w:rsidRPr="00366F10" w:rsidRDefault="00F77978" w:rsidP="00371AA6">
      <w:pPr>
        <w:spacing w:after="600" w:line="360" w:lineRule="atLeast"/>
        <w:ind w:left="-284"/>
        <w:rPr>
          <w:rFonts w:cs="Arial"/>
          <w:bCs/>
          <w:sz w:val="24"/>
          <w:szCs w:val="24"/>
        </w:rPr>
      </w:pPr>
      <w:r w:rsidRPr="00366F10">
        <w:rPr>
          <w:b/>
          <w:bCs/>
          <w:sz w:val="24"/>
          <w:szCs w:val="24"/>
        </w:rPr>
        <w:t xml:space="preserve">On completion of </w:t>
      </w:r>
      <w:r w:rsidR="008707B6" w:rsidRPr="00366F10">
        <w:rPr>
          <w:b/>
          <w:bCs/>
          <w:sz w:val="24"/>
          <w:szCs w:val="24"/>
        </w:rPr>
        <w:t>your final report, p</w:t>
      </w:r>
      <w:r w:rsidR="00DB6911" w:rsidRPr="00366F10">
        <w:rPr>
          <w:b/>
          <w:bCs/>
          <w:sz w:val="24"/>
          <w:szCs w:val="24"/>
        </w:rPr>
        <w:t xml:space="preserve">lease </w:t>
      </w:r>
      <w:r w:rsidR="008707B6" w:rsidRPr="00366F10">
        <w:rPr>
          <w:b/>
          <w:bCs/>
          <w:sz w:val="24"/>
          <w:szCs w:val="24"/>
        </w:rPr>
        <w:t xml:space="preserve">ensure you have </w:t>
      </w:r>
      <w:r w:rsidR="00DB6911" w:rsidRPr="00366F10">
        <w:rPr>
          <w:b/>
          <w:bCs/>
          <w:sz w:val="24"/>
          <w:szCs w:val="24"/>
        </w:rPr>
        <w:t>delete</w:t>
      </w:r>
      <w:r w:rsidR="008707B6" w:rsidRPr="00366F10">
        <w:rPr>
          <w:b/>
          <w:bCs/>
          <w:sz w:val="24"/>
          <w:szCs w:val="24"/>
        </w:rPr>
        <w:t>d</w:t>
      </w:r>
      <w:r w:rsidR="00DB6911" w:rsidRPr="00366F10">
        <w:rPr>
          <w:b/>
          <w:bCs/>
          <w:sz w:val="24"/>
          <w:szCs w:val="24"/>
        </w:rPr>
        <w:t xml:space="preserve"> </w:t>
      </w:r>
      <w:r w:rsidR="008707B6" w:rsidRPr="00366F10">
        <w:rPr>
          <w:b/>
          <w:bCs/>
          <w:sz w:val="24"/>
          <w:szCs w:val="24"/>
        </w:rPr>
        <w:t xml:space="preserve">all </w:t>
      </w:r>
      <w:r w:rsidR="00DB6911" w:rsidRPr="00366F10">
        <w:rPr>
          <w:b/>
          <w:bCs/>
          <w:sz w:val="24"/>
          <w:szCs w:val="24"/>
        </w:rPr>
        <w:t>the blue</w:t>
      </w:r>
      <w:r w:rsidR="00F5474A" w:rsidRPr="00366F10">
        <w:rPr>
          <w:b/>
          <w:bCs/>
          <w:sz w:val="24"/>
          <w:szCs w:val="24"/>
        </w:rPr>
        <w:t xml:space="preserve"> information b</w:t>
      </w:r>
      <w:r w:rsidR="00DB6911" w:rsidRPr="00366F10">
        <w:rPr>
          <w:b/>
          <w:bCs/>
          <w:sz w:val="24"/>
          <w:szCs w:val="24"/>
        </w:rPr>
        <w:t>ox</w:t>
      </w:r>
      <w:r w:rsidR="00F5474A" w:rsidRPr="00366F10">
        <w:rPr>
          <w:b/>
          <w:bCs/>
          <w:sz w:val="24"/>
          <w:szCs w:val="24"/>
        </w:rPr>
        <w:t>es</w:t>
      </w:r>
      <w:r w:rsidR="008707B6" w:rsidRPr="00366F10">
        <w:rPr>
          <w:b/>
          <w:bCs/>
          <w:sz w:val="24"/>
          <w:szCs w:val="24"/>
        </w:rPr>
        <w:t>.</w:t>
      </w:r>
    </w:p>
    <w:tbl>
      <w:tblPr>
        <w:tblStyle w:val="TableGrid"/>
        <w:tblW w:w="9356" w:type="dxa"/>
        <w:tblInd w:w="-289" w:type="dxa"/>
        <w:shd w:val="clear" w:color="auto" w:fill="DAEEF3" w:themeFill="accent5" w:themeFillTint="33"/>
        <w:tblLook w:val="04A0" w:firstRow="1" w:lastRow="0" w:firstColumn="1" w:lastColumn="0" w:noHBand="0" w:noVBand="1"/>
      </w:tblPr>
      <w:tblGrid>
        <w:gridCol w:w="9356"/>
      </w:tblGrid>
      <w:tr w:rsidR="002D236D" w14:paraId="14B0916D" w14:textId="77777777" w:rsidTr="0056786E">
        <w:tc>
          <w:tcPr>
            <w:tcW w:w="9356" w:type="dxa"/>
            <w:shd w:val="clear" w:color="auto" w:fill="DAEEF3" w:themeFill="accent5" w:themeFillTint="33"/>
          </w:tcPr>
          <w:p w14:paraId="1601B613" w14:textId="38E2AF1A" w:rsidR="000410DF" w:rsidRPr="00366F10" w:rsidRDefault="000410DF" w:rsidP="000314D9">
            <w:pPr>
              <w:spacing w:before="240" w:after="280" w:line="276" w:lineRule="auto"/>
              <w:rPr>
                <w:rFonts w:cs="Arial"/>
                <w:sz w:val="24"/>
                <w:szCs w:val="24"/>
              </w:rPr>
            </w:pPr>
            <w:r w:rsidRPr="00366F10">
              <w:rPr>
                <w:rFonts w:cs="Arial"/>
                <w:sz w:val="24"/>
                <w:szCs w:val="24"/>
              </w:rPr>
              <w:t>NHS providers should use this template when developing their local patient safety incident response p</w:t>
            </w:r>
            <w:r w:rsidR="00352B61">
              <w:rPr>
                <w:rFonts w:cs="Arial"/>
                <w:sz w:val="24"/>
                <w:szCs w:val="24"/>
              </w:rPr>
              <w:t>lan</w:t>
            </w:r>
            <w:r w:rsidR="006B78F7">
              <w:rPr>
                <w:rFonts w:cs="Arial"/>
                <w:sz w:val="24"/>
                <w:szCs w:val="24"/>
              </w:rPr>
              <w:t xml:space="preserve">, </w:t>
            </w:r>
            <w:r w:rsidR="00051D45">
              <w:rPr>
                <w:rFonts w:cs="Arial"/>
                <w:sz w:val="24"/>
                <w:szCs w:val="24"/>
              </w:rPr>
              <w:t xml:space="preserve">adding extra </w:t>
            </w:r>
            <w:r w:rsidRPr="00366F10">
              <w:rPr>
                <w:rFonts w:cs="Arial"/>
                <w:sz w:val="24"/>
                <w:szCs w:val="24"/>
              </w:rPr>
              <w:t xml:space="preserve">sections as required. </w:t>
            </w:r>
          </w:p>
          <w:p w14:paraId="5C9EC852" w14:textId="654EE7F4" w:rsidR="003A7586" w:rsidRPr="000314D9" w:rsidRDefault="003A7586" w:rsidP="00051D45">
            <w:pPr>
              <w:spacing w:after="280" w:line="360" w:lineRule="atLeast"/>
              <w:rPr>
                <w:sz w:val="24"/>
                <w:szCs w:val="24"/>
              </w:rPr>
            </w:pPr>
            <w:r w:rsidRPr="000314D9">
              <w:rPr>
                <w:sz w:val="24"/>
                <w:szCs w:val="24"/>
              </w:rPr>
              <w:t xml:space="preserve">If guidance relating to </w:t>
            </w:r>
            <w:r w:rsidR="00E449F9">
              <w:rPr>
                <w:sz w:val="24"/>
                <w:szCs w:val="24"/>
              </w:rPr>
              <w:t xml:space="preserve">the </w:t>
            </w:r>
            <w:r w:rsidRPr="000314D9">
              <w:rPr>
                <w:sz w:val="24"/>
                <w:szCs w:val="24"/>
              </w:rPr>
              <w:t xml:space="preserve">specific headings exists in </w:t>
            </w:r>
            <w:r w:rsidR="00E449F9">
              <w:rPr>
                <w:sz w:val="24"/>
                <w:szCs w:val="24"/>
              </w:rPr>
              <w:t xml:space="preserve">any of your </w:t>
            </w:r>
            <w:r w:rsidRPr="000314D9">
              <w:rPr>
                <w:sz w:val="24"/>
                <w:szCs w:val="24"/>
              </w:rPr>
              <w:t>other policies or procedures</w:t>
            </w:r>
            <w:r w:rsidR="00E449F9">
              <w:rPr>
                <w:sz w:val="24"/>
                <w:szCs w:val="24"/>
              </w:rPr>
              <w:t xml:space="preserve">, you do </w:t>
            </w:r>
            <w:r w:rsidRPr="000314D9">
              <w:rPr>
                <w:sz w:val="24"/>
                <w:szCs w:val="24"/>
              </w:rPr>
              <w:t>not need to repeat</w:t>
            </w:r>
            <w:r w:rsidR="00E00249">
              <w:rPr>
                <w:sz w:val="24"/>
                <w:szCs w:val="24"/>
              </w:rPr>
              <w:t xml:space="preserve"> it </w:t>
            </w:r>
            <w:r w:rsidRPr="000314D9">
              <w:rPr>
                <w:sz w:val="24"/>
                <w:szCs w:val="24"/>
              </w:rPr>
              <w:t xml:space="preserve">here but </w:t>
            </w:r>
            <w:r w:rsidR="00E00249">
              <w:rPr>
                <w:sz w:val="24"/>
                <w:szCs w:val="24"/>
              </w:rPr>
              <w:t xml:space="preserve">do </w:t>
            </w:r>
            <w:r w:rsidRPr="000314D9">
              <w:rPr>
                <w:sz w:val="24"/>
                <w:szCs w:val="24"/>
              </w:rPr>
              <w:t>clearly reference</w:t>
            </w:r>
            <w:r w:rsidR="00C74C72">
              <w:rPr>
                <w:sz w:val="24"/>
                <w:szCs w:val="24"/>
              </w:rPr>
              <w:t xml:space="preserve"> it</w:t>
            </w:r>
            <w:r w:rsidRPr="000314D9">
              <w:rPr>
                <w:sz w:val="24"/>
                <w:szCs w:val="24"/>
              </w:rPr>
              <w:t xml:space="preserve">. </w:t>
            </w:r>
          </w:p>
          <w:p w14:paraId="5BBFAF25" w14:textId="78E67655" w:rsidR="003A7586" w:rsidRPr="000314D9" w:rsidRDefault="003A7586" w:rsidP="000314D9">
            <w:pPr>
              <w:spacing w:after="280" w:line="360" w:lineRule="atLeast"/>
              <w:rPr>
                <w:sz w:val="24"/>
                <w:szCs w:val="24"/>
              </w:rPr>
            </w:pPr>
            <w:r w:rsidRPr="000314D9">
              <w:rPr>
                <w:b/>
                <w:bCs/>
                <w:sz w:val="24"/>
                <w:szCs w:val="24"/>
              </w:rPr>
              <w:t>Note</w:t>
            </w:r>
            <w:r w:rsidRPr="00051D45">
              <w:rPr>
                <w:b/>
                <w:bCs/>
                <w:sz w:val="24"/>
                <w:szCs w:val="24"/>
              </w:rPr>
              <w:t>:</w:t>
            </w:r>
            <w:r w:rsidRPr="000314D9">
              <w:rPr>
                <w:sz w:val="24"/>
                <w:szCs w:val="24"/>
              </w:rPr>
              <w:t xml:space="preserve"> Before completing this template, you must have undertaken work to understand your organisation</w:t>
            </w:r>
            <w:r w:rsidR="00C74C72">
              <w:rPr>
                <w:sz w:val="24"/>
                <w:szCs w:val="24"/>
              </w:rPr>
              <w:t>’</w:t>
            </w:r>
            <w:r w:rsidRPr="000314D9">
              <w:rPr>
                <w:sz w:val="24"/>
                <w:szCs w:val="24"/>
              </w:rPr>
              <w:t>s capacity to respon</w:t>
            </w:r>
            <w:r w:rsidR="00C041CB">
              <w:rPr>
                <w:sz w:val="24"/>
                <w:szCs w:val="24"/>
              </w:rPr>
              <w:t>d</w:t>
            </w:r>
            <w:r w:rsidRPr="000314D9">
              <w:rPr>
                <w:sz w:val="24"/>
                <w:szCs w:val="24"/>
              </w:rPr>
              <w:t xml:space="preserve"> to patient safety</w:t>
            </w:r>
            <w:r w:rsidR="00C041CB">
              <w:rPr>
                <w:sz w:val="24"/>
                <w:szCs w:val="24"/>
              </w:rPr>
              <w:t xml:space="preserve"> incidents – that is</w:t>
            </w:r>
            <w:r w:rsidR="000314D9" w:rsidRPr="000314D9">
              <w:rPr>
                <w:sz w:val="24"/>
                <w:szCs w:val="24"/>
              </w:rPr>
              <w:t>,</w:t>
            </w:r>
            <w:r w:rsidRPr="000314D9">
              <w:rPr>
                <w:sz w:val="24"/>
                <w:szCs w:val="24"/>
              </w:rPr>
              <w:t xml:space="preserve"> </w:t>
            </w:r>
            <w:r w:rsidR="000314D9" w:rsidRPr="000314D9">
              <w:rPr>
                <w:sz w:val="24"/>
                <w:szCs w:val="24"/>
              </w:rPr>
              <w:t>r</w:t>
            </w:r>
            <w:r w:rsidRPr="000314D9">
              <w:rPr>
                <w:sz w:val="24"/>
                <w:szCs w:val="24"/>
              </w:rPr>
              <w:t xml:space="preserve">esources and training. This </w:t>
            </w:r>
            <w:r w:rsidR="00027016">
              <w:rPr>
                <w:sz w:val="24"/>
                <w:szCs w:val="24"/>
              </w:rPr>
              <w:t xml:space="preserve">work </w:t>
            </w:r>
            <w:r w:rsidRPr="000314D9">
              <w:rPr>
                <w:sz w:val="24"/>
                <w:szCs w:val="24"/>
              </w:rPr>
              <w:t>should include workforce gap analysis (</w:t>
            </w:r>
            <w:r w:rsidRPr="000E1B80">
              <w:rPr>
                <w:sz w:val="24"/>
                <w:szCs w:val="24"/>
              </w:rPr>
              <w:t xml:space="preserve">see </w:t>
            </w:r>
            <w:hyperlink r:id="rId15" w:history="1">
              <w:r w:rsidRPr="000E1B80">
                <w:rPr>
                  <w:rStyle w:val="Hyperlink"/>
                  <w:sz w:val="24"/>
                  <w:szCs w:val="24"/>
                </w:rPr>
                <w:t xml:space="preserve">PSIRF preparation </w:t>
              </w:r>
              <w:r w:rsidRPr="000E1B80">
                <w:rPr>
                  <w:rStyle w:val="Hyperlink"/>
                  <w:sz w:val="24"/>
                  <w:szCs w:val="24"/>
                </w:rPr>
                <w:lastRenderedPageBreak/>
                <w:t>guide</w:t>
              </w:r>
            </w:hyperlink>
            <w:r w:rsidRPr="000E1B80">
              <w:rPr>
                <w:sz w:val="24"/>
                <w:szCs w:val="24"/>
              </w:rPr>
              <w:t xml:space="preserve">) </w:t>
            </w:r>
            <w:r w:rsidR="00F00F1F" w:rsidRPr="000E1B80">
              <w:rPr>
                <w:sz w:val="24"/>
                <w:szCs w:val="24"/>
              </w:rPr>
              <w:t>of</w:t>
            </w:r>
            <w:r w:rsidRPr="000E1B80">
              <w:rPr>
                <w:sz w:val="24"/>
                <w:szCs w:val="24"/>
              </w:rPr>
              <w:t xml:space="preserve"> the numbers and training of staff with a specific role in patie</w:t>
            </w:r>
            <w:r w:rsidRPr="000314D9">
              <w:rPr>
                <w:sz w:val="24"/>
                <w:szCs w:val="24"/>
              </w:rPr>
              <w:t xml:space="preserve">nt safety incident response, as well as </w:t>
            </w:r>
            <w:r w:rsidR="00104829">
              <w:rPr>
                <w:sz w:val="24"/>
                <w:szCs w:val="24"/>
              </w:rPr>
              <w:t>how</w:t>
            </w:r>
            <w:r w:rsidRPr="000314D9">
              <w:rPr>
                <w:sz w:val="24"/>
                <w:szCs w:val="24"/>
              </w:rPr>
              <w:t xml:space="preserve"> </w:t>
            </w:r>
            <w:r w:rsidR="00104829">
              <w:rPr>
                <w:sz w:val="24"/>
                <w:szCs w:val="24"/>
              </w:rPr>
              <w:t>other</w:t>
            </w:r>
            <w:r w:rsidRPr="000314D9">
              <w:rPr>
                <w:sz w:val="24"/>
                <w:szCs w:val="24"/>
              </w:rPr>
              <w:t xml:space="preserve"> staff </w:t>
            </w:r>
            <w:r w:rsidR="00104829">
              <w:rPr>
                <w:sz w:val="24"/>
                <w:szCs w:val="24"/>
              </w:rPr>
              <w:t xml:space="preserve">will be expected </w:t>
            </w:r>
            <w:r w:rsidRPr="000314D9">
              <w:rPr>
                <w:sz w:val="24"/>
                <w:szCs w:val="24"/>
              </w:rPr>
              <w:t>to support such responses.</w:t>
            </w:r>
          </w:p>
          <w:p w14:paraId="4EB36312" w14:textId="77777777" w:rsidR="003A7586" w:rsidRPr="000314D9" w:rsidRDefault="003A7586" w:rsidP="000314D9">
            <w:pPr>
              <w:spacing w:after="280" w:line="360" w:lineRule="atLeast"/>
              <w:rPr>
                <w:b/>
                <w:bCs/>
                <w:sz w:val="24"/>
                <w:szCs w:val="24"/>
              </w:rPr>
            </w:pPr>
            <w:r w:rsidRPr="000314D9">
              <w:rPr>
                <w:b/>
                <w:bCs/>
                <w:sz w:val="24"/>
                <w:szCs w:val="24"/>
              </w:rPr>
              <w:t>General writing tips</w:t>
            </w:r>
          </w:p>
          <w:p w14:paraId="52EC962F" w14:textId="0034472A" w:rsidR="003A7586" w:rsidRPr="000314D9" w:rsidRDefault="003A7586" w:rsidP="000314D9">
            <w:pPr>
              <w:spacing w:after="280" w:line="360" w:lineRule="atLeast"/>
              <w:rPr>
                <w:sz w:val="24"/>
                <w:szCs w:val="24"/>
              </w:rPr>
            </w:pPr>
            <w:r w:rsidRPr="000314D9">
              <w:rPr>
                <w:sz w:val="24"/>
                <w:szCs w:val="24"/>
              </w:rPr>
              <w:t>You</w:t>
            </w:r>
            <w:r w:rsidR="00D630C7">
              <w:rPr>
                <w:sz w:val="24"/>
                <w:szCs w:val="24"/>
              </w:rPr>
              <w:t xml:space="preserve"> must publish your</w:t>
            </w:r>
            <w:r w:rsidRPr="000314D9">
              <w:rPr>
                <w:sz w:val="24"/>
                <w:szCs w:val="24"/>
              </w:rPr>
              <w:t xml:space="preserve"> patient safety incident response plan on your website. It should: </w:t>
            </w:r>
          </w:p>
          <w:p w14:paraId="594A7173" w14:textId="2D908791" w:rsidR="003A7586" w:rsidRPr="000314D9" w:rsidRDefault="000314D9">
            <w:pPr>
              <w:pStyle w:val="ListParagraph"/>
              <w:numPr>
                <w:ilvl w:val="0"/>
                <w:numId w:val="1"/>
              </w:numPr>
              <w:spacing w:after="50" w:line="360" w:lineRule="atLeast"/>
              <w:ind w:left="714" w:hanging="357"/>
              <w:contextualSpacing w:val="0"/>
              <w:rPr>
                <w:rFonts w:cs="Arial"/>
                <w:sz w:val="24"/>
                <w:szCs w:val="24"/>
              </w:rPr>
            </w:pPr>
            <w:r w:rsidRPr="000314D9">
              <w:rPr>
                <w:rFonts w:cs="Arial"/>
                <w:sz w:val="24"/>
                <w:szCs w:val="24"/>
              </w:rPr>
              <w:t>b</w:t>
            </w:r>
            <w:r w:rsidR="003A7586" w:rsidRPr="000314D9">
              <w:rPr>
                <w:rFonts w:cs="Arial"/>
                <w:sz w:val="24"/>
                <w:szCs w:val="24"/>
              </w:rPr>
              <w:t xml:space="preserve">e accessible to a wide </w:t>
            </w:r>
            <w:r w:rsidR="009226E5" w:rsidRPr="000314D9">
              <w:rPr>
                <w:rFonts w:cs="Arial"/>
                <w:sz w:val="24"/>
                <w:szCs w:val="24"/>
              </w:rPr>
              <w:t>audience.</w:t>
            </w:r>
          </w:p>
          <w:p w14:paraId="17EF2398" w14:textId="1C5B3D2D" w:rsidR="003A7586" w:rsidRPr="000314D9" w:rsidRDefault="000314D9">
            <w:pPr>
              <w:pStyle w:val="ListParagraph"/>
              <w:numPr>
                <w:ilvl w:val="0"/>
                <w:numId w:val="1"/>
              </w:numPr>
              <w:spacing w:after="50" w:line="360" w:lineRule="atLeast"/>
              <w:ind w:left="714" w:hanging="357"/>
              <w:contextualSpacing w:val="0"/>
              <w:rPr>
                <w:rFonts w:cs="Arial"/>
                <w:sz w:val="24"/>
                <w:szCs w:val="24"/>
              </w:rPr>
            </w:pPr>
            <w:r w:rsidRPr="000314D9">
              <w:rPr>
                <w:rFonts w:cs="Arial"/>
                <w:sz w:val="24"/>
                <w:szCs w:val="24"/>
              </w:rPr>
              <w:t>u</w:t>
            </w:r>
            <w:r w:rsidR="003A7586" w:rsidRPr="000314D9">
              <w:rPr>
                <w:rFonts w:cs="Arial"/>
                <w:sz w:val="24"/>
                <w:szCs w:val="24"/>
              </w:rPr>
              <w:t>se clear</w:t>
            </w:r>
            <w:r w:rsidR="00C323A7">
              <w:rPr>
                <w:rFonts w:cs="Arial"/>
                <w:sz w:val="24"/>
                <w:szCs w:val="24"/>
              </w:rPr>
              <w:t>,</w:t>
            </w:r>
            <w:r w:rsidR="003A7586" w:rsidRPr="000314D9">
              <w:rPr>
                <w:rFonts w:cs="Arial"/>
                <w:sz w:val="24"/>
                <w:szCs w:val="24"/>
              </w:rPr>
              <w:t xml:space="preserve"> everyday English whenever </w:t>
            </w:r>
            <w:r w:rsidR="009226E5" w:rsidRPr="000314D9">
              <w:rPr>
                <w:rFonts w:cs="Arial"/>
                <w:sz w:val="24"/>
                <w:szCs w:val="24"/>
              </w:rPr>
              <w:t>possible.</w:t>
            </w:r>
          </w:p>
          <w:p w14:paraId="4C353763" w14:textId="4220BADB" w:rsidR="003A7586" w:rsidRPr="000314D9" w:rsidRDefault="000314D9">
            <w:pPr>
              <w:pStyle w:val="ListParagraph"/>
              <w:numPr>
                <w:ilvl w:val="0"/>
                <w:numId w:val="1"/>
              </w:numPr>
              <w:spacing w:after="50" w:line="360" w:lineRule="atLeast"/>
              <w:ind w:left="714" w:hanging="357"/>
              <w:contextualSpacing w:val="0"/>
              <w:rPr>
                <w:rFonts w:cs="Arial"/>
                <w:sz w:val="24"/>
                <w:szCs w:val="24"/>
              </w:rPr>
            </w:pPr>
            <w:r w:rsidRPr="000314D9">
              <w:rPr>
                <w:rFonts w:cs="Arial"/>
                <w:sz w:val="24"/>
                <w:szCs w:val="24"/>
              </w:rPr>
              <w:t>e</w:t>
            </w:r>
            <w:r w:rsidR="003A7586" w:rsidRPr="000314D9">
              <w:rPr>
                <w:rFonts w:cs="Arial"/>
                <w:sz w:val="24"/>
                <w:szCs w:val="24"/>
              </w:rPr>
              <w:t xml:space="preserve">xplain technical terms or avoid them </w:t>
            </w:r>
            <w:r w:rsidR="009226E5" w:rsidRPr="000314D9">
              <w:rPr>
                <w:rFonts w:cs="Arial"/>
                <w:sz w:val="24"/>
                <w:szCs w:val="24"/>
              </w:rPr>
              <w:t>altogether.</w:t>
            </w:r>
          </w:p>
          <w:p w14:paraId="309AC182" w14:textId="5D5640CE" w:rsidR="003A7586" w:rsidRPr="000314D9" w:rsidRDefault="000314D9">
            <w:pPr>
              <w:pStyle w:val="ListParagraph"/>
              <w:numPr>
                <w:ilvl w:val="0"/>
                <w:numId w:val="1"/>
              </w:numPr>
              <w:spacing w:after="50" w:line="360" w:lineRule="atLeast"/>
              <w:ind w:left="714" w:hanging="357"/>
              <w:contextualSpacing w:val="0"/>
              <w:rPr>
                <w:rFonts w:cs="Arial"/>
                <w:sz w:val="24"/>
                <w:szCs w:val="24"/>
              </w:rPr>
            </w:pPr>
            <w:r w:rsidRPr="000314D9">
              <w:rPr>
                <w:rFonts w:cs="Arial"/>
                <w:sz w:val="24"/>
                <w:szCs w:val="24"/>
              </w:rPr>
              <w:t>u</w:t>
            </w:r>
            <w:r w:rsidR="003A7586" w:rsidRPr="000314D9">
              <w:rPr>
                <w:rFonts w:cs="Arial"/>
                <w:sz w:val="24"/>
                <w:szCs w:val="24"/>
              </w:rPr>
              <w:t xml:space="preserve">se lists where </w:t>
            </w:r>
            <w:r w:rsidR="009226E5" w:rsidRPr="000314D9">
              <w:rPr>
                <w:rFonts w:cs="Arial"/>
                <w:sz w:val="24"/>
                <w:szCs w:val="24"/>
              </w:rPr>
              <w:t>appropriate.</w:t>
            </w:r>
          </w:p>
          <w:p w14:paraId="3BFE6B53" w14:textId="7CE75CE3" w:rsidR="003A7586" w:rsidRPr="000314D9" w:rsidRDefault="00C323A7">
            <w:pPr>
              <w:pStyle w:val="ListParagraph"/>
              <w:numPr>
                <w:ilvl w:val="0"/>
                <w:numId w:val="1"/>
              </w:numPr>
              <w:spacing w:after="50" w:line="360" w:lineRule="atLeast"/>
              <w:ind w:left="714" w:hanging="357"/>
              <w:contextualSpacing w:val="0"/>
              <w:rPr>
                <w:rFonts w:cs="Arial"/>
                <w:sz w:val="24"/>
                <w:szCs w:val="24"/>
              </w:rPr>
            </w:pPr>
            <w:r>
              <w:rPr>
                <w:rFonts w:cs="Arial"/>
                <w:sz w:val="24"/>
                <w:szCs w:val="24"/>
              </w:rPr>
              <w:t>be written in short</w:t>
            </w:r>
            <w:r w:rsidR="003A7586" w:rsidRPr="000314D9">
              <w:rPr>
                <w:rFonts w:cs="Arial"/>
                <w:sz w:val="24"/>
                <w:szCs w:val="24"/>
              </w:rPr>
              <w:t xml:space="preserve"> </w:t>
            </w:r>
            <w:r w:rsidR="009226E5" w:rsidRPr="000314D9">
              <w:rPr>
                <w:rFonts w:cs="Arial"/>
                <w:sz w:val="24"/>
                <w:szCs w:val="24"/>
              </w:rPr>
              <w:t>sentences.</w:t>
            </w:r>
          </w:p>
          <w:p w14:paraId="75C06F0F" w14:textId="005BD59D" w:rsidR="003A7586" w:rsidRPr="000314D9" w:rsidRDefault="000314D9">
            <w:pPr>
              <w:pStyle w:val="ListParagraph"/>
              <w:numPr>
                <w:ilvl w:val="0"/>
                <w:numId w:val="1"/>
              </w:numPr>
              <w:spacing w:after="280" w:line="360" w:lineRule="atLeast"/>
              <w:contextualSpacing w:val="0"/>
              <w:rPr>
                <w:sz w:val="24"/>
                <w:szCs w:val="24"/>
              </w:rPr>
            </w:pPr>
            <w:r w:rsidRPr="000314D9">
              <w:rPr>
                <w:rFonts w:cs="Arial"/>
                <w:sz w:val="24"/>
                <w:szCs w:val="24"/>
              </w:rPr>
              <w:t>a</w:t>
            </w:r>
            <w:r w:rsidR="003A7586" w:rsidRPr="000314D9">
              <w:rPr>
                <w:rFonts w:cs="Arial"/>
                <w:sz w:val="24"/>
                <w:szCs w:val="24"/>
              </w:rPr>
              <w:t>void use of jargon and excessive abbreviations</w:t>
            </w:r>
            <w:r w:rsidRPr="000314D9">
              <w:rPr>
                <w:rFonts w:cs="Arial"/>
                <w:sz w:val="24"/>
                <w:szCs w:val="24"/>
              </w:rPr>
              <w:t>.</w:t>
            </w:r>
          </w:p>
          <w:p w14:paraId="333CC664" w14:textId="372D9C0B" w:rsidR="00C72A3C" w:rsidRDefault="00C72A3C" w:rsidP="000314D9">
            <w:pPr>
              <w:spacing w:after="280" w:line="360" w:lineRule="atLeast"/>
              <w:rPr>
                <w:sz w:val="24"/>
                <w:szCs w:val="24"/>
              </w:rPr>
            </w:pPr>
            <w:r w:rsidRPr="000314D9">
              <w:rPr>
                <w:b/>
                <w:bCs/>
                <w:sz w:val="24"/>
                <w:szCs w:val="24"/>
              </w:rPr>
              <w:t>Guidance boxes</w:t>
            </w:r>
            <w:r w:rsidRPr="000314D9">
              <w:rPr>
                <w:sz w:val="24"/>
                <w:szCs w:val="24"/>
              </w:rPr>
              <w:t xml:space="preserve"> provide information for completing section</w:t>
            </w:r>
            <w:r>
              <w:rPr>
                <w:sz w:val="24"/>
                <w:szCs w:val="24"/>
              </w:rPr>
              <w:t>s</w:t>
            </w:r>
            <w:r w:rsidR="00FA7DF2">
              <w:rPr>
                <w:sz w:val="24"/>
                <w:szCs w:val="24"/>
              </w:rPr>
              <w:t>, including where further information can be found</w:t>
            </w:r>
            <w:r w:rsidRPr="000314D9">
              <w:rPr>
                <w:sz w:val="24"/>
                <w:szCs w:val="24"/>
              </w:rPr>
              <w:t xml:space="preserve">. </w:t>
            </w:r>
          </w:p>
          <w:p w14:paraId="09088E85" w14:textId="076E71FE" w:rsidR="003A7586" w:rsidRPr="000314D9" w:rsidRDefault="003A7586" w:rsidP="000314D9">
            <w:pPr>
              <w:spacing w:after="280" w:line="360" w:lineRule="atLeast"/>
              <w:rPr>
                <w:sz w:val="24"/>
                <w:szCs w:val="24"/>
              </w:rPr>
            </w:pPr>
            <w:r w:rsidRPr="000314D9">
              <w:rPr>
                <w:b/>
                <w:bCs/>
                <w:sz w:val="24"/>
                <w:szCs w:val="24"/>
              </w:rPr>
              <w:t>Standard text</w:t>
            </w:r>
            <w:r w:rsidRPr="000314D9">
              <w:rPr>
                <w:sz w:val="24"/>
                <w:szCs w:val="24"/>
              </w:rPr>
              <w:t xml:space="preserve"> is </w:t>
            </w:r>
            <w:r w:rsidR="00410CF5">
              <w:rPr>
                <w:sz w:val="24"/>
                <w:szCs w:val="24"/>
              </w:rPr>
              <w:t>provided</w:t>
            </w:r>
            <w:r w:rsidR="00AB17EF">
              <w:rPr>
                <w:sz w:val="24"/>
                <w:szCs w:val="24"/>
              </w:rPr>
              <w:t xml:space="preserve"> for </w:t>
            </w:r>
            <w:r w:rsidRPr="000314D9">
              <w:rPr>
                <w:sz w:val="24"/>
                <w:szCs w:val="24"/>
              </w:rPr>
              <w:t xml:space="preserve">some sections. </w:t>
            </w:r>
            <w:r w:rsidR="00CE4859">
              <w:rPr>
                <w:sz w:val="24"/>
                <w:szCs w:val="24"/>
              </w:rPr>
              <w:t xml:space="preserve">You </w:t>
            </w:r>
            <w:r w:rsidRPr="000314D9">
              <w:rPr>
                <w:sz w:val="24"/>
                <w:szCs w:val="24"/>
              </w:rPr>
              <w:t>can amend</w:t>
            </w:r>
            <w:r w:rsidR="00CE4859">
              <w:rPr>
                <w:sz w:val="24"/>
                <w:szCs w:val="24"/>
              </w:rPr>
              <w:t xml:space="preserve"> this</w:t>
            </w:r>
            <w:r w:rsidRPr="000314D9">
              <w:rPr>
                <w:sz w:val="24"/>
                <w:szCs w:val="24"/>
              </w:rPr>
              <w:t xml:space="preserve"> and add content to support local requirements</w:t>
            </w:r>
            <w:r w:rsidR="000314D9" w:rsidRPr="000314D9">
              <w:rPr>
                <w:sz w:val="24"/>
                <w:szCs w:val="24"/>
              </w:rPr>
              <w:t>.</w:t>
            </w:r>
          </w:p>
          <w:p w14:paraId="3DB99C5E" w14:textId="6D97ACC6" w:rsidR="002D236D" w:rsidRDefault="002D236D">
            <w:pPr>
              <w:spacing w:after="280" w:line="360" w:lineRule="atLeast"/>
            </w:pPr>
          </w:p>
        </w:tc>
      </w:tr>
    </w:tbl>
    <w:p w14:paraId="17694C01" w14:textId="3A6C60B7" w:rsidR="006C0919" w:rsidRDefault="006C0919" w:rsidP="0086722C">
      <w:pPr>
        <w:spacing w:after="0" w:line="240" w:lineRule="auto"/>
        <w:rPr>
          <w:rFonts w:eastAsia="Calibri" w:cs="Arial"/>
          <w:b/>
          <w:color w:val="00B050"/>
        </w:rPr>
      </w:pPr>
    </w:p>
    <w:p w14:paraId="12A4876A" w14:textId="77777777" w:rsidR="000A5254" w:rsidRDefault="000A5254">
      <w:pPr>
        <w:rPr>
          <w:rFonts w:eastAsia="Calibri" w:cs="Arial"/>
          <w:b/>
          <w:color w:val="00B050"/>
        </w:rPr>
      </w:pPr>
      <w:r>
        <w:rPr>
          <w:rFonts w:eastAsia="Calibri" w:cs="Arial"/>
          <w:b/>
          <w:color w:val="00B050"/>
        </w:rPr>
        <w:br w:type="page"/>
      </w:r>
    </w:p>
    <w:sdt>
      <w:sdtPr>
        <w:rPr>
          <w:rFonts w:asciiTheme="minorHAnsi" w:eastAsiaTheme="minorHAnsi" w:hAnsiTheme="minorHAnsi" w:cstheme="minorBidi"/>
          <w:b w:val="0"/>
          <w:bCs w:val="0"/>
          <w:color w:val="auto"/>
          <w:sz w:val="22"/>
          <w:szCs w:val="22"/>
          <w:lang w:val="en-GB" w:eastAsia="en-US"/>
        </w:rPr>
        <w:id w:val="2062751647"/>
        <w:docPartObj>
          <w:docPartGallery w:val="Table of Contents"/>
          <w:docPartUnique/>
        </w:docPartObj>
      </w:sdtPr>
      <w:sdtEndPr>
        <w:rPr>
          <w:rFonts w:ascii="Arial" w:hAnsi="Arial"/>
          <w:noProof/>
        </w:rPr>
      </w:sdtEndPr>
      <w:sdtContent>
        <w:sdt>
          <w:sdtPr>
            <w:rPr>
              <w:rFonts w:asciiTheme="minorHAnsi" w:eastAsiaTheme="minorHAnsi" w:hAnsiTheme="minorHAnsi" w:cstheme="minorBidi"/>
              <w:b w:val="0"/>
              <w:bCs w:val="0"/>
              <w:color w:val="auto"/>
              <w:sz w:val="22"/>
              <w:szCs w:val="22"/>
              <w:lang w:val="en-GB" w:eastAsia="en-US"/>
            </w:rPr>
            <w:id w:val="1299490881"/>
            <w:docPartObj>
              <w:docPartGallery w:val="Table of Contents"/>
              <w:docPartUnique/>
            </w:docPartObj>
          </w:sdtPr>
          <w:sdtEndPr>
            <w:rPr>
              <w:rFonts w:ascii="Arial" w:hAnsi="Arial"/>
              <w:noProof/>
            </w:rPr>
          </w:sdtEndPr>
          <w:sdtContent>
            <w:p w14:paraId="18C97B6D" w14:textId="77777777" w:rsidR="006806EF" w:rsidRPr="006806EF" w:rsidRDefault="006806EF" w:rsidP="006806EF">
              <w:pPr>
                <w:pStyle w:val="TOCHeading"/>
                <w:spacing w:after="480"/>
                <w:rPr>
                  <w:b w:val="0"/>
                  <w:bCs w:val="0"/>
                  <w:color w:val="005EB8"/>
                  <w:sz w:val="48"/>
                  <w:szCs w:val="48"/>
                </w:rPr>
              </w:pPr>
              <w:r w:rsidRPr="006806EF">
                <w:rPr>
                  <w:b w:val="0"/>
                  <w:bCs w:val="0"/>
                  <w:color w:val="005EB8"/>
                  <w:sz w:val="48"/>
                  <w:szCs w:val="48"/>
                </w:rPr>
                <w:t>Contents</w:t>
              </w:r>
            </w:p>
            <w:p w14:paraId="0490C1D1" w14:textId="77777777" w:rsidR="006806EF" w:rsidRPr="006806EF" w:rsidRDefault="006806EF" w:rsidP="006806EF">
              <w:pPr>
                <w:pStyle w:val="TOC1"/>
                <w:rPr>
                  <w:rFonts w:eastAsiaTheme="minorEastAsia"/>
                  <w:noProof/>
                  <w:sz w:val="24"/>
                  <w:szCs w:val="24"/>
                  <w:lang w:eastAsia="en-GB"/>
                </w:rPr>
              </w:pPr>
              <w:r>
                <w:fldChar w:fldCharType="begin"/>
              </w:r>
              <w:r>
                <w:instrText xml:space="preserve"> TOC \o "1-3" \h \z \u </w:instrText>
              </w:r>
              <w:r>
                <w:fldChar w:fldCharType="separate"/>
              </w:r>
              <w:hyperlink w:anchor="_Toc105488074" w:history="1">
                <w:r w:rsidRPr="006806EF">
                  <w:rPr>
                    <w:rStyle w:val="Hyperlink"/>
                    <w:noProof/>
                    <w:sz w:val="24"/>
                    <w:szCs w:val="24"/>
                  </w:rPr>
                  <w:t>Introduction</w:t>
                </w:r>
                <w:r w:rsidRPr="006806EF">
                  <w:rPr>
                    <w:noProof/>
                    <w:webHidden/>
                    <w:sz w:val="24"/>
                    <w:szCs w:val="24"/>
                  </w:rPr>
                  <w:tab/>
                </w:r>
                <w:r w:rsidRPr="006806EF">
                  <w:rPr>
                    <w:noProof/>
                    <w:webHidden/>
                    <w:sz w:val="24"/>
                    <w:szCs w:val="24"/>
                  </w:rPr>
                  <w:fldChar w:fldCharType="begin"/>
                </w:r>
                <w:r w:rsidRPr="006806EF">
                  <w:rPr>
                    <w:noProof/>
                    <w:webHidden/>
                    <w:sz w:val="24"/>
                    <w:szCs w:val="24"/>
                  </w:rPr>
                  <w:instrText xml:space="preserve"> PAGEREF _Toc105488074 \h </w:instrText>
                </w:r>
                <w:r w:rsidRPr="006806EF">
                  <w:rPr>
                    <w:noProof/>
                    <w:webHidden/>
                    <w:sz w:val="24"/>
                    <w:szCs w:val="24"/>
                  </w:rPr>
                </w:r>
                <w:r w:rsidRPr="006806EF">
                  <w:rPr>
                    <w:noProof/>
                    <w:webHidden/>
                    <w:sz w:val="24"/>
                    <w:szCs w:val="24"/>
                  </w:rPr>
                  <w:fldChar w:fldCharType="separate"/>
                </w:r>
                <w:r w:rsidRPr="006806EF">
                  <w:rPr>
                    <w:noProof/>
                    <w:webHidden/>
                    <w:sz w:val="24"/>
                    <w:szCs w:val="24"/>
                  </w:rPr>
                  <w:t>3</w:t>
                </w:r>
                <w:r w:rsidRPr="006806EF">
                  <w:rPr>
                    <w:noProof/>
                    <w:webHidden/>
                    <w:sz w:val="24"/>
                    <w:szCs w:val="24"/>
                  </w:rPr>
                  <w:fldChar w:fldCharType="end"/>
                </w:r>
              </w:hyperlink>
            </w:p>
            <w:p w14:paraId="406831C3" w14:textId="77777777" w:rsidR="006806EF" w:rsidRPr="006806EF" w:rsidRDefault="00D61360" w:rsidP="006806EF">
              <w:pPr>
                <w:pStyle w:val="TOC1"/>
                <w:rPr>
                  <w:rFonts w:eastAsiaTheme="minorEastAsia"/>
                  <w:noProof/>
                  <w:sz w:val="24"/>
                  <w:szCs w:val="24"/>
                  <w:lang w:eastAsia="en-GB"/>
                </w:rPr>
              </w:pPr>
              <w:hyperlink w:anchor="_Toc105488075" w:history="1">
                <w:r w:rsidR="006806EF" w:rsidRPr="006806EF">
                  <w:rPr>
                    <w:rStyle w:val="Hyperlink"/>
                    <w:noProof/>
                    <w:sz w:val="24"/>
                    <w:szCs w:val="24"/>
                  </w:rPr>
                  <w:t>Our services</w:t>
                </w:r>
                <w:r w:rsidR="006806EF" w:rsidRPr="006806EF">
                  <w:rPr>
                    <w:noProof/>
                    <w:webHidden/>
                    <w:sz w:val="24"/>
                    <w:szCs w:val="24"/>
                  </w:rPr>
                  <w:tab/>
                </w:r>
                <w:r w:rsidR="006806EF" w:rsidRPr="006806EF">
                  <w:rPr>
                    <w:noProof/>
                    <w:webHidden/>
                    <w:sz w:val="24"/>
                    <w:szCs w:val="24"/>
                  </w:rPr>
                  <w:fldChar w:fldCharType="begin"/>
                </w:r>
                <w:r w:rsidR="006806EF" w:rsidRPr="006806EF">
                  <w:rPr>
                    <w:noProof/>
                    <w:webHidden/>
                    <w:sz w:val="24"/>
                    <w:szCs w:val="24"/>
                  </w:rPr>
                  <w:instrText xml:space="preserve"> PAGEREF _Toc105488075 \h </w:instrText>
                </w:r>
                <w:r w:rsidR="006806EF" w:rsidRPr="006806EF">
                  <w:rPr>
                    <w:noProof/>
                    <w:webHidden/>
                    <w:sz w:val="24"/>
                    <w:szCs w:val="24"/>
                  </w:rPr>
                </w:r>
                <w:r w:rsidR="006806EF" w:rsidRPr="006806EF">
                  <w:rPr>
                    <w:noProof/>
                    <w:webHidden/>
                    <w:sz w:val="24"/>
                    <w:szCs w:val="24"/>
                  </w:rPr>
                  <w:fldChar w:fldCharType="separate"/>
                </w:r>
                <w:r w:rsidR="006806EF" w:rsidRPr="006806EF">
                  <w:rPr>
                    <w:noProof/>
                    <w:webHidden/>
                    <w:sz w:val="24"/>
                    <w:szCs w:val="24"/>
                  </w:rPr>
                  <w:t>4</w:t>
                </w:r>
                <w:r w:rsidR="006806EF" w:rsidRPr="006806EF">
                  <w:rPr>
                    <w:noProof/>
                    <w:webHidden/>
                    <w:sz w:val="24"/>
                    <w:szCs w:val="24"/>
                  </w:rPr>
                  <w:fldChar w:fldCharType="end"/>
                </w:r>
              </w:hyperlink>
            </w:p>
            <w:p w14:paraId="7849E093" w14:textId="77777777" w:rsidR="006806EF" w:rsidRPr="006806EF" w:rsidRDefault="00D61360" w:rsidP="006806EF">
              <w:pPr>
                <w:pStyle w:val="TOC1"/>
                <w:rPr>
                  <w:rFonts w:eastAsiaTheme="minorEastAsia"/>
                  <w:noProof/>
                  <w:sz w:val="24"/>
                  <w:szCs w:val="24"/>
                  <w:lang w:eastAsia="en-GB"/>
                </w:rPr>
              </w:pPr>
              <w:hyperlink w:anchor="_Toc105488076" w:history="1">
                <w:r w:rsidR="006806EF" w:rsidRPr="006806EF">
                  <w:rPr>
                    <w:rStyle w:val="Hyperlink"/>
                    <w:noProof/>
                    <w:sz w:val="24"/>
                    <w:szCs w:val="24"/>
                  </w:rPr>
                  <w:t>Defining our patient safety incident profile</w:t>
                </w:r>
                <w:r w:rsidR="006806EF" w:rsidRPr="006806EF">
                  <w:rPr>
                    <w:noProof/>
                    <w:webHidden/>
                    <w:sz w:val="24"/>
                    <w:szCs w:val="24"/>
                  </w:rPr>
                  <w:tab/>
                </w:r>
                <w:r w:rsidR="006806EF" w:rsidRPr="006806EF">
                  <w:rPr>
                    <w:noProof/>
                    <w:webHidden/>
                    <w:sz w:val="24"/>
                    <w:szCs w:val="24"/>
                  </w:rPr>
                  <w:fldChar w:fldCharType="begin"/>
                </w:r>
                <w:r w:rsidR="006806EF" w:rsidRPr="006806EF">
                  <w:rPr>
                    <w:noProof/>
                    <w:webHidden/>
                    <w:sz w:val="24"/>
                    <w:szCs w:val="24"/>
                  </w:rPr>
                  <w:instrText xml:space="preserve"> PAGEREF _Toc105488076 \h </w:instrText>
                </w:r>
                <w:r w:rsidR="006806EF" w:rsidRPr="006806EF">
                  <w:rPr>
                    <w:noProof/>
                    <w:webHidden/>
                    <w:sz w:val="24"/>
                    <w:szCs w:val="24"/>
                  </w:rPr>
                </w:r>
                <w:r w:rsidR="006806EF" w:rsidRPr="006806EF">
                  <w:rPr>
                    <w:noProof/>
                    <w:webHidden/>
                    <w:sz w:val="24"/>
                    <w:szCs w:val="24"/>
                  </w:rPr>
                  <w:fldChar w:fldCharType="separate"/>
                </w:r>
                <w:r w:rsidR="006806EF" w:rsidRPr="006806EF">
                  <w:rPr>
                    <w:noProof/>
                    <w:webHidden/>
                    <w:sz w:val="24"/>
                    <w:szCs w:val="24"/>
                  </w:rPr>
                  <w:t>5</w:t>
                </w:r>
                <w:r w:rsidR="006806EF" w:rsidRPr="006806EF">
                  <w:rPr>
                    <w:noProof/>
                    <w:webHidden/>
                    <w:sz w:val="24"/>
                    <w:szCs w:val="24"/>
                  </w:rPr>
                  <w:fldChar w:fldCharType="end"/>
                </w:r>
              </w:hyperlink>
            </w:p>
            <w:p w14:paraId="45396655" w14:textId="77777777" w:rsidR="006806EF" w:rsidRPr="006806EF" w:rsidRDefault="00D61360" w:rsidP="006806EF">
              <w:pPr>
                <w:pStyle w:val="TOC1"/>
                <w:rPr>
                  <w:rFonts w:eastAsiaTheme="minorEastAsia"/>
                  <w:noProof/>
                  <w:sz w:val="24"/>
                  <w:szCs w:val="24"/>
                  <w:lang w:eastAsia="en-GB"/>
                </w:rPr>
              </w:pPr>
              <w:hyperlink w:anchor="_Toc105488077" w:history="1">
                <w:r w:rsidR="006806EF" w:rsidRPr="006806EF">
                  <w:rPr>
                    <w:rStyle w:val="Hyperlink"/>
                    <w:noProof/>
                    <w:sz w:val="24"/>
                    <w:szCs w:val="24"/>
                  </w:rPr>
                  <w:t>Defining our patient safety improvement profile</w:t>
                </w:r>
                <w:r w:rsidR="006806EF" w:rsidRPr="006806EF">
                  <w:rPr>
                    <w:noProof/>
                    <w:webHidden/>
                    <w:sz w:val="24"/>
                    <w:szCs w:val="24"/>
                  </w:rPr>
                  <w:tab/>
                </w:r>
                <w:r w:rsidR="006806EF" w:rsidRPr="006806EF">
                  <w:rPr>
                    <w:noProof/>
                    <w:webHidden/>
                    <w:sz w:val="24"/>
                    <w:szCs w:val="24"/>
                  </w:rPr>
                  <w:fldChar w:fldCharType="begin"/>
                </w:r>
                <w:r w:rsidR="006806EF" w:rsidRPr="006806EF">
                  <w:rPr>
                    <w:noProof/>
                    <w:webHidden/>
                    <w:sz w:val="24"/>
                    <w:szCs w:val="24"/>
                  </w:rPr>
                  <w:instrText xml:space="preserve"> PAGEREF _Toc105488077 \h </w:instrText>
                </w:r>
                <w:r w:rsidR="006806EF" w:rsidRPr="006806EF">
                  <w:rPr>
                    <w:noProof/>
                    <w:webHidden/>
                    <w:sz w:val="24"/>
                    <w:szCs w:val="24"/>
                  </w:rPr>
                </w:r>
                <w:r w:rsidR="006806EF" w:rsidRPr="006806EF">
                  <w:rPr>
                    <w:noProof/>
                    <w:webHidden/>
                    <w:sz w:val="24"/>
                    <w:szCs w:val="24"/>
                  </w:rPr>
                  <w:fldChar w:fldCharType="separate"/>
                </w:r>
                <w:r w:rsidR="006806EF" w:rsidRPr="006806EF">
                  <w:rPr>
                    <w:noProof/>
                    <w:webHidden/>
                    <w:sz w:val="24"/>
                    <w:szCs w:val="24"/>
                  </w:rPr>
                  <w:t>6</w:t>
                </w:r>
                <w:r w:rsidR="006806EF" w:rsidRPr="006806EF">
                  <w:rPr>
                    <w:noProof/>
                    <w:webHidden/>
                    <w:sz w:val="24"/>
                    <w:szCs w:val="24"/>
                  </w:rPr>
                  <w:fldChar w:fldCharType="end"/>
                </w:r>
              </w:hyperlink>
            </w:p>
            <w:p w14:paraId="46179954" w14:textId="77777777" w:rsidR="006806EF" w:rsidRPr="006806EF" w:rsidRDefault="00D61360" w:rsidP="006806EF">
              <w:pPr>
                <w:pStyle w:val="TOC1"/>
                <w:rPr>
                  <w:rFonts w:eastAsiaTheme="minorEastAsia"/>
                  <w:noProof/>
                  <w:sz w:val="24"/>
                  <w:szCs w:val="24"/>
                  <w:lang w:eastAsia="en-GB"/>
                </w:rPr>
              </w:pPr>
              <w:hyperlink w:anchor="_Toc105488078" w:history="1">
                <w:r w:rsidR="006806EF" w:rsidRPr="006806EF">
                  <w:rPr>
                    <w:rStyle w:val="Hyperlink"/>
                    <w:noProof/>
                    <w:sz w:val="24"/>
                    <w:szCs w:val="24"/>
                  </w:rPr>
                  <w:t>Our patient safety incident response plan: national requirements</w:t>
                </w:r>
                <w:r w:rsidR="006806EF" w:rsidRPr="006806EF">
                  <w:rPr>
                    <w:noProof/>
                    <w:webHidden/>
                    <w:sz w:val="24"/>
                    <w:szCs w:val="24"/>
                  </w:rPr>
                  <w:tab/>
                </w:r>
                <w:r w:rsidR="006806EF" w:rsidRPr="006806EF">
                  <w:rPr>
                    <w:noProof/>
                    <w:webHidden/>
                    <w:sz w:val="24"/>
                    <w:szCs w:val="24"/>
                  </w:rPr>
                  <w:fldChar w:fldCharType="begin"/>
                </w:r>
                <w:r w:rsidR="006806EF" w:rsidRPr="006806EF">
                  <w:rPr>
                    <w:noProof/>
                    <w:webHidden/>
                    <w:sz w:val="24"/>
                    <w:szCs w:val="24"/>
                  </w:rPr>
                  <w:instrText xml:space="preserve"> PAGEREF _Toc105488078 \h </w:instrText>
                </w:r>
                <w:r w:rsidR="006806EF" w:rsidRPr="006806EF">
                  <w:rPr>
                    <w:noProof/>
                    <w:webHidden/>
                    <w:sz w:val="24"/>
                    <w:szCs w:val="24"/>
                  </w:rPr>
                </w:r>
                <w:r w:rsidR="006806EF" w:rsidRPr="006806EF">
                  <w:rPr>
                    <w:noProof/>
                    <w:webHidden/>
                    <w:sz w:val="24"/>
                    <w:szCs w:val="24"/>
                  </w:rPr>
                  <w:fldChar w:fldCharType="separate"/>
                </w:r>
                <w:r w:rsidR="006806EF" w:rsidRPr="006806EF">
                  <w:rPr>
                    <w:noProof/>
                    <w:webHidden/>
                    <w:sz w:val="24"/>
                    <w:szCs w:val="24"/>
                  </w:rPr>
                  <w:t>7</w:t>
                </w:r>
                <w:r w:rsidR="006806EF" w:rsidRPr="006806EF">
                  <w:rPr>
                    <w:noProof/>
                    <w:webHidden/>
                    <w:sz w:val="24"/>
                    <w:szCs w:val="24"/>
                  </w:rPr>
                  <w:fldChar w:fldCharType="end"/>
                </w:r>
              </w:hyperlink>
            </w:p>
            <w:p w14:paraId="394F8DB9" w14:textId="0172779E" w:rsidR="000A5254" w:rsidRPr="006806EF" w:rsidRDefault="00D61360" w:rsidP="00E31788">
              <w:pPr>
                <w:pStyle w:val="TOC1"/>
                <w:rPr>
                  <w:b/>
                  <w:bCs/>
                  <w:noProof/>
                </w:rPr>
              </w:pPr>
              <w:hyperlink w:anchor="_Toc105488079" w:history="1">
                <w:r w:rsidR="006806EF" w:rsidRPr="006806EF">
                  <w:rPr>
                    <w:rStyle w:val="Hyperlink"/>
                    <w:noProof/>
                    <w:sz w:val="24"/>
                    <w:szCs w:val="24"/>
                  </w:rPr>
                  <w:t>Our patient safety incident response plan: local focus</w:t>
                </w:r>
                <w:r w:rsidR="006806EF" w:rsidRPr="006806EF">
                  <w:rPr>
                    <w:noProof/>
                    <w:webHidden/>
                    <w:sz w:val="24"/>
                    <w:szCs w:val="24"/>
                  </w:rPr>
                  <w:tab/>
                </w:r>
                <w:r w:rsidR="006806EF" w:rsidRPr="006806EF">
                  <w:rPr>
                    <w:noProof/>
                    <w:webHidden/>
                    <w:sz w:val="24"/>
                    <w:szCs w:val="24"/>
                  </w:rPr>
                  <w:fldChar w:fldCharType="begin"/>
                </w:r>
                <w:r w:rsidR="006806EF" w:rsidRPr="006806EF">
                  <w:rPr>
                    <w:noProof/>
                    <w:webHidden/>
                    <w:sz w:val="24"/>
                    <w:szCs w:val="24"/>
                  </w:rPr>
                  <w:instrText xml:space="preserve"> PAGEREF _Toc105488079 \h </w:instrText>
                </w:r>
                <w:r w:rsidR="006806EF" w:rsidRPr="006806EF">
                  <w:rPr>
                    <w:noProof/>
                    <w:webHidden/>
                    <w:sz w:val="24"/>
                    <w:szCs w:val="24"/>
                  </w:rPr>
                </w:r>
                <w:r w:rsidR="006806EF" w:rsidRPr="006806EF">
                  <w:rPr>
                    <w:noProof/>
                    <w:webHidden/>
                    <w:sz w:val="24"/>
                    <w:szCs w:val="24"/>
                  </w:rPr>
                  <w:fldChar w:fldCharType="separate"/>
                </w:r>
                <w:r w:rsidR="006806EF" w:rsidRPr="006806EF">
                  <w:rPr>
                    <w:noProof/>
                    <w:webHidden/>
                    <w:sz w:val="24"/>
                    <w:szCs w:val="24"/>
                  </w:rPr>
                  <w:t>8</w:t>
                </w:r>
                <w:r w:rsidR="006806EF" w:rsidRPr="006806EF">
                  <w:rPr>
                    <w:noProof/>
                    <w:webHidden/>
                    <w:sz w:val="24"/>
                    <w:szCs w:val="24"/>
                  </w:rPr>
                  <w:fldChar w:fldCharType="end"/>
                </w:r>
              </w:hyperlink>
              <w:r w:rsidR="006806EF">
                <w:rPr>
                  <w:b/>
                  <w:bCs/>
                  <w:noProof/>
                </w:rPr>
                <w:fldChar w:fldCharType="end"/>
              </w:r>
            </w:p>
          </w:sdtContent>
        </w:sdt>
      </w:sdtContent>
    </w:sdt>
    <w:p w14:paraId="1A84764F" w14:textId="102FBE4F" w:rsidR="00F17175" w:rsidRDefault="00F17175">
      <w:pPr>
        <w:rPr>
          <w:rFonts w:eastAsia="Calibri" w:cs="Arial"/>
          <w:b/>
          <w:color w:val="00B050"/>
        </w:rPr>
      </w:pPr>
      <w:r>
        <w:rPr>
          <w:rFonts w:eastAsia="Calibri" w:cs="Arial"/>
          <w:b/>
          <w:color w:val="00B050"/>
        </w:rPr>
        <w:br w:type="page"/>
      </w:r>
    </w:p>
    <w:p w14:paraId="15D66457" w14:textId="03384683" w:rsidR="00E9385E" w:rsidRPr="00EF5CCF" w:rsidRDefault="006806EF" w:rsidP="00EF5CCF">
      <w:pPr>
        <w:pStyle w:val="Heading1"/>
        <w:spacing w:after="280"/>
        <w:ind w:left="-284"/>
        <w:rPr>
          <w:rFonts w:eastAsia="Calibri"/>
          <w:b w:val="0"/>
          <w:bCs w:val="0"/>
          <w:color w:val="005EB8"/>
          <w:sz w:val="36"/>
          <w:szCs w:val="36"/>
        </w:rPr>
      </w:pPr>
      <w:r>
        <w:rPr>
          <w:rFonts w:eastAsia="Calibri"/>
          <w:b w:val="0"/>
          <w:bCs w:val="0"/>
          <w:color w:val="005EB8"/>
          <w:sz w:val="36"/>
          <w:szCs w:val="36"/>
        </w:rPr>
        <w:lastRenderedPageBreak/>
        <w:t>Introduction</w:t>
      </w:r>
    </w:p>
    <w:tbl>
      <w:tblPr>
        <w:tblStyle w:val="TableGrid"/>
        <w:tblW w:w="0" w:type="auto"/>
        <w:tblInd w:w="-289" w:type="dxa"/>
        <w:shd w:val="clear" w:color="auto" w:fill="DAEEF3" w:themeFill="accent5" w:themeFillTint="33"/>
        <w:tblLook w:val="04A0" w:firstRow="1" w:lastRow="0" w:firstColumn="1" w:lastColumn="0" w:noHBand="0" w:noVBand="1"/>
      </w:tblPr>
      <w:tblGrid>
        <w:gridCol w:w="9356"/>
      </w:tblGrid>
      <w:tr w:rsidR="009B552D" w14:paraId="2F66D1C5" w14:textId="77777777" w:rsidTr="0056786E">
        <w:tc>
          <w:tcPr>
            <w:tcW w:w="9356" w:type="dxa"/>
            <w:shd w:val="clear" w:color="auto" w:fill="DAEEF3" w:themeFill="accent5" w:themeFillTint="33"/>
          </w:tcPr>
          <w:p w14:paraId="634EA6F7" w14:textId="78DC762E" w:rsidR="00323A66" w:rsidRPr="00243601" w:rsidRDefault="00323A66" w:rsidP="00F52004">
            <w:pPr>
              <w:spacing w:before="120" w:after="280" w:line="360" w:lineRule="atLeast"/>
              <w:rPr>
                <w:b/>
                <w:bCs/>
                <w:sz w:val="24"/>
                <w:szCs w:val="24"/>
              </w:rPr>
            </w:pPr>
            <w:r w:rsidRPr="00243601">
              <w:rPr>
                <w:b/>
                <w:bCs/>
                <w:sz w:val="24"/>
                <w:szCs w:val="24"/>
              </w:rPr>
              <w:t>Notes</w:t>
            </w:r>
          </w:p>
          <w:p w14:paraId="48A6B754" w14:textId="75945C97" w:rsidR="00323A66" w:rsidRPr="00243601" w:rsidRDefault="00323A66" w:rsidP="00243601">
            <w:pPr>
              <w:spacing w:after="280" w:line="360" w:lineRule="atLeast"/>
              <w:rPr>
                <w:sz w:val="24"/>
                <w:szCs w:val="24"/>
              </w:rPr>
            </w:pPr>
            <w:r w:rsidRPr="00243601">
              <w:rPr>
                <w:sz w:val="24"/>
                <w:szCs w:val="24"/>
              </w:rPr>
              <w:t xml:space="preserve">Provide a </w:t>
            </w:r>
            <w:r w:rsidR="00D8158C">
              <w:rPr>
                <w:sz w:val="24"/>
                <w:szCs w:val="24"/>
              </w:rPr>
              <w:t>general introduction to your plan, including any background information and a statement of rationale.</w:t>
            </w:r>
          </w:p>
          <w:p w14:paraId="00B80A11" w14:textId="1D87F2B7" w:rsidR="009B552D" w:rsidRDefault="00323A66" w:rsidP="00D8158C">
            <w:pPr>
              <w:spacing w:after="280" w:line="360" w:lineRule="atLeast"/>
            </w:pPr>
            <w:r w:rsidRPr="00243601">
              <w:rPr>
                <w:sz w:val="24"/>
                <w:szCs w:val="24"/>
              </w:rPr>
              <w:t>Standard text is provided</w:t>
            </w:r>
            <w:r w:rsidR="00544E4C">
              <w:rPr>
                <w:sz w:val="24"/>
                <w:szCs w:val="24"/>
              </w:rPr>
              <w:t>. Y</w:t>
            </w:r>
            <w:r w:rsidRPr="00243601">
              <w:rPr>
                <w:sz w:val="24"/>
                <w:szCs w:val="24"/>
              </w:rPr>
              <w:t xml:space="preserve">ou may want to </w:t>
            </w:r>
            <w:r w:rsidR="001C7D8C">
              <w:rPr>
                <w:sz w:val="24"/>
                <w:szCs w:val="24"/>
              </w:rPr>
              <w:t>amend this</w:t>
            </w:r>
            <w:r w:rsidR="00243601">
              <w:rPr>
                <w:sz w:val="24"/>
                <w:szCs w:val="24"/>
              </w:rPr>
              <w:t>.</w:t>
            </w:r>
          </w:p>
        </w:tc>
      </w:tr>
    </w:tbl>
    <w:p w14:paraId="465BCB37" w14:textId="30B83291" w:rsidR="00552200" w:rsidRPr="00552200" w:rsidRDefault="006B7E4E" w:rsidP="00552200">
      <w:pPr>
        <w:spacing w:before="280" w:after="280" w:line="360" w:lineRule="atLeast"/>
        <w:ind w:left="-284" w:right="119"/>
        <w:rPr>
          <w:sz w:val="24"/>
          <w:szCs w:val="24"/>
        </w:rPr>
      </w:pPr>
      <w:bookmarkStart w:id="0" w:name="_Toc47518812"/>
      <w:r>
        <w:t xml:space="preserve">This patient safety incident response plan </w:t>
      </w:r>
      <w:r w:rsidR="008B5781">
        <w:t>sets out</w:t>
      </w:r>
      <w:r>
        <w:t xml:space="preserve"> how </w:t>
      </w:r>
      <w:r w:rsidR="00770417" w:rsidRPr="00770417">
        <w:t>Primary Integrated Community Services</w:t>
      </w:r>
      <w:r w:rsidR="00770417">
        <w:t xml:space="preserve"> (PICS)</w:t>
      </w:r>
      <w:r w:rsidR="00770417">
        <w:rPr>
          <w:b/>
          <w:bCs/>
        </w:rPr>
        <w:t xml:space="preserve"> </w:t>
      </w:r>
      <w:r>
        <w:t xml:space="preserve">intends to respond to patient safety incidents over a period of 12 to 18 months. The plan is not a permanent rule that cannot be changed. We will remain flexible and consider </w:t>
      </w:r>
      <w:r w:rsidR="009F6A6D">
        <w:t xml:space="preserve">the specific circumstances in which </w:t>
      </w:r>
      <w:r>
        <w:t xml:space="preserve">patient safety issues and incidents </w:t>
      </w:r>
      <w:r w:rsidR="009F6A6D">
        <w:t>occurred</w:t>
      </w:r>
      <w:r>
        <w:t xml:space="preserve"> and the needs of those affected.</w:t>
      </w:r>
    </w:p>
    <w:p w14:paraId="51197158" w14:textId="77777777" w:rsidR="009420FC" w:rsidRDefault="009420FC">
      <w:pPr>
        <w:rPr>
          <w:rFonts w:eastAsiaTheme="majorEastAsia" w:cstheme="majorBidi"/>
          <w:b/>
          <w:bCs/>
          <w:color w:val="365F91" w:themeColor="accent1" w:themeShade="BF"/>
          <w:sz w:val="28"/>
          <w:szCs w:val="28"/>
        </w:rPr>
      </w:pPr>
      <w:r>
        <w:br w:type="page"/>
      </w:r>
    </w:p>
    <w:bookmarkEnd w:id="0"/>
    <w:p w14:paraId="63B4335F" w14:textId="46C59507" w:rsidR="00880BB6" w:rsidRPr="00EF5CCF" w:rsidRDefault="006B7E4E" w:rsidP="00EF5CCF">
      <w:pPr>
        <w:pStyle w:val="Heading1"/>
        <w:spacing w:after="280"/>
        <w:ind w:left="-284"/>
        <w:rPr>
          <w:b w:val="0"/>
          <w:bCs w:val="0"/>
          <w:color w:val="005EB8"/>
          <w:sz w:val="36"/>
          <w:szCs w:val="36"/>
        </w:rPr>
      </w:pPr>
      <w:r>
        <w:rPr>
          <w:b w:val="0"/>
          <w:bCs w:val="0"/>
          <w:color w:val="005EB8"/>
          <w:sz w:val="36"/>
          <w:szCs w:val="36"/>
        </w:rPr>
        <w:lastRenderedPageBreak/>
        <w:t>Our services</w:t>
      </w:r>
    </w:p>
    <w:tbl>
      <w:tblPr>
        <w:tblStyle w:val="TableGrid"/>
        <w:tblW w:w="0" w:type="auto"/>
        <w:tblInd w:w="-289" w:type="dxa"/>
        <w:shd w:val="clear" w:color="auto" w:fill="DAEEF3" w:themeFill="accent5" w:themeFillTint="33"/>
        <w:tblLook w:val="04A0" w:firstRow="1" w:lastRow="0" w:firstColumn="1" w:lastColumn="0" w:noHBand="0" w:noVBand="1"/>
      </w:tblPr>
      <w:tblGrid>
        <w:gridCol w:w="9356"/>
      </w:tblGrid>
      <w:tr w:rsidR="004B2A05" w14:paraId="40ACFB44" w14:textId="77777777" w:rsidTr="009C1076">
        <w:tc>
          <w:tcPr>
            <w:tcW w:w="9356" w:type="dxa"/>
            <w:shd w:val="clear" w:color="auto" w:fill="DAEEF3" w:themeFill="accent5" w:themeFillTint="33"/>
          </w:tcPr>
          <w:p w14:paraId="4E82D335" w14:textId="19C0C6C7" w:rsidR="00C7720F" w:rsidRPr="00A519FB" w:rsidRDefault="00C7720F" w:rsidP="00F52004">
            <w:pPr>
              <w:spacing w:before="120" w:after="280" w:line="360" w:lineRule="atLeast"/>
              <w:rPr>
                <w:b/>
                <w:bCs/>
                <w:sz w:val="24"/>
                <w:szCs w:val="24"/>
              </w:rPr>
            </w:pPr>
            <w:r w:rsidRPr="00A519FB">
              <w:rPr>
                <w:b/>
                <w:bCs/>
                <w:sz w:val="24"/>
                <w:szCs w:val="24"/>
              </w:rPr>
              <w:t>Notes</w:t>
            </w:r>
          </w:p>
          <w:p w14:paraId="3126ADAD" w14:textId="661EFFAE" w:rsidR="00A519FB" w:rsidRPr="00A519FB" w:rsidRDefault="00A519FB" w:rsidP="00A519FB">
            <w:pPr>
              <w:spacing w:after="280" w:line="360" w:lineRule="atLeast"/>
              <w:rPr>
                <w:sz w:val="24"/>
                <w:szCs w:val="24"/>
              </w:rPr>
            </w:pPr>
            <w:r w:rsidRPr="00A519FB">
              <w:rPr>
                <w:sz w:val="24"/>
                <w:szCs w:val="24"/>
              </w:rPr>
              <w:t xml:space="preserve">Organisations deliver different services and pathways and there are often organisations within organisations – </w:t>
            </w:r>
            <w:r w:rsidRPr="000E1B80">
              <w:rPr>
                <w:sz w:val="24"/>
                <w:szCs w:val="24"/>
              </w:rPr>
              <w:t xml:space="preserve">see </w:t>
            </w:r>
            <w:hyperlink r:id="rId16" w:history="1">
              <w:r w:rsidRPr="000E1B80">
                <w:rPr>
                  <w:rStyle w:val="Hyperlink"/>
                  <w:sz w:val="24"/>
                  <w:szCs w:val="24"/>
                </w:rPr>
                <w:t>PSIRF preparation guide</w:t>
              </w:r>
            </w:hyperlink>
            <w:r w:rsidR="00F82DA9" w:rsidRPr="000E1B80">
              <w:rPr>
                <w:sz w:val="24"/>
                <w:szCs w:val="24"/>
              </w:rPr>
              <w:t>.</w:t>
            </w:r>
          </w:p>
          <w:p w14:paraId="7262503C" w14:textId="0E965639" w:rsidR="004B2A05" w:rsidRDefault="00A519FB" w:rsidP="00A519FB">
            <w:pPr>
              <w:spacing w:after="280" w:line="360" w:lineRule="atLeast"/>
            </w:pPr>
            <w:r w:rsidRPr="00A519FB">
              <w:rPr>
                <w:sz w:val="24"/>
                <w:szCs w:val="24"/>
              </w:rPr>
              <w:t xml:space="preserve">To help ensure the shape and structure of your plan reflects patient safety concerns for the variety of services </w:t>
            </w:r>
            <w:r w:rsidR="00C80225">
              <w:rPr>
                <w:sz w:val="24"/>
                <w:szCs w:val="24"/>
              </w:rPr>
              <w:t xml:space="preserve">your organisation </w:t>
            </w:r>
            <w:r w:rsidRPr="00A519FB">
              <w:rPr>
                <w:sz w:val="24"/>
                <w:szCs w:val="24"/>
              </w:rPr>
              <w:t>offer</w:t>
            </w:r>
            <w:r w:rsidR="00C80225">
              <w:rPr>
                <w:sz w:val="24"/>
                <w:szCs w:val="24"/>
              </w:rPr>
              <w:t>s,</w:t>
            </w:r>
            <w:r w:rsidRPr="00A519FB">
              <w:rPr>
                <w:sz w:val="24"/>
                <w:szCs w:val="24"/>
              </w:rPr>
              <w:t xml:space="preserve"> start by mapping your services. </w:t>
            </w:r>
            <w:r w:rsidR="006F0DDA">
              <w:rPr>
                <w:sz w:val="24"/>
                <w:szCs w:val="24"/>
              </w:rPr>
              <w:t>D</w:t>
            </w:r>
            <w:r w:rsidRPr="00A519FB">
              <w:rPr>
                <w:sz w:val="24"/>
                <w:szCs w:val="24"/>
              </w:rPr>
              <w:t>escribe how you did this and the output of this activity.</w:t>
            </w:r>
            <w:r>
              <w:t xml:space="preserve"> </w:t>
            </w:r>
          </w:p>
        </w:tc>
      </w:tr>
    </w:tbl>
    <w:p w14:paraId="0FB48F39" w14:textId="77777777" w:rsidR="00770417" w:rsidRDefault="00770417">
      <w:pPr>
        <w:rPr>
          <w:color w:val="0070C0"/>
          <w:sz w:val="36"/>
          <w:szCs w:val="36"/>
        </w:rPr>
      </w:pPr>
    </w:p>
    <w:p w14:paraId="068A4461" w14:textId="38767517" w:rsidR="00770417" w:rsidRPr="006647B6" w:rsidRDefault="00770417" w:rsidP="00770417">
      <w:pPr>
        <w:rPr>
          <w:rFonts w:cs="Arial"/>
        </w:rPr>
      </w:pPr>
      <w:r w:rsidRPr="006647B6">
        <w:rPr>
          <w:rFonts w:cs="Arial"/>
        </w:rPr>
        <w:t>PICS is a G</w:t>
      </w:r>
      <w:r w:rsidR="001C1481" w:rsidRPr="006647B6">
        <w:rPr>
          <w:rFonts w:cs="Arial"/>
        </w:rPr>
        <w:t xml:space="preserve">eneral </w:t>
      </w:r>
      <w:r w:rsidRPr="006647B6">
        <w:rPr>
          <w:rFonts w:cs="Arial"/>
        </w:rPr>
        <w:t>P</w:t>
      </w:r>
      <w:r w:rsidR="001C1481" w:rsidRPr="006647B6">
        <w:rPr>
          <w:rFonts w:cs="Arial"/>
        </w:rPr>
        <w:t>ractitioner (GP)</w:t>
      </w:r>
      <w:r w:rsidRPr="006647B6">
        <w:rPr>
          <w:rFonts w:cs="Arial"/>
        </w:rPr>
        <w:t xml:space="preserve"> led provider organisation which consists of 4 divisions. These </w:t>
      </w:r>
      <w:proofErr w:type="gramStart"/>
      <w:r w:rsidRPr="006647B6">
        <w:rPr>
          <w:rFonts w:cs="Arial"/>
        </w:rPr>
        <w:t>are</w:t>
      </w:r>
      <w:r w:rsidR="001C1481" w:rsidRPr="006647B6">
        <w:rPr>
          <w:rFonts w:cs="Arial"/>
        </w:rPr>
        <w:t>;</w:t>
      </w:r>
      <w:proofErr w:type="gramEnd"/>
    </w:p>
    <w:p w14:paraId="45EFD5B2" w14:textId="23E55901" w:rsidR="0030521E" w:rsidRDefault="00770417" w:rsidP="0030521E">
      <w:pPr>
        <w:rPr>
          <w:rFonts w:cs="Arial"/>
        </w:rPr>
      </w:pPr>
      <w:r w:rsidRPr="006647B6">
        <w:rPr>
          <w:rFonts w:cs="Arial"/>
          <w:b/>
          <w:bCs/>
        </w:rPr>
        <w:t>Primary Care</w:t>
      </w:r>
      <w:r w:rsidR="000A6441" w:rsidRPr="006647B6">
        <w:rPr>
          <w:rFonts w:cs="Arial"/>
        </w:rPr>
        <w:t xml:space="preserve"> - </w:t>
      </w:r>
      <w:r w:rsidRPr="006647B6">
        <w:rPr>
          <w:rFonts w:cs="Arial"/>
        </w:rPr>
        <w:t xml:space="preserve">we manage </w:t>
      </w:r>
      <w:r w:rsidR="00224B46">
        <w:rPr>
          <w:rFonts w:cs="Arial"/>
        </w:rPr>
        <w:t>4</w:t>
      </w:r>
      <w:r w:rsidR="001C1481" w:rsidRPr="006647B6">
        <w:rPr>
          <w:rFonts w:cs="Arial"/>
        </w:rPr>
        <w:t xml:space="preserve"> General Practices</w:t>
      </w:r>
      <w:r w:rsidR="000A6441" w:rsidRPr="006647B6">
        <w:rPr>
          <w:rFonts w:cs="Arial"/>
        </w:rPr>
        <w:t xml:space="preserve"> as listed below</w:t>
      </w:r>
      <w:r w:rsidR="0030521E">
        <w:rPr>
          <w:rFonts w:cs="Arial"/>
        </w:rPr>
        <w:t>.</w:t>
      </w:r>
      <w:r w:rsidR="001553AB" w:rsidRPr="006647B6">
        <w:rPr>
          <w:rFonts w:cs="Arial"/>
        </w:rPr>
        <w:t xml:space="preserve"> </w:t>
      </w:r>
    </w:p>
    <w:p w14:paraId="2CDB3C39" w14:textId="28259C74" w:rsidR="000A6441" w:rsidRPr="0030521E" w:rsidRDefault="000A6441" w:rsidP="0030521E">
      <w:pPr>
        <w:pStyle w:val="ListParagraph"/>
        <w:numPr>
          <w:ilvl w:val="0"/>
          <w:numId w:val="6"/>
        </w:numPr>
        <w:rPr>
          <w:rFonts w:cs="Arial"/>
        </w:rPr>
      </w:pPr>
      <w:r w:rsidRPr="0030521E">
        <w:rPr>
          <w:rFonts w:cs="Arial"/>
        </w:rPr>
        <w:t>Meden Medical Services</w:t>
      </w:r>
      <w:r w:rsidR="00FA7E0B" w:rsidRPr="0030521E">
        <w:rPr>
          <w:rFonts w:cs="Arial"/>
        </w:rPr>
        <w:t xml:space="preserve"> (Warsop)</w:t>
      </w:r>
    </w:p>
    <w:p w14:paraId="00955BFB" w14:textId="529E6715" w:rsidR="000A6441" w:rsidRPr="006647B6" w:rsidRDefault="00FA7E0B">
      <w:pPr>
        <w:pStyle w:val="ListParagraph"/>
        <w:numPr>
          <w:ilvl w:val="0"/>
          <w:numId w:val="6"/>
        </w:numPr>
        <w:rPr>
          <w:rFonts w:cs="Arial"/>
        </w:rPr>
      </w:pPr>
      <w:r w:rsidRPr="006647B6">
        <w:rPr>
          <w:rFonts w:cs="Arial"/>
        </w:rPr>
        <w:t>Whyburn Medical Practice (Hucknall)</w:t>
      </w:r>
    </w:p>
    <w:p w14:paraId="7D0D68BF" w14:textId="424259DA" w:rsidR="00FA7E0B" w:rsidRDefault="00FA7E0B">
      <w:pPr>
        <w:pStyle w:val="ListParagraph"/>
        <w:numPr>
          <w:ilvl w:val="0"/>
          <w:numId w:val="6"/>
        </w:numPr>
        <w:rPr>
          <w:rFonts w:cs="Arial"/>
        </w:rPr>
      </w:pPr>
      <w:r w:rsidRPr="006647B6">
        <w:rPr>
          <w:rFonts w:cs="Arial"/>
        </w:rPr>
        <w:t>Hama Medical Centre (Kimberley)</w:t>
      </w:r>
    </w:p>
    <w:p w14:paraId="43427855" w14:textId="34ADE5DA" w:rsidR="00224B46" w:rsidRPr="006647B6" w:rsidRDefault="00224B46">
      <w:pPr>
        <w:pStyle w:val="ListParagraph"/>
        <w:numPr>
          <w:ilvl w:val="0"/>
          <w:numId w:val="6"/>
        </w:numPr>
        <w:rPr>
          <w:rFonts w:cs="Arial"/>
        </w:rPr>
      </w:pPr>
      <w:r>
        <w:rPr>
          <w:rFonts w:cs="Arial"/>
        </w:rPr>
        <w:t>Saxon Cross Surgery (Stapleford)</w:t>
      </w:r>
    </w:p>
    <w:p w14:paraId="5002D86D" w14:textId="7574B688" w:rsidR="00FA7E0B" w:rsidRDefault="00770417" w:rsidP="00770417">
      <w:r w:rsidRPr="00FA7E0B">
        <w:rPr>
          <w:b/>
          <w:bCs/>
        </w:rPr>
        <w:t>Out of Hospital Services</w:t>
      </w:r>
      <w:r w:rsidR="00FA7E0B">
        <w:rPr>
          <w:b/>
          <w:bCs/>
        </w:rPr>
        <w:t xml:space="preserve"> </w:t>
      </w:r>
      <w:r w:rsidR="00FA7E0B" w:rsidRPr="00FA7E0B">
        <w:t>– this division consists of 2 services as detailed below</w:t>
      </w:r>
      <w:r w:rsidR="006E127A">
        <w:t>.</w:t>
      </w:r>
    </w:p>
    <w:p w14:paraId="32C31334" w14:textId="4EDB9C29" w:rsidR="00FA7E0B" w:rsidRDefault="00770417">
      <w:pPr>
        <w:pStyle w:val="ListParagraph"/>
        <w:numPr>
          <w:ilvl w:val="0"/>
          <w:numId w:val="7"/>
        </w:numPr>
      </w:pPr>
      <w:r w:rsidRPr="00C70DCF">
        <w:t>Community pain/</w:t>
      </w:r>
      <w:r w:rsidR="006478B7">
        <w:t>chronic fatigue syndrom</w:t>
      </w:r>
      <w:r w:rsidR="00FA7E0B">
        <w:t>e</w:t>
      </w:r>
      <w:r w:rsidR="00FF772D">
        <w:t xml:space="preserve"> covering Great Nottinghamshire, Mid Nottinghamshire and Bassetlaw</w:t>
      </w:r>
    </w:p>
    <w:p w14:paraId="6FEA23A6" w14:textId="4FDA02B8" w:rsidR="00770417" w:rsidRPr="00C70DCF" w:rsidRDefault="00FF772D">
      <w:pPr>
        <w:pStyle w:val="ListParagraph"/>
        <w:numPr>
          <w:ilvl w:val="0"/>
          <w:numId w:val="7"/>
        </w:numPr>
      </w:pPr>
      <w:r>
        <w:t>C</w:t>
      </w:r>
      <w:r w:rsidR="00770417" w:rsidRPr="00C70DCF">
        <w:t>ommunity gynaecology</w:t>
      </w:r>
      <w:r>
        <w:t xml:space="preserve"> – covering </w:t>
      </w:r>
      <w:r w:rsidR="00700E69">
        <w:t>Greater Nottinghamshire and Mid Nottinghamshire</w:t>
      </w:r>
    </w:p>
    <w:p w14:paraId="1BEC747C" w14:textId="198B677C" w:rsidR="002D617F" w:rsidRDefault="00770417" w:rsidP="002D617F">
      <w:r w:rsidRPr="00700E69">
        <w:rPr>
          <w:b/>
          <w:bCs/>
        </w:rPr>
        <w:t>Community services</w:t>
      </w:r>
      <w:r w:rsidR="00700E69">
        <w:t xml:space="preserve"> – this division of consists of</w:t>
      </w:r>
      <w:r w:rsidRPr="00C70DCF">
        <w:t xml:space="preserve"> </w:t>
      </w:r>
      <w:r w:rsidR="007A27AD">
        <w:t>7 services as listed below</w:t>
      </w:r>
      <w:r w:rsidR="006E127A">
        <w:t>.</w:t>
      </w:r>
    </w:p>
    <w:p w14:paraId="6F1EABE8" w14:textId="2B87EEB6" w:rsidR="00383F76" w:rsidRDefault="00770417">
      <w:pPr>
        <w:pStyle w:val="ListParagraph"/>
        <w:numPr>
          <w:ilvl w:val="0"/>
          <w:numId w:val="8"/>
        </w:numPr>
      </w:pPr>
      <w:r w:rsidRPr="00C70DCF">
        <w:t xml:space="preserve">Acute Home Visiting </w:t>
      </w:r>
      <w:r w:rsidR="0063630B">
        <w:t>S</w:t>
      </w:r>
      <w:r w:rsidRPr="00C70DCF">
        <w:t>ervice</w:t>
      </w:r>
      <w:r w:rsidR="00383F76">
        <w:t xml:space="preserve"> in Mid Nottinghamshire</w:t>
      </w:r>
    </w:p>
    <w:p w14:paraId="0ECEE801" w14:textId="45DFE623" w:rsidR="00D61360" w:rsidRDefault="00D61360">
      <w:pPr>
        <w:pStyle w:val="ListParagraph"/>
        <w:numPr>
          <w:ilvl w:val="0"/>
          <w:numId w:val="8"/>
        </w:numPr>
      </w:pPr>
      <w:r>
        <w:t>Palliative Care Nurse Service in Mid Nottinghamshire</w:t>
      </w:r>
    </w:p>
    <w:p w14:paraId="665F6A6B" w14:textId="57583958" w:rsidR="00D61360" w:rsidRDefault="00D61360">
      <w:pPr>
        <w:pStyle w:val="ListParagraph"/>
        <w:numPr>
          <w:ilvl w:val="0"/>
          <w:numId w:val="8"/>
        </w:numPr>
      </w:pPr>
      <w:r>
        <w:t>Lings Bar (Medical cover only)</w:t>
      </w:r>
    </w:p>
    <w:p w14:paraId="5B7F1B78" w14:textId="6986357F" w:rsidR="00A642A6" w:rsidRDefault="00770417" w:rsidP="00770417">
      <w:r w:rsidRPr="004B4995">
        <w:rPr>
          <w:b/>
          <w:bCs/>
        </w:rPr>
        <w:t>P</w:t>
      </w:r>
      <w:r w:rsidR="009D5119" w:rsidRPr="004B4995">
        <w:rPr>
          <w:b/>
          <w:bCs/>
        </w:rPr>
        <w:t xml:space="preserve">rimary </w:t>
      </w:r>
      <w:r w:rsidRPr="004B4995">
        <w:rPr>
          <w:b/>
          <w:bCs/>
        </w:rPr>
        <w:t>C</w:t>
      </w:r>
      <w:r w:rsidR="009D5119" w:rsidRPr="004B4995">
        <w:rPr>
          <w:b/>
          <w:bCs/>
        </w:rPr>
        <w:t xml:space="preserve">are </w:t>
      </w:r>
      <w:r w:rsidRPr="004B4995">
        <w:rPr>
          <w:b/>
          <w:bCs/>
        </w:rPr>
        <w:t>N</w:t>
      </w:r>
      <w:r w:rsidR="009D5119" w:rsidRPr="004B4995">
        <w:rPr>
          <w:b/>
          <w:bCs/>
        </w:rPr>
        <w:t>etwork (PCN)</w:t>
      </w:r>
      <w:r w:rsidRPr="004B4995">
        <w:rPr>
          <w:b/>
          <w:bCs/>
        </w:rPr>
        <w:t xml:space="preserve"> Services</w:t>
      </w:r>
      <w:r w:rsidR="00A642A6">
        <w:rPr>
          <w:b/>
          <w:bCs/>
        </w:rPr>
        <w:t xml:space="preserve"> </w:t>
      </w:r>
      <w:r w:rsidR="00A642A6">
        <w:t xml:space="preserve">this is the largest division covering 11 PCNs and has the following </w:t>
      </w:r>
      <w:r w:rsidR="0070122F">
        <w:t>services.</w:t>
      </w:r>
      <w:r w:rsidR="00A642A6">
        <w:t xml:space="preserve"> </w:t>
      </w:r>
    </w:p>
    <w:p w14:paraId="228C0C59" w14:textId="77777777" w:rsidR="0070122F" w:rsidRDefault="00770417">
      <w:pPr>
        <w:pStyle w:val="ListParagraph"/>
        <w:numPr>
          <w:ilvl w:val="0"/>
          <w:numId w:val="9"/>
        </w:numPr>
      </w:pPr>
      <w:r w:rsidRPr="00C70DCF">
        <w:t xml:space="preserve">First Contact Practitioners (physiotherapy), </w:t>
      </w:r>
    </w:p>
    <w:p w14:paraId="5A7EE4CF" w14:textId="1795DEB2" w:rsidR="0070122F" w:rsidRDefault="00770417">
      <w:pPr>
        <w:pStyle w:val="ListParagraph"/>
        <w:numPr>
          <w:ilvl w:val="0"/>
          <w:numId w:val="9"/>
        </w:numPr>
      </w:pPr>
      <w:r w:rsidRPr="00C70DCF">
        <w:t xml:space="preserve">Occupational </w:t>
      </w:r>
      <w:r w:rsidR="00C70DCF" w:rsidRPr="00C70DCF">
        <w:t>Therapists</w:t>
      </w:r>
      <w:r w:rsidR="00474386">
        <w:t xml:space="preserve"> (both physical and mental health)</w:t>
      </w:r>
      <w:r w:rsidR="0070122F">
        <w:t>,</w:t>
      </w:r>
    </w:p>
    <w:p w14:paraId="32282671" w14:textId="59486DD4" w:rsidR="00474386" w:rsidRDefault="00770417">
      <w:pPr>
        <w:pStyle w:val="ListParagraph"/>
        <w:numPr>
          <w:ilvl w:val="0"/>
          <w:numId w:val="9"/>
        </w:numPr>
      </w:pPr>
      <w:r w:rsidRPr="00C70DCF">
        <w:t>Clinical Pharmacists</w:t>
      </w:r>
      <w:r w:rsidR="00474386">
        <w:t xml:space="preserve"> and technicians</w:t>
      </w:r>
      <w:r w:rsidRPr="00C70DCF">
        <w:t xml:space="preserve">, </w:t>
      </w:r>
    </w:p>
    <w:p w14:paraId="4107F1B5" w14:textId="77777777" w:rsidR="00474386" w:rsidRDefault="00770417">
      <w:pPr>
        <w:pStyle w:val="ListParagraph"/>
        <w:numPr>
          <w:ilvl w:val="0"/>
          <w:numId w:val="9"/>
        </w:numPr>
      </w:pPr>
      <w:r w:rsidRPr="00C70DCF">
        <w:t xml:space="preserve">Paramedics, </w:t>
      </w:r>
    </w:p>
    <w:p w14:paraId="021EBC5A" w14:textId="77777777" w:rsidR="00474386" w:rsidRDefault="00770417">
      <w:pPr>
        <w:pStyle w:val="ListParagraph"/>
        <w:numPr>
          <w:ilvl w:val="0"/>
          <w:numId w:val="9"/>
        </w:numPr>
      </w:pPr>
      <w:r w:rsidRPr="00C70DCF">
        <w:t xml:space="preserve">Dietitians, </w:t>
      </w:r>
    </w:p>
    <w:p w14:paraId="74BE8000" w14:textId="77777777" w:rsidR="00474386" w:rsidRDefault="00770417">
      <w:pPr>
        <w:pStyle w:val="ListParagraph"/>
        <w:numPr>
          <w:ilvl w:val="0"/>
          <w:numId w:val="9"/>
        </w:numPr>
      </w:pPr>
      <w:r w:rsidRPr="00C70DCF">
        <w:t xml:space="preserve">Enhanced Health in Care homes, </w:t>
      </w:r>
    </w:p>
    <w:p w14:paraId="2BEE507B" w14:textId="77777777" w:rsidR="00474386" w:rsidRDefault="00E84700">
      <w:pPr>
        <w:pStyle w:val="ListParagraph"/>
        <w:numPr>
          <w:ilvl w:val="0"/>
          <w:numId w:val="9"/>
        </w:numPr>
      </w:pPr>
      <w:r w:rsidRPr="00C70DCF">
        <w:t>C</w:t>
      </w:r>
      <w:r w:rsidR="00770417" w:rsidRPr="00C70DCF">
        <w:t xml:space="preserve">are </w:t>
      </w:r>
      <w:r w:rsidR="00C70DCF" w:rsidRPr="00C70DCF">
        <w:t>Navigation</w:t>
      </w:r>
      <w:r w:rsidR="00770417" w:rsidRPr="00C70DCF">
        <w:t xml:space="preserve">, </w:t>
      </w:r>
    </w:p>
    <w:p w14:paraId="5E3E4A1D" w14:textId="77777777" w:rsidR="00474386" w:rsidRDefault="00E84700">
      <w:pPr>
        <w:pStyle w:val="ListParagraph"/>
        <w:numPr>
          <w:ilvl w:val="0"/>
          <w:numId w:val="9"/>
        </w:numPr>
      </w:pPr>
      <w:r w:rsidRPr="00C70DCF">
        <w:t>S</w:t>
      </w:r>
      <w:r w:rsidR="00770417" w:rsidRPr="00C70DCF">
        <w:t xml:space="preserve">ocial </w:t>
      </w:r>
      <w:r w:rsidRPr="00C70DCF">
        <w:t>P</w:t>
      </w:r>
      <w:r w:rsidR="00770417" w:rsidRPr="00C70DCF">
        <w:t>rescribing</w:t>
      </w:r>
      <w:r w:rsidRPr="00C70DCF">
        <w:t xml:space="preserve"> Link Workers,</w:t>
      </w:r>
      <w:r w:rsidR="00770417" w:rsidRPr="00C70DCF">
        <w:t xml:space="preserve"> </w:t>
      </w:r>
    </w:p>
    <w:p w14:paraId="30B208A4" w14:textId="77777777" w:rsidR="00474386" w:rsidRDefault="00E84700">
      <w:pPr>
        <w:pStyle w:val="ListParagraph"/>
        <w:numPr>
          <w:ilvl w:val="0"/>
          <w:numId w:val="9"/>
        </w:numPr>
      </w:pPr>
      <w:r w:rsidRPr="00C70DCF">
        <w:lastRenderedPageBreak/>
        <w:t>H</w:t>
      </w:r>
      <w:r w:rsidR="00770417" w:rsidRPr="00C70DCF">
        <w:t xml:space="preserve">ealth and </w:t>
      </w:r>
      <w:r w:rsidRPr="00C70DCF">
        <w:t>W</w:t>
      </w:r>
      <w:r w:rsidR="00770417" w:rsidRPr="00C70DCF">
        <w:t>ell</w:t>
      </w:r>
      <w:r w:rsidR="00C70DCF">
        <w:t>-</w:t>
      </w:r>
      <w:r w:rsidR="00770417" w:rsidRPr="00C70DCF">
        <w:t xml:space="preserve">being </w:t>
      </w:r>
      <w:r w:rsidRPr="00C70DCF">
        <w:t>C</w:t>
      </w:r>
      <w:r w:rsidR="00770417" w:rsidRPr="00C70DCF">
        <w:t>oaches</w:t>
      </w:r>
      <w:r w:rsidR="0063630B">
        <w:t>,</w:t>
      </w:r>
      <w:r w:rsidR="00770417" w:rsidRPr="00C70DCF">
        <w:t xml:space="preserve"> </w:t>
      </w:r>
    </w:p>
    <w:p w14:paraId="28492A6B" w14:textId="77777777" w:rsidR="00474386" w:rsidRDefault="00770417">
      <w:pPr>
        <w:pStyle w:val="ListParagraph"/>
        <w:numPr>
          <w:ilvl w:val="0"/>
          <w:numId w:val="9"/>
        </w:numPr>
      </w:pPr>
      <w:r w:rsidRPr="00C70DCF">
        <w:t>Nursing</w:t>
      </w:r>
      <w:r w:rsidR="0063630B">
        <w:t xml:space="preserve"> (various roles)</w:t>
      </w:r>
      <w:r w:rsidRPr="00C70DCF">
        <w:t xml:space="preserve">, </w:t>
      </w:r>
    </w:p>
    <w:p w14:paraId="35DD775F" w14:textId="77777777" w:rsidR="00474386" w:rsidRDefault="00E84700">
      <w:pPr>
        <w:pStyle w:val="ListParagraph"/>
        <w:numPr>
          <w:ilvl w:val="0"/>
          <w:numId w:val="9"/>
        </w:numPr>
      </w:pPr>
      <w:r w:rsidRPr="00C70DCF">
        <w:t>N</w:t>
      </w:r>
      <w:r w:rsidR="00770417" w:rsidRPr="00C70DCF">
        <w:t xml:space="preserve">urse </w:t>
      </w:r>
      <w:r w:rsidRPr="00C70DCF">
        <w:t>A</w:t>
      </w:r>
      <w:r w:rsidR="00770417" w:rsidRPr="00C70DCF">
        <w:t xml:space="preserve">ssociates and </w:t>
      </w:r>
      <w:r w:rsidRPr="00C70DCF">
        <w:t>T</w:t>
      </w:r>
      <w:r w:rsidR="00770417" w:rsidRPr="00C70DCF">
        <w:t xml:space="preserve">rainee </w:t>
      </w:r>
      <w:r w:rsidRPr="00C70DCF">
        <w:t>N</w:t>
      </w:r>
      <w:r w:rsidR="00770417" w:rsidRPr="00C70DCF">
        <w:t xml:space="preserve">urse </w:t>
      </w:r>
      <w:r w:rsidRPr="00C70DCF">
        <w:t>A</w:t>
      </w:r>
      <w:r w:rsidR="00770417" w:rsidRPr="00C70DCF">
        <w:t xml:space="preserve">ssociates, </w:t>
      </w:r>
    </w:p>
    <w:p w14:paraId="781B28DF" w14:textId="19ED0B76" w:rsidR="00770417" w:rsidRDefault="00770417">
      <w:pPr>
        <w:pStyle w:val="ListParagraph"/>
        <w:numPr>
          <w:ilvl w:val="0"/>
          <w:numId w:val="9"/>
        </w:numPr>
      </w:pPr>
      <w:r w:rsidRPr="00C70DCF">
        <w:t xml:space="preserve">GP assistants, </w:t>
      </w:r>
    </w:p>
    <w:p w14:paraId="4E3B655E" w14:textId="77777777" w:rsidR="00095CAB" w:rsidRPr="00C70DCF" w:rsidRDefault="00095CAB" w:rsidP="00095CAB"/>
    <w:p w14:paraId="74024C72" w14:textId="7F651106" w:rsidR="00043B59" w:rsidRPr="00770417" w:rsidRDefault="00043B59" w:rsidP="00770417">
      <w:pPr>
        <w:rPr>
          <w:rFonts w:cs="Arial"/>
        </w:rPr>
      </w:pPr>
      <w:r w:rsidRPr="00770417">
        <w:rPr>
          <w:color w:val="0070C0"/>
        </w:rPr>
        <w:br w:type="page"/>
      </w:r>
    </w:p>
    <w:p w14:paraId="78C89A9C" w14:textId="59A61930" w:rsidR="004B2A05" w:rsidRPr="006D0873" w:rsidRDefault="00E8083E" w:rsidP="00EF5CCF">
      <w:pPr>
        <w:pStyle w:val="Heading2"/>
        <w:spacing w:before="360" w:after="280"/>
        <w:ind w:left="-284"/>
        <w:rPr>
          <w:color w:val="0070C0"/>
          <w:sz w:val="36"/>
          <w:szCs w:val="36"/>
        </w:rPr>
      </w:pPr>
      <w:r>
        <w:rPr>
          <w:color w:val="0070C0"/>
          <w:sz w:val="36"/>
          <w:szCs w:val="36"/>
        </w:rPr>
        <w:lastRenderedPageBreak/>
        <w:t>Defining o</w:t>
      </w:r>
      <w:r w:rsidR="00116B91" w:rsidRPr="006D0873">
        <w:rPr>
          <w:color w:val="0070C0"/>
          <w:sz w:val="36"/>
          <w:szCs w:val="36"/>
        </w:rPr>
        <w:t xml:space="preserve">ur patient safety </w:t>
      </w:r>
      <w:r>
        <w:rPr>
          <w:color w:val="0070C0"/>
          <w:sz w:val="36"/>
          <w:szCs w:val="36"/>
        </w:rPr>
        <w:t>incident profile</w:t>
      </w:r>
    </w:p>
    <w:tbl>
      <w:tblPr>
        <w:tblStyle w:val="TableGrid"/>
        <w:tblW w:w="0" w:type="auto"/>
        <w:tblInd w:w="-289" w:type="dxa"/>
        <w:shd w:val="clear" w:color="auto" w:fill="DAEEF3" w:themeFill="accent5" w:themeFillTint="33"/>
        <w:tblLook w:val="04A0" w:firstRow="1" w:lastRow="0" w:firstColumn="1" w:lastColumn="0" w:noHBand="0" w:noVBand="1"/>
      </w:tblPr>
      <w:tblGrid>
        <w:gridCol w:w="9356"/>
      </w:tblGrid>
      <w:tr w:rsidR="00EE147F" w14:paraId="4A7BF4F3" w14:textId="77777777" w:rsidTr="009C1076">
        <w:tc>
          <w:tcPr>
            <w:tcW w:w="9356" w:type="dxa"/>
            <w:shd w:val="clear" w:color="auto" w:fill="DAEEF3" w:themeFill="accent5" w:themeFillTint="33"/>
          </w:tcPr>
          <w:p w14:paraId="31F511D7" w14:textId="3A540295" w:rsidR="00553246" w:rsidRPr="00EA0641" w:rsidRDefault="00553246" w:rsidP="00F52004">
            <w:pPr>
              <w:spacing w:before="120" w:after="280"/>
              <w:rPr>
                <w:b/>
                <w:bCs/>
                <w:sz w:val="24"/>
                <w:szCs w:val="24"/>
              </w:rPr>
            </w:pPr>
            <w:r w:rsidRPr="00EA0641">
              <w:rPr>
                <w:b/>
                <w:bCs/>
                <w:sz w:val="24"/>
                <w:szCs w:val="24"/>
              </w:rPr>
              <w:t>Notes</w:t>
            </w:r>
          </w:p>
          <w:p w14:paraId="6518AD62" w14:textId="77777777" w:rsidR="00EA0641" w:rsidRPr="00EA0641" w:rsidRDefault="00EA0641" w:rsidP="00EA0641">
            <w:pPr>
              <w:spacing w:after="280" w:line="360" w:lineRule="atLeast"/>
              <w:rPr>
                <w:sz w:val="24"/>
                <w:szCs w:val="24"/>
              </w:rPr>
            </w:pPr>
            <w:r w:rsidRPr="00EA0641">
              <w:rPr>
                <w:sz w:val="24"/>
                <w:szCs w:val="24"/>
              </w:rPr>
              <w:t>Describe how you identified and agreed the patient safety issues most pertinent to your organisation.</w:t>
            </w:r>
          </w:p>
          <w:p w14:paraId="3A83E190" w14:textId="4B56838D" w:rsidR="00EA0641" w:rsidRPr="00EA0641" w:rsidRDefault="00EA0641" w:rsidP="00EA0641">
            <w:pPr>
              <w:spacing w:after="280" w:line="360" w:lineRule="atLeast"/>
              <w:rPr>
                <w:sz w:val="24"/>
                <w:szCs w:val="24"/>
              </w:rPr>
            </w:pPr>
            <w:r w:rsidRPr="00EA0641">
              <w:rPr>
                <w:sz w:val="24"/>
                <w:szCs w:val="24"/>
              </w:rPr>
              <w:t xml:space="preserve">You should include the following </w:t>
            </w:r>
            <w:r w:rsidR="00693A72">
              <w:rPr>
                <w:sz w:val="24"/>
                <w:szCs w:val="24"/>
              </w:rPr>
              <w:t>sub-</w:t>
            </w:r>
            <w:r w:rsidRPr="00EA0641">
              <w:rPr>
                <w:sz w:val="24"/>
                <w:szCs w:val="24"/>
              </w:rPr>
              <w:t xml:space="preserve">sections: </w:t>
            </w:r>
          </w:p>
          <w:p w14:paraId="70711844" w14:textId="6CC45957" w:rsidR="00EA0641" w:rsidRPr="00EA0641" w:rsidRDefault="00EA0641">
            <w:pPr>
              <w:pStyle w:val="ListParagraph"/>
              <w:numPr>
                <w:ilvl w:val="0"/>
                <w:numId w:val="2"/>
              </w:numPr>
              <w:spacing w:after="50" w:line="360" w:lineRule="atLeast"/>
              <w:ind w:left="714" w:hanging="357"/>
              <w:contextualSpacing w:val="0"/>
              <w:rPr>
                <w:rFonts w:cs="Arial"/>
                <w:sz w:val="24"/>
                <w:szCs w:val="24"/>
              </w:rPr>
            </w:pPr>
            <w:r>
              <w:rPr>
                <w:rFonts w:cs="Arial"/>
                <w:sz w:val="24"/>
                <w:szCs w:val="24"/>
              </w:rPr>
              <w:t>s</w:t>
            </w:r>
            <w:r w:rsidRPr="00EA0641">
              <w:rPr>
                <w:rFonts w:cs="Arial"/>
                <w:sz w:val="24"/>
                <w:szCs w:val="24"/>
              </w:rPr>
              <w:t xml:space="preserve">takeholder engagement – who </w:t>
            </w:r>
            <w:r w:rsidR="005A7056">
              <w:rPr>
                <w:rFonts w:cs="Arial"/>
                <w:sz w:val="24"/>
                <w:szCs w:val="24"/>
              </w:rPr>
              <w:t xml:space="preserve">did </w:t>
            </w:r>
            <w:r w:rsidRPr="00EA0641">
              <w:rPr>
                <w:rFonts w:cs="Arial"/>
                <w:sz w:val="24"/>
                <w:szCs w:val="24"/>
              </w:rPr>
              <w:t>you collaborat</w:t>
            </w:r>
            <w:r w:rsidR="005A7056">
              <w:rPr>
                <w:rFonts w:cs="Arial"/>
                <w:sz w:val="24"/>
                <w:szCs w:val="24"/>
              </w:rPr>
              <w:t>e with to</w:t>
            </w:r>
            <w:r w:rsidRPr="00EA0641">
              <w:rPr>
                <w:rFonts w:cs="Arial"/>
                <w:sz w:val="24"/>
                <w:szCs w:val="24"/>
              </w:rPr>
              <w:t xml:space="preserve"> defin</w:t>
            </w:r>
            <w:r w:rsidR="005A7056">
              <w:rPr>
                <w:rFonts w:cs="Arial"/>
                <w:sz w:val="24"/>
                <w:szCs w:val="24"/>
              </w:rPr>
              <w:t>e</w:t>
            </w:r>
            <w:r w:rsidRPr="00EA0641">
              <w:rPr>
                <w:rFonts w:cs="Arial"/>
                <w:sz w:val="24"/>
                <w:szCs w:val="24"/>
              </w:rPr>
              <w:t xml:space="preserve"> your patient safety incident profile and how were they involved?</w:t>
            </w:r>
          </w:p>
          <w:p w14:paraId="3DBCE96E" w14:textId="145FF6BE" w:rsidR="00EA0641" w:rsidRPr="00EA0641" w:rsidRDefault="00EA0641">
            <w:pPr>
              <w:pStyle w:val="ListParagraph"/>
              <w:numPr>
                <w:ilvl w:val="0"/>
                <w:numId w:val="2"/>
              </w:numPr>
              <w:spacing w:after="280" w:line="360" w:lineRule="atLeast"/>
              <w:ind w:left="714" w:hanging="357"/>
              <w:contextualSpacing w:val="0"/>
              <w:rPr>
                <w:rFonts w:cs="Arial"/>
                <w:sz w:val="24"/>
                <w:szCs w:val="24"/>
              </w:rPr>
            </w:pPr>
            <w:r>
              <w:rPr>
                <w:rFonts w:cs="Arial"/>
                <w:sz w:val="24"/>
                <w:szCs w:val="24"/>
              </w:rPr>
              <w:t>d</w:t>
            </w:r>
            <w:r w:rsidRPr="00EA0641">
              <w:rPr>
                <w:rFonts w:cs="Arial"/>
                <w:sz w:val="24"/>
                <w:szCs w:val="24"/>
              </w:rPr>
              <w:t>ata sources –</w:t>
            </w:r>
            <w:r w:rsidR="005A7056">
              <w:rPr>
                <w:rFonts w:cs="Arial"/>
                <w:sz w:val="24"/>
                <w:szCs w:val="24"/>
              </w:rPr>
              <w:t xml:space="preserve"> </w:t>
            </w:r>
            <w:r w:rsidR="005A7056" w:rsidRPr="00EA0641">
              <w:rPr>
                <w:rFonts w:cs="Arial"/>
                <w:sz w:val="24"/>
                <w:szCs w:val="24"/>
              </w:rPr>
              <w:t>s</w:t>
            </w:r>
            <w:r w:rsidRPr="00EA0641">
              <w:rPr>
                <w:rFonts w:cs="Arial"/>
                <w:sz w:val="24"/>
                <w:szCs w:val="24"/>
              </w:rPr>
              <w:t>pecify the data you have reviewed and the timeframe (</w:t>
            </w:r>
            <w:r w:rsidR="00A265BB">
              <w:rPr>
                <w:rFonts w:cs="Arial"/>
                <w:sz w:val="24"/>
                <w:szCs w:val="24"/>
              </w:rPr>
              <w:t>two to three</w:t>
            </w:r>
            <w:r w:rsidRPr="00EA0641">
              <w:rPr>
                <w:rFonts w:cs="Arial"/>
                <w:sz w:val="24"/>
                <w:szCs w:val="24"/>
              </w:rPr>
              <w:t xml:space="preserve"> years of data </w:t>
            </w:r>
            <w:r w:rsidR="00A265BB">
              <w:rPr>
                <w:rFonts w:cs="Arial"/>
                <w:sz w:val="24"/>
                <w:szCs w:val="24"/>
              </w:rPr>
              <w:t>should</w:t>
            </w:r>
            <w:r w:rsidRPr="00EA0641">
              <w:rPr>
                <w:rFonts w:cs="Arial"/>
                <w:sz w:val="24"/>
                <w:szCs w:val="24"/>
              </w:rPr>
              <w:t xml:space="preserve"> provide a good patient safety incident profile)</w:t>
            </w:r>
            <w:r>
              <w:rPr>
                <w:rFonts w:cs="Arial"/>
                <w:sz w:val="24"/>
                <w:szCs w:val="24"/>
              </w:rPr>
              <w:t>.</w:t>
            </w:r>
          </w:p>
          <w:p w14:paraId="3444B261" w14:textId="77A74143" w:rsidR="00EE147F" w:rsidRPr="00EA0641" w:rsidRDefault="00EA0641" w:rsidP="003F274E">
            <w:pPr>
              <w:spacing w:after="120" w:line="360" w:lineRule="atLeast"/>
              <w:rPr>
                <w:sz w:val="24"/>
                <w:szCs w:val="24"/>
              </w:rPr>
            </w:pPr>
            <w:r w:rsidRPr="00EA0641">
              <w:rPr>
                <w:sz w:val="24"/>
                <w:szCs w:val="24"/>
              </w:rPr>
              <w:t xml:space="preserve">Describe the services covered by </w:t>
            </w:r>
            <w:r w:rsidR="005538E6">
              <w:rPr>
                <w:sz w:val="24"/>
                <w:szCs w:val="24"/>
              </w:rPr>
              <w:t>your</w:t>
            </w:r>
            <w:r w:rsidRPr="00EA0641">
              <w:rPr>
                <w:sz w:val="24"/>
                <w:szCs w:val="24"/>
              </w:rPr>
              <w:t xml:space="preserve"> plan and include or signpost to guidance for specific services/d</w:t>
            </w:r>
            <w:r w:rsidR="005538E6">
              <w:rPr>
                <w:sz w:val="24"/>
                <w:szCs w:val="24"/>
              </w:rPr>
              <w:t>epartments</w:t>
            </w:r>
            <w:r w:rsidRPr="00EA0641">
              <w:rPr>
                <w:sz w:val="24"/>
                <w:szCs w:val="24"/>
              </w:rPr>
              <w:t xml:space="preserve"> as required</w:t>
            </w:r>
            <w:r w:rsidR="00E57EF7">
              <w:rPr>
                <w:sz w:val="24"/>
                <w:szCs w:val="24"/>
              </w:rPr>
              <w:t>.</w:t>
            </w:r>
          </w:p>
        </w:tc>
      </w:tr>
    </w:tbl>
    <w:p w14:paraId="2F31684E" w14:textId="77777777" w:rsidR="00770417" w:rsidRDefault="00770417">
      <w:pPr>
        <w:rPr>
          <w:color w:val="0070C0"/>
          <w:sz w:val="36"/>
          <w:szCs w:val="36"/>
        </w:rPr>
      </w:pPr>
    </w:p>
    <w:p w14:paraId="54228EC7" w14:textId="2A6EBF57" w:rsidR="006E7468" w:rsidRDefault="00770417">
      <w:proofErr w:type="gramStart"/>
      <w:r w:rsidRPr="00B52A5F">
        <w:t xml:space="preserve">Whilst </w:t>
      </w:r>
      <w:r w:rsidR="00095CAB">
        <w:t xml:space="preserve"> the</w:t>
      </w:r>
      <w:proofErr w:type="gramEnd"/>
      <w:r w:rsidR="00095CAB">
        <w:t xml:space="preserve"> </w:t>
      </w:r>
      <w:r w:rsidRPr="00B52A5F">
        <w:t>P</w:t>
      </w:r>
      <w:r w:rsidR="00095CAB">
        <w:t xml:space="preserve">atient Safety </w:t>
      </w:r>
      <w:r w:rsidRPr="00B52A5F">
        <w:t>I</w:t>
      </w:r>
      <w:r w:rsidR="00095CAB">
        <w:t xml:space="preserve">ncident </w:t>
      </w:r>
      <w:r w:rsidRPr="00B52A5F">
        <w:t>R</w:t>
      </w:r>
      <w:r w:rsidR="00095CAB">
        <w:t xml:space="preserve">esponse </w:t>
      </w:r>
      <w:r w:rsidRPr="00B52A5F">
        <w:t>F</w:t>
      </w:r>
      <w:r w:rsidR="00095CAB">
        <w:t>ramework (PSIRF)</w:t>
      </w:r>
      <w:r w:rsidRPr="00B52A5F">
        <w:t xml:space="preserve"> </w:t>
      </w:r>
      <w:r w:rsidR="00B52A5F">
        <w:t>is</w:t>
      </w:r>
      <w:r w:rsidRPr="00B52A5F">
        <w:t xml:space="preserve"> not currently mandatory for Primary Care</w:t>
      </w:r>
      <w:r w:rsidR="009F2AE6">
        <w:t>, PICS deliver other services within the NHS standard</w:t>
      </w:r>
      <w:r w:rsidR="006E7468">
        <w:t xml:space="preserve"> contract. This therefore requires PICS to </w:t>
      </w:r>
      <w:proofErr w:type="gramStart"/>
      <w:r w:rsidR="00F95519">
        <w:t>adopt  P</w:t>
      </w:r>
      <w:r w:rsidR="0082068B">
        <w:t>SIRF</w:t>
      </w:r>
      <w:proofErr w:type="gramEnd"/>
      <w:r w:rsidR="0082068B">
        <w:t xml:space="preserve"> to replace the current Serious Incident Framework</w:t>
      </w:r>
      <w:r w:rsidR="006E7468">
        <w:t>.</w:t>
      </w:r>
      <w:r w:rsidR="009B3257">
        <w:t xml:space="preserve"> This will enable</w:t>
      </w:r>
      <w:r w:rsidR="00B8244C">
        <w:t xml:space="preserve"> a more </w:t>
      </w:r>
      <w:r w:rsidR="00A0609A">
        <w:t xml:space="preserve">sustainable way of identifying and adopting </w:t>
      </w:r>
      <w:r w:rsidR="00E70219">
        <w:t>learning from patient safety events</w:t>
      </w:r>
      <w:r w:rsidR="00AC182B">
        <w:t xml:space="preserve"> and can be linked to nationa</w:t>
      </w:r>
      <w:r w:rsidR="0075782D">
        <w:t>l</w:t>
      </w:r>
      <w:r w:rsidR="00AC182B">
        <w:t xml:space="preserve"> learning through the Learning </w:t>
      </w:r>
      <w:proofErr w:type="gramStart"/>
      <w:r w:rsidR="00AC182B">
        <w:t>From</w:t>
      </w:r>
      <w:proofErr w:type="gramEnd"/>
      <w:r w:rsidR="00AC182B">
        <w:t xml:space="preserve"> Patient Safety </w:t>
      </w:r>
      <w:r w:rsidR="0075782D">
        <w:t>Events</w:t>
      </w:r>
      <w:r w:rsidR="00337662">
        <w:t xml:space="preserve"> (LFPSE)</w:t>
      </w:r>
      <w:r w:rsidR="0075782D">
        <w:t xml:space="preserve"> platform</w:t>
      </w:r>
      <w:r w:rsidR="00E70219">
        <w:t>.</w:t>
      </w:r>
    </w:p>
    <w:p w14:paraId="3D37DEA9" w14:textId="11CBF4C8" w:rsidR="00B52A5F" w:rsidRPr="00B532B1" w:rsidRDefault="006E7468">
      <w:pPr>
        <w:rPr>
          <w:rFonts w:cs="Arial"/>
          <w:color w:val="FF0000"/>
        </w:rPr>
      </w:pPr>
      <w:r w:rsidRPr="005E1A2F">
        <w:rPr>
          <w:rFonts w:cs="Arial"/>
        </w:rPr>
        <w:t>As</w:t>
      </w:r>
      <w:r w:rsidR="00770417" w:rsidRPr="005E1A2F">
        <w:rPr>
          <w:rFonts w:cs="Arial"/>
        </w:rPr>
        <w:t xml:space="preserve"> PICS utilises Datix</w:t>
      </w:r>
      <w:r w:rsidR="0075048D">
        <w:rPr>
          <w:rFonts w:cs="Arial"/>
        </w:rPr>
        <w:t xml:space="preserve"> </w:t>
      </w:r>
      <w:r w:rsidR="0075048D" w:rsidRPr="005E1A2F">
        <w:rPr>
          <w:rFonts w:cs="Arial"/>
        </w:rPr>
        <w:t>(digital platform for reporting incidents)</w:t>
      </w:r>
      <w:r w:rsidR="0075048D">
        <w:rPr>
          <w:rFonts w:cs="Arial"/>
        </w:rPr>
        <w:t xml:space="preserve"> </w:t>
      </w:r>
      <w:r w:rsidR="00770417" w:rsidRPr="005E1A2F">
        <w:rPr>
          <w:rFonts w:cs="Arial"/>
        </w:rPr>
        <w:t>to report all patient safety incidents</w:t>
      </w:r>
      <w:r w:rsidRPr="005E1A2F">
        <w:rPr>
          <w:rFonts w:cs="Arial"/>
        </w:rPr>
        <w:t>, we will</w:t>
      </w:r>
      <w:r w:rsidR="00B52A5F" w:rsidRPr="005E1A2F">
        <w:rPr>
          <w:rFonts w:cs="Arial"/>
        </w:rPr>
        <w:t xml:space="preserve"> therefore adopt PSIRF across all services</w:t>
      </w:r>
      <w:r w:rsidRPr="005E1A2F">
        <w:rPr>
          <w:rFonts w:cs="Arial"/>
        </w:rPr>
        <w:t>, including</w:t>
      </w:r>
      <w:r w:rsidR="00E01268" w:rsidRPr="005E1A2F">
        <w:rPr>
          <w:rFonts w:cs="Arial"/>
        </w:rPr>
        <w:t xml:space="preserve"> the </w:t>
      </w:r>
      <w:r w:rsidR="00D61360">
        <w:rPr>
          <w:rFonts w:cs="Arial"/>
        </w:rPr>
        <w:t>4</w:t>
      </w:r>
      <w:r w:rsidR="00E01268" w:rsidRPr="005E1A2F">
        <w:rPr>
          <w:rFonts w:cs="Arial"/>
        </w:rPr>
        <w:t xml:space="preserve"> managed GP practices within primary care</w:t>
      </w:r>
      <w:r w:rsidR="00595815" w:rsidRPr="005E1A2F">
        <w:rPr>
          <w:rFonts w:cs="Arial"/>
        </w:rPr>
        <w:t xml:space="preserve">. </w:t>
      </w:r>
    </w:p>
    <w:p w14:paraId="12972D35" w14:textId="7EE4FEAA" w:rsidR="00003482" w:rsidRPr="00106A38" w:rsidRDefault="00B52A5F" w:rsidP="00003482">
      <w:pPr>
        <w:rPr>
          <w:rFonts w:cs="Arial"/>
        </w:rPr>
      </w:pPr>
      <w:r w:rsidRPr="005E1A2F">
        <w:rPr>
          <w:rFonts w:cs="Arial"/>
        </w:rPr>
        <w:t>Datix</w:t>
      </w:r>
      <w:r w:rsidR="00137934" w:rsidRPr="005E1A2F">
        <w:rPr>
          <w:rFonts w:cs="Arial"/>
        </w:rPr>
        <w:t xml:space="preserve"> </w:t>
      </w:r>
      <w:r>
        <w:t>has been in use by PICS since March 2020 to report incidents, accidents, safeguarding referrals and pressure ulcer incidence. We do not currently specify within Datix if an incident is related to patient safety</w:t>
      </w:r>
      <w:r w:rsidR="000B1ABA">
        <w:t>,</w:t>
      </w:r>
      <w:r>
        <w:t xml:space="preserve"> </w:t>
      </w:r>
      <w:proofErr w:type="gramStart"/>
      <w:r>
        <w:t>therefore  a</w:t>
      </w:r>
      <w:proofErr w:type="gramEnd"/>
      <w:r>
        <w:t xml:space="preserve"> manual trawl of incidents from April 1</w:t>
      </w:r>
      <w:r w:rsidRPr="00B52A5F">
        <w:rPr>
          <w:vertAlign w:val="superscript"/>
        </w:rPr>
        <w:t>st</w:t>
      </w:r>
      <w:r w:rsidR="00072522">
        <w:t>, 2021,</w:t>
      </w:r>
      <w:r>
        <w:t xml:space="preserve"> to March 31</w:t>
      </w:r>
      <w:r w:rsidRPr="00B52A5F">
        <w:rPr>
          <w:vertAlign w:val="superscript"/>
        </w:rPr>
        <w:t>st</w:t>
      </w:r>
      <w:r w:rsidR="00106A38">
        <w:rPr>
          <w:vertAlign w:val="superscript"/>
        </w:rPr>
        <w:t xml:space="preserve"> </w:t>
      </w:r>
      <w:r w:rsidR="00106A38">
        <w:t>,</w:t>
      </w:r>
      <w:r>
        <w:t xml:space="preserve"> 2023 has been conducted. </w:t>
      </w:r>
      <w:r w:rsidR="00003482" w:rsidRPr="00106A38">
        <w:rPr>
          <w:rFonts w:cs="Arial"/>
        </w:rPr>
        <w:t>The patient safety profile covers GP Practices, Out of Hospital Services, Community services and some PCN services</w:t>
      </w:r>
      <w:r w:rsidR="0081629F" w:rsidRPr="00106A38">
        <w:rPr>
          <w:rFonts w:cs="Arial"/>
        </w:rPr>
        <w:t xml:space="preserve"> </w:t>
      </w:r>
      <w:r w:rsidR="0081629F" w:rsidRPr="000B1ABA">
        <w:rPr>
          <w:rFonts w:cs="Arial"/>
        </w:rPr>
        <w:t>(Some PCN services report directly to the GP Practice they are working within</w:t>
      </w:r>
      <w:proofErr w:type="gramStart"/>
      <w:r w:rsidR="0081629F" w:rsidRPr="000B1ABA">
        <w:rPr>
          <w:rFonts w:cs="Arial"/>
        </w:rPr>
        <w:t>)</w:t>
      </w:r>
      <w:r w:rsidR="0081629F" w:rsidRPr="00106A38">
        <w:rPr>
          <w:rFonts w:cs="Arial"/>
        </w:rPr>
        <w:t xml:space="preserve"> </w:t>
      </w:r>
      <w:r w:rsidR="00003482" w:rsidRPr="00106A38">
        <w:rPr>
          <w:rFonts w:cs="Arial"/>
        </w:rPr>
        <w:t>.</w:t>
      </w:r>
      <w:proofErr w:type="gramEnd"/>
    </w:p>
    <w:p w14:paraId="62EABF97" w14:textId="08B87435" w:rsidR="008E15B6" w:rsidRPr="001715BF" w:rsidRDefault="00B52A5F" w:rsidP="008E15B6">
      <w:pPr>
        <w:rPr>
          <w:rFonts w:cs="Arial"/>
        </w:rPr>
      </w:pPr>
      <w:r w:rsidRPr="001715BF">
        <w:rPr>
          <w:rFonts w:cs="Arial"/>
        </w:rPr>
        <w:t xml:space="preserve">This has enabled consideration of </w:t>
      </w:r>
      <w:r w:rsidR="0006692E" w:rsidRPr="001715BF">
        <w:rPr>
          <w:rFonts w:cs="Arial"/>
        </w:rPr>
        <w:t>354</w:t>
      </w:r>
      <w:r w:rsidRPr="001715BF">
        <w:rPr>
          <w:rFonts w:cs="Arial"/>
        </w:rPr>
        <w:t xml:space="preserve"> recorded events to produce a patient safety profile. The trawl has been conducted by the Quality and Clinical Governance Lead and reviewed by the Medial Director and Clinical Governance Committe</w:t>
      </w:r>
      <w:r w:rsidR="008E15B6" w:rsidRPr="001715BF">
        <w:rPr>
          <w:rFonts w:cs="Arial"/>
        </w:rPr>
        <w:t xml:space="preserve">e. </w:t>
      </w:r>
      <w:r w:rsidR="008E15B6" w:rsidRPr="001715BF">
        <w:rPr>
          <w:rFonts w:cs="Arial"/>
          <w:color w:val="202A30"/>
          <w:shd w:val="clear" w:color="auto" w:fill="FFFFFF"/>
        </w:rPr>
        <w:t>Patient safety incidents are any unintended or unexpected incident which could have, or did, lead to harm for one or more patients receiving healthcare (NHS England).</w:t>
      </w:r>
      <w:r w:rsidR="008E15B6" w:rsidRPr="001715BF">
        <w:rPr>
          <w:rFonts w:cs="Arial"/>
          <w:color w:val="202A30"/>
          <w:sz w:val="27"/>
          <w:szCs w:val="27"/>
          <w:shd w:val="clear" w:color="auto" w:fill="FFFFFF"/>
        </w:rPr>
        <w:t xml:space="preserve"> </w:t>
      </w:r>
      <w:r w:rsidR="008E15B6" w:rsidRPr="001715BF">
        <w:rPr>
          <w:rFonts w:cs="Arial"/>
        </w:rPr>
        <w:t xml:space="preserve">The following data is based on the NHS England </w:t>
      </w:r>
      <w:proofErr w:type="gramStart"/>
      <w:r w:rsidR="008E15B6" w:rsidRPr="001715BF">
        <w:rPr>
          <w:rFonts w:cs="Arial"/>
        </w:rPr>
        <w:t>definition .</w:t>
      </w:r>
      <w:proofErr w:type="gramEnd"/>
      <w:r w:rsidR="008E15B6" w:rsidRPr="001715BF">
        <w:rPr>
          <w:rFonts w:cs="Arial"/>
        </w:rPr>
        <w:t xml:space="preserve"> Any </w:t>
      </w:r>
      <w:proofErr w:type="gramStart"/>
      <w:r w:rsidR="008E15B6" w:rsidRPr="001715BF">
        <w:rPr>
          <w:rFonts w:cs="Arial"/>
        </w:rPr>
        <w:t>third party</w:t>
      </w:r>
      <w:proofErr w:type="gramEnd"/>
      <w:r w:rsidR="008E15B6" w:rsidRPr="001715BF">
        <w:rPr>
          <w:rFonts w:cs="Arial"/>
        </w:rPr>
        <w:t xml:space="preserve"> incidents have been discounted. Only new pressure ulcers</w:t>
      </w:r>
      <w:r w:rsidR="00942A02" w:rsidRPr="001715BF">
        <w:rPr>
          <w:rFonts w:cs="Arial"/>
        </w:rPr>
        <w:t xml:space="preserve"> that meet the </w:t>
      </w:r>
      <w:r w:rsidR="00DD2888" w:rsidRPr="001715BF">
        <w:rPr>
          <w:rFonts w:cs="Arial"/>
        </w:rPr>
        <w:t xml:space="preserve">Strategic </w:t>
      </w:r>
      <w:r w:rsidR="009F2572" w:rsidRPr="001715BF">
        <w:rPr>
          <w:rFonts w:cs="Arial"/>
        </w:rPr>
        <w:t>Executive</w:t>
      </w:r>
      <w:r w:rsidR="00DD2888" w:rsidRPr="001715BF">
        <w:rPr>
          <w:rFonts w:cs="Arial"/>
        </w:rPr>
        <w:t xml:space="preserve"> Information Syste</w:t>
      </w:r>
      <w:r w:rsidR="00803923" w:rsidRPr="001715BF">
        <w:rPr>
          <w:rFonts w:cs="Arial"/>
        </w:rPr>
        <w:t>m</w:t>
      </w:r>
      <w:r w:rsidR="0002069F" w:rsidRPr="001715BF">
        <w:rPr>
          <w:rFonts w:cs="Arial"/>
        </w:rPr>
        <w:t xml:space="preserve"> (StEIS)</w:t>
      </w:r>
      <w:r w:rsidR="00803923" w:rsidRPr="001715BF">
        <w:rPr>
          <w:rFonts w:cs="Arial"/>
        </w:rPr>
        <w:t xml:space="preserve"> criteria</w:t>
      </w:r>
      <w:r w:rsidR="008E15B6" w:rsidRPr="001715BF">
        <w:rPr>
          <w:rFonts w:cs="Arial"/>
        </w:rPr>
        <w:t xml:space="preserve"> have been included.</w:t>
      </w:r>
      <w:r w:rsidR="00C25421" w:rsidRPr="001715BF">
        <w:rPr>
          <w:rFonts w:cs="Arial"/>
        </w:rPr>
        <w:t xml:space="preserve"> </w:t>
      </w:r>
      <w:r w:rsidR="00AF303D" w:rsidRPr="001715BF">
        <w:rPr>
          <w:rFonts w:cs="Arial"/>
        </w:rPr>
        <w:t xml:space="preserve">As we adopt PSIRF, StEIS will no longer be used – more information can be found </w:t>
      </w:r>
      <w:hyperlink r:id="rId17" w:history="1">
        <w:r w:rsidR="00AF303D" w:rsidRPr="001715BF">
          <w:rPr>
            <w:rStyle w:val="Hyperlink"/>
            <w:rFonts w:cs="Arial"/>
          </w:rPr>
          <w:t>here</w:t>
        </w:r>
      </w:hyperlink>
      <w:r w:rsidR="00AF303D" w:rsidRPr="001715BF">
        <w:rPr>
          <w:rFonts w:cs="Arial"/>
        </w:rPr>
        <w:t xml:space="preserve"> about the transfer of StEIS.</w:t>
      </w:r>
    </w:p>
    <w:p w14:paraId="2FEA29AE" w14:textId="77777777" w:rsidR="00C25421" w:rsidRPr="008E15B6" w:rsidRDefault="00C25421" w:rsidP="008E15B6">
      <w:pPr>
        <w:rPr>
          <w:rFonts w:cs="Arial"/>
        </w:rPr>
      </w:pPr>
    </w:p>
    <w:p w14:paraId="62C4F1A0" w14:textId="56D44C34" w:rsidR="008E15B6" w:rsidRPr="0004164B" w:rsidRDefault="008E15B6" w:rsidP="008E15B6">
      <w:pPr>
        <w:rPr>
          <w:rFonts w:cs="Arial"/>
        </w:rPr>
      </w:pPr>
      <w:r w:rsidRPr="0004164B">
        <w:rPr>
          <w:rFonts w:cs="Arial"/>
        </w:rPr>
        <w:t>There was a total of 46 patient safety incidents reported in 21/22 and 41 reported in 22/23. The breakdown by category and year can be seen</w:t>
      </w:r>
      <w:r w:rsidR="00286F9F" w:rsidRPr="0004164B">
        <w:rPr>
          <w:rFonts w:cs="Arial"/>
        </w:rPr>
        <w:t xml:space="preserve"> on the page</w:t>
      </w:r>
      <w:r w:rsidRPr="0004164B">
        <w:rPr>
          <w:rFonts w:cs="Arial"/>
        </w:rPr>
        <w:t xml:space="preserve"> below. No moderate or severe harm or death was caused by any incident. There were no </w:t>
      </w:r>
      <w:hyperlink r:id="rId18" w:history="1">
        <w:r w:rsidR="00826630" w:rsidRPr="00826630">
          <w:rPr>
            <w:rStyle w:val="Hyperlink"/>
            <w:rFonts w:cs="Arial"/>
          </w:rPr>
          <w:t>serious incidents</w:t>
        </w:r>
      </w:hyperlink>
      <w:r w:rsidR="00826630">
        <w:rPr>
          <w:rFonts w:cs="Arial"/>
        </w:rPr>
        <w:t xml:space="preserve"> </w:t>
      </w:r>
      <w:r w:rsidRPr="0004164B">
        <w:rPr>
          <w:rFonts w:cs="Arial"/>
        </w:rPr>
        <w:t>or</w:t>
      </w:r>
      <w:r w:rsidR="00826630">
        <w:rPr>
          <w:rFonts w:cs="Arial"/>
        </w:rPr>
        <w:t xml:space="preserve"> </w:t>
      </w:r>
      <w:hyperlink r:id="rId19" w:history="1">
        <w:r w:rsidR="00072522" w:rsidRPr="00072522">
          <w:rPr>
            <w:rStyle w:val="Hyperlink"/>
            <w:rFonts w:cs="Arial"/>
          </w:rPr>
          <w:t>never events</w:t>
        </w:r>
      </w:hyperlink>
      <w:r w:rsidR="00286F9F" w:rsidRPr="0004164B">
        <w:rPr>
          <w:rFonts w:cs="Arial"/>
        </w:rPr>
        <w:t xml:space="preserve"> reported during the specific 2 year period outline above.</w:t>
      </w:r>
    </w:p>
    <w:p w14:paraId="616FECC2" w14:textId="6DF7A919" w:rsidR="00F670C6" w:rsidRPr="008E15B6" w:rsidRDefault="00286F9F">
      <w:pPr>
        <w:rPr>
          <w:rFonts w:cs="Arial"/>
        </w:rPr>
      </w:pPr>
      <w:r>
        <w:rPr>
          <w:noProof/>
        </w:rPr>
        <w:drawing>
          <wp:inline distT="0" distB="0" distL="0" distR="0" wp14:anchorId="3A9322B4" wp14:editId="098D56ED">
            <wp:extent cx="5953125" cy="3168650"/>
            <wp:effectExtent l="0" t="0" r="9525" b="12700"/>
            <wp:docPr id="3" name="Chart 3">
              <a:extLst xmlns:a="http://schemas.openxmlformats.org/drawingml/2006/main">
                <a:ext uri="{FF2B5EF4-FFF2-40B4-BE49-F238E27FC236}">
                  <a16:creationId xmlns:a16="http://schemas.microsoft.com/office/drawing/2014/main" id="{CF4FABB8-53F3-05BF-36C5-25A015BAD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727C6C" w14:textId="77777777" w:rsidR="008218A0" w:rsidRDefault="005318A2">
      <w:pPr>
        <w:rPr>
          <w:b/>
          <w:bCs/>
          <w:u w:val="single"/>
        </w:rPr>
      </w:pPr>
      <w:r w:rsidRPr="00EE26F0">
        <w:rPr>
          <w:b/>
          <w:bCs/>
          <w:u w:val="single"/>
        </w:rPr>
        <w:t>Patient safety incidents</w:t>
      </w:r>
      <w:r w:rsidR="00EE26F0" w:rsidRPr="00EE26F0">
        <w:rPr>
          <w:b/>
          <w:bCs/>
          <w:u w:val="single"/>
        </w:rPr>
        <w:t xml:space="preserve"> 24/25</w:t>
      </w:r>
    </w:p>
    <w:p w14:paraId="2E2004CC" w14:textId="6653C326" w:rsidR="008218A0" w:rsidRPr="008218A0" w:rsidRDefault="00FA1BF3">
      <w:pPr>
        <w:rPr>
          <w:b/>
          <w:bCs/>
          <w:u w:val="single"/>
        </w:rPr>
      </w:pPr>
      <w:r>
        <w:t>During 24-25, 70 patient safety incidents were reported on Datix</w:t>
      </w:r>
      <w:r w:rsidR="00937ABD">
        <w:t>. Please see below graph for categor</w:t>
      </w:r>
      <w:r w:rsidR="008218A0">
        <w:t>ies and comparison to 23/24 data</w:t>
      </w:r>
      <w:r w:rsidR="008218A0">
        <w:rPr>
          <w:noProof/>
          <w14:ligatures w14:val="standardContextual"/>
        </w:rPr>
        <w:t xml:space="preserve"> </w:t>
      </w:r>
    </w:p>
    <w:p w14:paraId="61669141" w14:textId="1F7A33C0" w:rsidR="00FA1BF3" w:rsidRDefault="0032750E">
      <w:r>
        <w:rPr>
          <w:noProof/>
          <w14:ligatures w14:val="standardContextual"/>
        </w:rPr>
        <w:drawing>
          <wp:inline distT="0" distB="0" distL="0" distR="0" wp14:anchorId="5A0252F9" wp14:editId="3FA29A66">
            <wp:extent cx="5702300" cy="3003550"/>
            <wp:effectExtent l="0" t="0" r="12700" b="6350"/>
            <wp:docPr id="728778508" name="Chart 1">
              <a:extLst xmlns:a="http://schemas.openxmlformats.org/drawingml/2006/main">
                <a:ext uri="{FF2B5EF4-FFF2-40B4-BE49-F238E27FC236}">
                  <a16:creationId xmlns:a16="http://schemas.microsoft.com/office/drawing/2014/main" id="{4A215001-C2D4-FC7B-B6A7-9FBE62564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t xml:space="preserve"> </w:t>
      </w:r>
    </w:p>
    <w:p w14:paraId="4139D7E6" w14:textId="77777777" w:rsidR="0032750E" w:rsidRPr="00FA1BF3" w:rsidRDefault="0032750E"/>
    <w:p w14:paraId="236E95A7" w14:textId="1219008C" w:rsidR="00043B59" w:rsidRPr="00EE26F0" w:rsidRDefault="00043B59">
      <w:pPr>
        <w:rPr>
          <w:rFonts w:eastAsiaTheme="majorEastAsia" w:cstheme="majorBidi"/>
          <w:b/>
          <w:bCs/>
          <w:color w:val="0070C0"/>
        </w:rPr>
      </w:pPr>
      <w:r w:rsidRPr="00EE26F0">
        <w:rPr>
          <w:b/>
          <w:bCs/>
          <w:color w:val="0070C0"/>
        </w:rPr>
        <w:lastRenderedPageBreak/>
        <w:br w:type="page"/>
      </w:r>
    </w:p>
    <w:p w14:paraId="38C2918B" w14:textId="57613952" w:rsidR="004C26B2" w:rsidRPr="00F87477" w:rsidRDefault="00574AE9" w:rsidP="00EF5CCF">
      <w:pPr>
        <w:pStyle w:val="Heading2"/>
        <w:spacing w:before="280" w:after="280"/>
        <w:ind w:left="-284"/>
        <w:rPr>
          <w:color w:val="0070C0"/>
          <w:sz w:val="36"/>
          <w:szCs w:val="36"/>
        </w:rPr>
      </w:pPr>
      <w:r>
        <w:rPr>
          <w:color w:val="0070C0"/>
          <w:sz w:val="36"/>
          <w:szCs w:val="36"/>
        </w:rPr>
        <w:lastRenderedPageBreak/>
        <w:t>Defining our p</w:t>
      </w:r>
      <w:r w:rsidR="00F87477" w:rsidRPr="00F87477">
        <w:rPr>
          <w:color w:val="0070C0"/>
          <w:sz w:val="36"/>
          <w:szCs w:val="36"/>
        </w:rPr>
        <w:t xml:space="preserve">atient safety </w:t>
      </w:r>
      <w:r>
        <w:rPr>
          <w:color w:val="0070C0"/>
          <w:sz w:val="36"/>
          <w:szCs w:val="36"/>
        </w:rPr>
        <w:t>improvement profile</w:t>
      </w:r>
    </w:p>
    <w:tbl>
      <w:tblPr>
        <w:tblStyle w:val="TableGrid"/>
        <w:tblW w:w="0" w:type="auto"/>
        <w:tblInd w:w="-289" w:type="dxa"/>
        <w:shd w:val="clear" w:color="auto" w:fill="DAEEF3" w:themeFill="accent5" w:themeFillTint="33"/>
        <w:tblLook w:val="04A0" w:firstRow="1" w:lastRow="0" w:firstColumn="1" w:lastColumn="0" w:noHBand="0" w:noVBand="1"/>
      </w:tblPr>
      <w:tblGrid>
        <w:gridCol w:w="9356"/>
      </w:tblGrid>
      <w:tr w:rsidR="004C26B2" w14:paraId="182F4AAF" w14:textId="77777777" w:rsidTr="002669E6">
        <w:trPr>
          <w:trHeight w:val="1929"/>
        </w:trPr>
        <w:tc>
          <w:tcPr>
            <w:tcW w:w="9356" w:type="dxa"/>
            <w:shd w:val="clear" w:color="auto" w:fill="DAEEF3" w:themeFill="accent5" w:themeFillTint="33"/>
          </w:tcPr>
          <w:p w14:paraId="5C14773D" w14:textId="19531737" w:rsidR="004C26B2" w:rsidRPr="002669E6" w:rsidRDefault="00FC141F" w:rsidP="002669E6">
            <w:pPr>
              <w:spacing w:before="120" w:after="280" w:line="360" w:lineRule="atLeast"/>
              <w:rPr>
                <w:b/>
                <w:bCs/>
                <w:sz w:val="24"/>
                <w:szCs w:val="24"/>
              </w:rPr>
            </w:pPr>
            <w:r w:rsidRPr="00FC141F">
              <w:rPr>
                <w:b/>
                <w:bCs/>
                <w:sz w:val="24"/>
                <w:szCs w:val="24"/>
              </w:rPr>
              <w:t>Notes</w:t>
            </w:r>
            <w:r w:rsidR="002669E6">
              <w:rPr>
                <w:b/>
                <w:bCs/>
                <w:sz w:val="24"/>
                <w:szCs w:val="24"/>
              </w:rPr>
              <w:t xml:space="preserve"> - </w:t>
            </w:r>
            <w:r w:rsidRPr="00FC141F">
              <w:rPr>
                <w:sz w:val="24"/>
                <w:szCs w:val="24"/>
              </w:rPr>
              <w:t xml:space="preserve">Describe how you </w:t>
            </w:r>
            <w:r w:rsidR="002439AD">
              <w:rPr>
                <w:sz w:val="24"/>
                <w:szCs w:val="24"/>
              </w:rPr>
              <w:t xml:space="preserve">identified and agreed your patient safety improvement profile. </w:t>
            </w:r>
            <w:r w:rsidR="00BA5186">
              <w:rPr>
                <w:sz w:val="24"/>
                <w:szCs w:val="24"/>
              </w:rPr>
              <w:t xml:space="preserve">Provide a consolidated list of all improvement and service transformation work with an impact on patient safety underway or planned across your organisation (this should describe </w:t>
            </w:r>
            <w:r w:rsidR="008701E4">
              <w:rPr>
                <w:sz w:val="24"/>
                <w:szCs w:val="24"/>
              </w:rPr>
              <w:t xml:space="preserve">relevant </w:t>
            </w:r>
            <w:r w:rsidR="00BA5186">
              <w:rPr>
                <w:sz w:val="24"/>
                <w:szCs w:val="24"/>
              </w:rPr>
              <w:t xml:space="preserve">national, regional and locally driven improvement </w:t>
            </w:r>
            <w:r w:rsidR="005161AA">
              <w:rPr>
                <w:sz w:val="24"/>
                <w:szCs w:val="24"/>
              </w:rPr>
              <w:t xml:space="preserve">and service transformation </w:t>
            </w:r>
            <w:r w:rsidR="00BA5186">
              <w:rPr>
                <w:sz w:val="24"/>
                <w:szCs w:val="24"/>
              </w:rPr>
              <w:t>programmes</w:t>
            </w:r>
            <w:r w:rsidR="007124D8">
              <w:rPr>
                <w:sz w:val="24"/>
                <w:szCs w:val="24"/>
              </w:rPr>
              <w:t>).</w:t>
            </w:r>
            <w:r w:rsidRPr="00FC141F">
              <w:rPr>
                <w:sz w:val="24"/>
                <w:szCs w:val="24"/>
              </w:rPr>
              <w:t xml:space="preserve"> </w:t>
            </w:r>
          </w:p>
        </w:tc>
      </w:tr>
    </w:tbl>
    <w:p w14:paraId="48CB3AA8" w14:textId="77777777" w:rsidR="002669E6" w:rsidRDefault="002669E6">
      <w:pPr>
        <w:rPr>
          <w:rFonts w:cs="Arial"/>
        </w:rPr>
      </w:pPr>
    </w:p>
    <w:p w14:paraId="1E2FDC49" w14:textId="23FCF475" w:rsidR="0022624E" w:rsidRPr="00F8449F" w:rsidRDefault="006F2FC1">
      <w:pPr>
        <w:rPr>
          <w:rFonts w:cs="Arial"/>
        </w:rPr>
      </w:pPr>
      <w:r w:rsidRPr="00F8449F">
        <w:rPr>
          <w:rFonts w:cs="Arial"/>
        </w:rPr>
        <w:t xml:space="preserve">PICS has given careful consideration to the patient safety profile </w:t>
      </w:r>
      <w:r w:rsidR="00692ED7" w:rsidRPr="00F8449F">
        <w:rPr>
          <w:rFonts w:cs="Arial"/>
        </w:rPr>
        <w:t>produced for incident</w:t>
      </w:r>
      <w:r w:rsidR="00E92190" w:rsidRPr="00F8449F">
        <w:rPr>
          <w:rFonts w:cs="Arial"/>
        </w:rPr>
        <w:t>s</w:t>
      </w:r>
      <w:r w:rsidR="00692ED7" w:rsidRPr="00F8449F">
        <w:rPr>
          <w:rFonts w:cs="Arial"/>
        </w:rPr>
        <w:t xml:space="preserve"> over a </w:t>
      </w:r>
      <w:proofErr w:type="gramStart"/>
      <w:r w:rsidR="008218A0">
        <w:rPr>
          <w:rFonts w:cs="Arial"/>
        </w:rPr>
        <w:t>4</w:t>
      </w:r>
      <w:r w:rsidR="00692ED7" w:rsidRPr="00F8449F">
        <w:rPr>
          <w:rFonts w:cs="Arial"/>
        </w:rPr>
        <w:t xml:space="preserve"> year</w:t>
      </w:r>
      <w:proofErr w:type="gramEnd"/>
      <w:r w:rsidR="00692ED7" w:rsidRPr="00F8449F">
        <w:rPr>
          <w:rFonts w:cs="Arial"/>
        </w:rPr>
        <w:t xml:space="preserve"> period. The data from the patient safety profile </w:t>
      </w:r>
      <w:r w:rsidR="00CA3F64" w:rsidRPr="00F8449F">
        <w:rPr>
          <w:rFonts w:cs="Arial"/>
        </w:rPr>
        <w:t>identified</w:t>
      </w:r>
      <w:r w:rsidR="00293E63" w:rsidRPr="00F8449F">
        <w:rPr>
          <w:rFonts w:cs="Arial"/>
        </w:rPr>
        <w:t xml:space="preserve"> areas that may require further work </w:t>
      </w:r>
      <w:r w:rsidR="009666CA" w:rsidRPr="00F8449F">
        <w:rPr>
          <w:rFonts w:cs="Arial"/>
        </w:rPr>
        <w:t>and a change in how incidents are investigated. Whilst PICS does not</w:t>
      </w:r>
      <w:r w:rsidR="00C12203" w:rsidRPr="00F8449F">
        <w:rPr>
          <w:rFonts w:cs="Arial"/>
        </w:rPr>
        <w:t xml:space="preserve"> currently</w:t>
      </w:r>
      <w:r w:rsidR="009666CA" w:rsidRPr="00F8449F">
        <w:rPr>
          <w:rFonts w:cs="Arial"/>
        </w:rPr>
        <w:t xml:space="preserve"> carry out large scale </w:t>
      </w:r>
      <w:r w:rsidR="003E1E8D" w:rsidRPr="00F8449F">
        <w:rPr>
          <w:rFonts w:cs="Arial"/>
        </w:rPr>
        <w:t>patient safety incident investigations, a new methodology</w:t>
      </w:r>
      <w:r w:rsidR="0059512D" w:rsidRPr="00F8449F">
        <w:rPr>
          <w:rFonts w:cs="Arial"/>
        </w:rPr>
        <w:t xml:space="preserve"> using a </w:t>
      </w:r>
      <w:proofErr w:type="gramStart"/>
      <w:r w:rsidR="0059512D" w:rsidRPr="00F8449F">
        <w:rPr>
          <w:rFonts w:cs="Arial"/>
        </w:rPr>
        <w:t>system based</w:t>
      </w:r>
      <w:proofErr w:type="gramEnd"/>
      <w:r w:rsidR="0059512D" w:rsidRPr="00F8449F">
        <w:rPr>
          <w:rFonts w:cs="Arial"/>
        </w:rPr>
        <w:t xml:space="preserve"> approach would be mor</w:t>
      </w:r>
      <w:r w:rsidR="00291C15" w:rsidRPr="00F8449F">
        <w:rPr>
          <w:rFonts w:cs="Arial"/>
        </w:rPr>
        <w:t>e</w:t>
      </w:r>
      <w:r w:rsidR="0059512D" w:rsidRPr="00F8449F">
        <w:rPr>
          <w:rFonts w:cs="Arial"/>
        </w:rPr>
        <w:t xml:space="preserve"> useful</w:t>
      </w:r>
      <w:r w:rsidR="00621239" w:rsidRPr="00F8449F">
        <w:rPr>
          <w:rFonts w:cs="Arial"/>
        </w:rPr>
        <w:t xml:space="preserve"> for those incidents that require local </w:t>
      </w:r>
      <w:r w:rsidR="001E446D" w:rsidRPr="00F8449F">
        <w:rPr>
          <w:rFonts w:cs="Arial"/>
        </w:rPr>
        <w:t>investigation</w:t>
      </w:r>
      <w:r w:rsidR="0059512D" w:rsidRPr="00F8449F">
        <w:rPr>
          <w:rFonts w:cs="Arial"/>
        </w:rPr>
        <w:t xml:space="preserve">. </w:t>
      </w:r>
    </w:p>
    <w:p w14:paraId="4E9ED56C" w14:textId="15F6716B" w:rsidR="005F2AC2" w:rsidRPr="004524D1" w:rsidRDefault="0059512D">
      <w:pPr>
        <w:rPr>
          <w:rFonts w:cs="Arial"/>
        </w:rPr>
      </w:pPr>
      <w:r w:rsidRPr="00E92190">
        <w:rPr>
          <w:rFonts w:cs="Arial"/>
        </w:rPr>
        <w:t>In terms of clinical care and medication error incidents</w:t>
      </w:r>
      <w:r w:rsidR="005376F1" w:rsidRPr="00E92190">
        <w:rPr>
          <w:rFonts w:cs="Arial"/>
        </w:rPr>
        <w:t xml:space="preserve">, these have </w:t>
      </w:r>
      <w:r w:rsidR="006B0465">
        <w:rPr>
          <w:rFonts w:cs="Arial"/>
        </w:rPr>
        <w:t>often</w:t>
      </w:r>
      <w:r w:rsidR="005376F1" w:rsidRPr="00E92190">
        <w:rPr>
          <w:rFonts w:cs="Arial"/>
        </w:rPr>
        <w:t xml:space="preserve"> been</w:t>
      </w:r>
      <w:r w:rsidR="004524D1">
        <w:rPr>
          <w:rFonts w:cs="Arial"/>
        </w:rPr>
        <w:t xml:space="preserve"> discussed</w:t>
      </w:r>
      <w:r w:rsidR="005376F1" w:rsidRPr="00E92190">
        <w:rPr>
          <w:rFonts w:cs="Arial"/>
        </w:rPr>
        <w:t xml:space="preserve"> </w:t>
      </w:r>
      <w:r w:rsidR="00793ADD">
        <w:rPr>
          <w:rFonts w:cs="Arial"/>
        </w:rPr>
        <w:t xml:space="preserve">and </w:t>
      </w:r>
      <w:r w:rsidR="00FF3440" w:rsidRPr="00E92190">
        <w:rPr>
          <w:rFonts w:cs="Arial"/>
        </w:rPr>
        <w:t xml:space="preserve">approved as incidents caused by human error. </w:t>
      </w:r>
      <w:r w:rsidR="00A07C6A" w:rsidRPr="004524D1">
        <w:rPr>
          <w:rFonts w:cs="Arial"/>
        </w:rPr>
        <w:t xml:space="preserve">PICS adopts a no blame approach to incidents that have been deemed to be caused by human error and </w:t>
      </w:r>
      <w:r w:rsidR="00291C15" w:rsidRPr="004524D1">
        <w:rPr>
          <w:rFonts w:cs="Arial"/>
        </w:rPr>
        <w:t>encourages</w:t>
      </w:r>
      <w:r w:rsidR="00334C5A">
        <w:rPr>
          <w:rFonts w:cs="Arial"/>
        </w:rPr>
        <w:t xml:space="preserve"> both individual and organisational</w:t>
      </w:r>
      <w:r w:rsidR="00A07C6A" w:rsidRPr="004524D1">
        <w:rPr>
          <w:rFonts w:cs="Arial"/>
        </w:rPr>
        <w:t xml:space="preserve"> learning. However</w:t>
      </w:r>
      <w:r w:rsidR="00010070">
        <w:rPr>
          <w:rFonts w:cs="Arial"/>
        </w:rPr>
        <w:t>,</w:t>
      </w:r>
      <w:r w:rsidR="00A07C6A" w:rsidRPr="004524D1">
        <w:rPr>
          <w:rFonts w:cs="Arial"/>
        </w:rPr>
        <w:t xml:space="preserve"> </w:t>
      </w:r>
      <w:r w:rsidR="00291C15" w:rsidRPr="004524D1">
        <w:rPr>
          <w:rFonts w:cs="Arial"/>
        </w:rPr>
        <w:t xml:space="preserve">a </w:t>
      </w:r>
      <w:proofErr w:type="gramStart"/>
      <w:r w:rsidR="00291C15" w:rsidRPr="004524D1">
        <w:rPr>
          <w:rFonts w:cs="Arial"/>
        </w:rPr>
        <w:t>systems based</w:t>
      </w:r>
      <w:proofErr w:type="gramEnd"/>
      <w:r w:rsidR="00291C15" w:rsidRPr="004524D1">
        <w:rPr>
          <w:rFonts w:cs="Arial"/>
        </w:rPr>
        <w:t xml:space="preserve"> model for </w:t>
      </w:r>
      <w:r w:rsidR="00DC23CC" w:rsidRPr="004524D1">
        <w:rPr>
          <w:rFonts w:cs="Arial"/>
        </w:rPr>
        <w:t xml:space="preserve">patient safety incident </w:t>
      </w:r>
      <w:r w:rsidR="005F2AC2" w:rsidRPr="004524D1">
        <w:rPr>
          <w:rFonts w:cs="Arial"/>
        </w:rPr>
        <w:t>investigation would be more appropriate</w:t>
      </w:r>
      <w:r w:rsidR="006B0465">
        <w:rPr>
          <w:rFonts w:cs="Arial"/>
        </w:rPr>
        <w:t xml:space="preserve"> in enabling</w:t>
      </w:r>
      <w:r w:rsidR="005F2AC2" w:rsidRPr="004524D1">
        <w:rPr>
          <w:rFonts w:cs="Arial"/>
        </w:rPr>
        <w:t xml:space="preserve"> consider</w:t>
      </w:r>
      <w:r w:rsidR="006B0465">
        <w:rPr>
          <w:rFonts w:cs="Arial"/>
        </w:rPr>
        <w:t>ation</w:t>
      </w:r>
      <w:r w:rsidR="005F2AC2" w:rsidRPr="004524D1">
        <w:rPr>
          <w:rFonts w:cs="Arial"/>
        </w:rPr>
        <w:t xml:space="preserve"> </w:t>
      </w:r>
      <w:r w:rsidR="006B0465">
        <w:rPr>
          <w:rFonts w:cs="Arial"/>
        </w:rPr>
        <w:t>of</w:t>
      </w:r>
      <w:r w:rsidR="005F2AC2" w:rsidRPr="004524D1">
        <w:rPr>
          <w:rFonts w:cs="Arial"/>
        </w:rPr>
        <w:t xml:space="preserve"> other factors </w:t>
      </w:r>
      <w:r w:rsidR="006B0465">
        <w:rPr>
          <w:rFonts w:cs="Arial"/>
        </w:rPr>
        <w:t>that</w:t>
      </w:r>
      <w:r w:rsidR="000E70FD">
        <w:rPr>
          <w:rFonts w:cs="Arial"/>
        </w:rPr>
        <w:t xml:space="preserve"> </w:t>
      </w:r>
      <w:r w:rsidR="005F2AC2" w:rsidRPr="004524D1">
        <w:rPr>
          <w:rFonts w:cs="Arial"/>
        </w:rPr>
        <w:t>play a part</w:t>
      </w:r>
      <w:r w:rsidR="003448AD" w:rsidRPr="004524D1">
        <w:rPr>
          <w:rFonts w:cs="Arial"/>
        </w:rPr>
        <w:t xml:space="preserve"> an</w:t>
      </w:r>
      <w:r w:rsidR="00F10605">
        <w:rPr>
          <w:rFonts w:cs="Arial"/>
        </w:rPr>
        <w:t>d</w:t>
      </w:r>
      <w:r w:rsidR="003448AD" w:rsidRPr="004524D1">
        <w:rPr>
          <w:rFonts w:cs="Arial"/>
        </w:rPr>
        <w:t xml:space="preserve"> if changes can be made at a sy</w:t>
      </w:r>
      <w:r w:rsidR="002669E6" w:rsidRPr="004524D1">
        <w:rPr>
          <w:rFonts w:cs="Arial"/>
        </w:rPr>
        <w:t>st</w:t>
      </w:r>
      <w:r w:rsidR="003448AD" w:rsidRPr="004524D1">
        <w:rPr>
          <w:rFonts w:cs="Arial"/>
        </w:rPr>
        <w:t>em level to improve patient safe</w:t>
      </w:r>
      <w:r w:rsidR="002669E6" w:rsidRPr="004524D1">
        <w:rPr>
          <w:rFonts w:cs="Arial"/>
        </w:rPr>
        <w:t>t</w:t>
      </w:r>
      <w:r w:rsidR="003448AD" w:rsidRPr="004524D1">
        <w:rPr>
          <w:rFonts w:cs="Arial"/>
        </w:rPr>
        <w:t>y</w:t>
      </w:r>
      <w:r w:rsidR="005F2AC2" w:rsidRPr="004524D1">
        <w:rPr>
          <w:rFonts w:cs="Arial"/>
        </w:rPr>
        <w:t xml:space="preserve">. </w:t>
      </w:r>
    </w:p>
    <w:p w14:paraId="4B0A0766" w14:textId="59C0AFD6" w:rsidR="0055361D" w:rsidRDefault="008E138F">
      <w:pPr>
        <w:rPr>
          <w:rFonts w:cs="Arial"/>
          <w:color w:val="212121"/>
          <w:shd w:val="clear" w:color="auto" w:fill="FFFFFF"/>
        </w:rPr>
      </w:pPr>
      <w:r w:rsidRPr="006762C3">
        <w:rPr>
          <w:rFonts w:cs="Arial"/>
          <w:color w:val="212121"/>
          <w:shd w:val="clear" w:color="auto" w:fill="FFFFFF"/>
        </w:rPr>
        <w:t>The Systems Engineering Initiative for Patient Safety (SEIPS) was described by Carayon</w:t>
      </w:r>
      <w:r w:rsidR="002B3EEA" w:rsidRPr="006762C3">
        <w:rPr>
          <w:rFonts w:cs="Arial"/>
          <w:color w:val="212121"/>
          <w:shd w:val="clear" w:color="auto" w:fill="FFFFFF"/>
        </w:rPr>
        <w:t xml:space="preserve"> (2006)</w:t>
      </w:r>
      <w:r w:rsidRPr="006762C3">
        <w:rPr>
          <w:rFonts w:cs="Arial"/>
          <w:color w:val="212121"/>
          <w:shd w:val="clear" w:color="auto" w:fill="FFFFFF"/>
        </w:rPr>
        <w:t xml:space="preserve"> as a framework for understanding the structures, processes and outcomes in healthcare and their relationships. It is a systems approach with embedded human factors principles and is designed specifically for use in healthcare</w:t>
      </w:r>
      <w:r w:rsidR="00686453">
        <w:rPr>
          <w:rFonts w:cs="Arial"/>
          <w:color w:val="212121"/>
          <w:shd w:val="clear" w:color="auto" w:fill="FFFFFF"/>
        </w:rPr>
        <w:t xml:space="preserve"> – </w:t>
      </w:r>
      <w:proofErr w:type="gramStart"/>
      <w:r w:rsidR="00686453">
        <w:rPr>
          <w:rFonts w:cs="Arial"/>
          <w:color w:val="212121"/>
          <w:shd w:val="clear" w:color="auto" w:fill="FFFFFF"/>
        </w:rPr>
        <w:t xml:space="preserve">shown </w:t>
      </w:r>
      <w:r w:rsidR="00804451">
        <w:rPr>
          <w:rFonts w:cs="Arial"/>
          <w:color w:val="212121"/>
          <w:shd w:val="clear" w:color="auto" w:fill="FFFFFF"/>
        </w:rPr>
        <w:t xml:space="preserve"> in</w:t>
      </w:r>
      <w:proofErr w:type="gramEnd"/>
      <w:r w:rsidR="00804451">
        <w:rPr>
          <w:rFonts w:cs="Arial"/>
          <w:color w:val="212121"/>
          <w:shd w:val="clear" w:color="auto" w:fill="FFFFFF"/>
        </w:rPr>
        <w:t xml:space="preserve"> Figure 1 </w:t>
      </w:r>
      <w:r w:rsidR="00686453">
        <w:rPr>
          <w:rFonts w:cs="Arial"/>
          <w:color w:val="212121"/>
          <w:shd w:val="clear" w:color="auto" w:fill="FFFFFF"/>
        </w:rPr>
        <w:t>below</w:t>
      </w:r>
      <w:r w:rsidR="00F705D7">
        <w:rPr>
          <w:rFonts w:cs="Arial"/>
          <w:color w:val="212121"/>
          <w:shd w:val="clear" w:color="auto" w:fill="FFFFFF"/>
        </w:rPr>
        <w:t xml:space="preserve">. A quick reference guide for SEIPS can be found </w:t>
      </w:r>
      <w:hyperlink r:id="rId22" w:history="1">
        <w:r w:rsidR="00F705D7" w:rsidRPr="00F705D7">
          <w:rPr>
            <w:rStyle w:val="Hyperlink"/>
            <w:rFonts w:cs="Arial"/>
            <w:shd w:val="clear" w:color="auto" w:fill="FFFFFF"/>
          </w:rPr>
          <w:t>here</w:t>
        </w:r>
      </w:hyperlink>
    </w:p>
    <w:p w14:paraId="2A44D579" w14:textId="2863EE30" w:rsidR="0055361D" w:rsidRDefault="00A666BE" w:rsidP="00804451">
      <w:pPr>
        <w:rPr>
          <w:rFonts w:cs="Arial"/>
        </w:rPr>
      </w:pPr>
      <w:r w:rsidRPr="00A666BE">
        <w:rPr>
          <w:rFonts w:cs="Arial"/>
          <w:noProof/>
        </w:rPr>
        <w:drawing>
          <wp:inline distT="0" distB="0" distL="0" distR="0" wp14:anchorId="1CB5712B" wp14:editId="77C34E44">
            <wp:extent cx="5200650" cy="2514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00650" cy="2514600"/>
                    </a:xfrm>
                    <a:prstGeom prst="rect">
                      <a:avLst/>
                    </a:prstGeom>
                  </pic:spPr>
                </pic:pic>
              </a:graphicData>
            </a:graphic>
          </wp:inline>
        </w:drawing>
      </w:r>
    </w:p>
    <w:p w14:paraId="4EF7A7F0" w14:textId="29FD614C" w:rsidR="00A666BE" w:rsidRDefault="00A666BE" w:rsidP="00A666BE">
      <w:pPr>
        <w:jc w:val="center"/>
        <w:rPr>
          <w:rFonts w:cs="Arial"/>
        </w:rPr>
      </w:pPr>
      <w:r>
        <w:rPr>
          <w:rFonts w:cs="Arial"/>
        </w:rPr>
        <w:t>Figure 1 – overview of the SEIPS framework</w:t>
      </w:r>
    </w:p>
    <w:p w14:paraId="3D53055F" w14:textId="77777777" w:rsidR="00A666BE" w:rsidRDefault="00A666BE">
      <w:pPr>
        <w:rPr>
          <w:rFonts w:cs="Arial"/>
        </w:rPr>
      </w:pPr>
    </w:p>
    <w:p w14:paraId="25AAB2A5" w14:textId="77777777" w:rsidR="00A666BE" w:rsidRPr="002B3EEA" w:rsidRDefault="00A666BE">
      <w:pPr>
        <w:rPr>
          <w:rFonts w:cs="Arial"/>
        </w:rPr>
      </w:pPr>
    </w:p>
    <w:p w14:paraId="0F90CFB4" w14:textId="0C7CD069" w:rsidR="00BC7BE3" w:rsidRDefault="000F3F23" w:rsidP="00BC7BE3">
      <w:pPr>
        <w:spacing w:before="280" w:after="280" w:line="240" w:lineRule="auto"/>
      </w:pPr>
      <w:r>
        <w:t xml:space="preserve">Whilst PICS staff report pressure ulcers on Datix, many are present </w:t>
      </w:r>
      <w:r w:rsidR="008D6B4F">
        <w:t>o</w:t>
      </w:r>
      <w:r>
        <w:t>n admission</w:t>
      </w:r>
      <w:r w:rsidR="000960A8">
        <w:t>. New category 3, 4</w:t>
      </w:r>
      <w:r w:rsidR="008D6B4F">
        <w:t xml:space="preserve">, deep tissue injury and unstageable are currently looked at through the lens of a concise investigation, however </w:t>
      </w:r>
      <w:r w:rsidR="008D5791">
        <w:t>the results often indicate that the</w:t>
      </w:r>
      <w:r w:rsidR="00652044">
        <w:t xml:space="preserve"> pressure</w:t>
      </w:r>
      <w:r w:rsidR="008D5791">
        <w:t xml:space="preserve"> ulcers were not preventable due to factors</w:t>
      </w:r>
      <w:r w:rsidR="00652044">
        <w:t xml:space="preserve"> out of control such as patient choice</w:t>
      </w:r>
      <w:r w:rsidR="00ED7424">
        <w:t>, sudden deterioration of palliative patients</w:t>
      </w:r>
      <w:r w:rsidR="008D5791">
        <w:t xml:space="preserve">. </w:t>
      </w:r>
      <w:r w:rsidR="00B94738">
        <w:t xml:space="preserve">Limited learning is gained from the amount of time invested into </w:t>
      </w:r>
      <w:r w:rsidR="00A65A56">
        <w:t>investigations’</w:t>
      </w:r>
      <w:r w:rsidR="00DE1131">
        <w:t xml:space="preserve"> and i</w:t>
      </w:r>
      <w:r w:rsidR="00B94738">
        <w:t xml:space="preserve">t is therefore proposed that concise investigations are </w:t>
      </w:r>
      <w:proofErr w:type="gramStart"/>
      <w:r w:rsidR="00B94738">
        <w:t>discontinued</w:t>
      </w:r>
      <w:proofErr w:type="gramEnd"/>
      <w:r w:rsidR="00B94738">
        <w:t xml:space="preserve"> and pressure ulcer</w:t>
      </w:r>
      <w:r w:rsidR="008F6840">
        <w:t xml:space="preserve"> learning is via a 6 monthly report to clinical governance and discussion with clinical teams. </w:t>
      </w:r>
      <w:r w:rsidR="008D6B4F">
        <w:t xml:space="preserve"> </w:t>
      </w:r>
      <w:r w:rsidR="008F6840">
        <w:t>PICS is</w:t>
      </w:r>
      <w:r w:rsidR="00BC7BE3">
        <w:t xml:space="preserve"> also</w:t>
      </w:r>
      <w:r w:rsidR="008F6840">
        <w:t xml:space="preserve"> </w:t>
      </w:r>
      <w:r w:rsidR="00BC4D5C">
        <w:t>Involved with</w:t>
      </w:r>
      <w:r w:rsidR="008F6840">
        <w:t xml:space="preserve"> an</w:t>
      </w:r>
      <w:r w:rsidR="00BC4D5C">
        <w:t xml:space="preserve"> ICS quality improvement group relating to tissue viability and prevention of pressure ulcers</w:t>
      </w:r>
      <w:r w:rsidR="008F6840">
        <w:t xml:space="preserve"> and will</w:t>
      </w:r>
      <w:r w:rsidR="00BC7BE3">
        <w:t xml:space="preserve"> continue in this coll</w:t>
      </w:r>
      <w:r w:rsidR="00EC547D">
        <w:t>aboration for joint learning and action.</w:t>
      </w:r>
      <w:r w:rsidR="00813DC1">
        <w:t xml:space="preserve"> Work is ongoing to align the </w:t>
      </w:r>
      <w:r w:rsidR="00482739">
        <w:t>PICS work on pressure ulcers to other local organisation in terms of best practice and new guidance</w:t>
      </w:r>
    </w:p>
    <w:p w14:paraId="234C1974" w14:textId="7C5A5438" w:rsidR="00EC547D" w:rsidRDefault="00EC547D" w:rsidP="00BC7BE3">
      <w:pPr>
        <w:spacing w:before="280" w:after="280" w:line="240" w:lineRule="auto"/>
      </w:pPr>
      <w:r>
        <w:t xml:space="preserve">Patient safety incidents arising from </w:t>
      </w:r>
      <w:r w:rsidR="00CF13DC">
        <w:t xml:space="preserve">errors or near misses in clinical care are currently discussed at clinical team meetings before being reviewed and discussed at clinical governance. Occasionally NHS </w:t>
      </w:r>
      <w:r w:rsidR="00A455D5">
        <w:t>England</w:t>
      </w:r>
      <w:r w:rsidR="00CF13DC">
        <w:t xml:space="preserve"> review cases that have resulted in a complaint and any learning from this is shared</w:t>
      </w:r>
      <w:r w:rsidR="00A455D5">
        <w:t xml:space="preserve"> across the organisation</w:t>
      </w:r>
      <w:r w:rsidR="00CF13DC">
        <w:t xml:space="preserve">. </w:t>
      </w:r>
      <w:r w:rsidR="007815E5">
        <w:t xml:space="preserve">A multidisciplinary approach to </w:t>
      </w:r>
      <w:r w:rsidR="006B0821">
        <w:t xml:space="preserve">patient safety incidents arising from clinical care or near misses is </w:t>
      </w:r>
      <w:r w:rsidR="002055DB">
        <w:t>useful and this approach will continue</w:t>
      </w:r>
      <w:r w:rsidR="007C50DE">
        <w:t xml:space="preserve"> with the addition of </w:t>
      </w:r>
      <w:proofErr w:type="gramStart"/>
      <w:r w:rsidR="007C50DE">
        <w:t>after action</w:t>
      </w:r>
      <w:proofErr w:type="gramEnd"/>
      <w:r w:rsidR="007C50DE">
        <w:t xml:space="preserve"> reviews or PSII where deemed appropriate</w:t>
      </w:r>
      <w:r w:rsidR="001F0EFB">
        <w:t>.</w:t>
      </w:r>
    </w:p>
    <w:p w14:paraId="0157DD16" w14:textId="70E30338" w:rsidR="001F0EFB" w:rsidRDefault="001F0EFB" w:rsidP="00BC7BE3">
      <w:pPr>
        <w:spacing w:before="280" w:after="280" w:line="240" w:lineRule="auto"/>
      </w:pPr>
      <w:r>
        <w:t>Information governance related patient safety issues</w:t>
      </w:r>
      <w:r w:rsidR="00361B89">
        <w:t xml:space="preserve"> are currently investigated by the line manager with arising actions being undertaken and changes/learning implemented where needed. </w:t>
      </w:r>
      <w:r w:rsidR="009E1A07">
        <w:t>Often these are deemed as human error</w:t>
      </w:r>
      <w:r w:rsidR="00003244">
        <w:t xml:space="preserve"> and would also benefit from a SEIPS style review. Review if these incidents will therefore be undertaken as an after</w:t>
      </w:r>
      <w:r w:rsidR="000F60C0">
        <w:t xml:space="preserve"> -</w:t>
      </w:r>
      <w:r w:rsidR="00003244">
        <w:t>action review, utilising the following 4 questions based around a SEIPS model.</w:t>
      </w:r>
    </w:p>
    <w:p w14:paraId="5F1F95E6" w14:textId="77777777" w:rsidR="00003244" w:rsidRDefault="00003244" w:rsidP="00003244">
      <w:r>
        <w:t xml:space="preserve">What was the expected outcome/expected to happen? </w:t>
      </w:r>
    </w:p>
    <w:p w14:paraId="59C673BE" w14:textId="77777777" w:rsidR="00003244" w:rsidRDefault="00003244" w:rsidP="00003244">
      <w:r>
        <w:t xml:space="preserve">What was the actual outcome/what </w:t>
      </w:r>
      <w:proofErr w:type="gramStart"/>
      <w:r>
        <w:t>actually happened</w:t>
      </w:r>
      <w:proofErr w:type="gramEnd"/>
      <w:r>
        <w:t xml:space="preserve">? </w:t>
      </w:r>
    </w:p>
    <w:p w14:paraId="2D531C09" w14:textId="77777777" w:rsidR="00003244" w:rsidRDefault="00003244" w:rsidP="00003244">
      <w:r>
        <w:t>What was the difference between the expected outcome and the event?</w:t>
      </w:r>
    </w:p>
    <w:p w14:paraId="20A12BA1" w14:textId="68676134" w:rsidR="00003244" w:rsidRDefault="00003244" w:rsidP="00003244">
      <w:pPr>
        <w:spacing w:before="280" w:after="280" w:line="240" w:lineRule="auto"/>
      </w:pPr>
      <w:r>
        <w:t>What was the learning?</w:t>
      </w:r>
    </w:p>
    <w:p w14:paraId="6E32575F" w14:textId="7830045F" w:rsidR="00003244" w:rsidRDefault="00003244" w:rsidP="00003244">
      <w:pPr>
        <w:spacing w:before="280" w:after="280" w:line="240" w:lineRule="auto"/>
      </w:pPr>
      <w:r>
        <w:t xml:space="preserve">This will enable </w:t>
      </w:r>
      <w:r w:rsidR="00BC49FB">
        <w:t>systems review with appropriate actions being undertaken.</w:t>
      </w:r>
    </w:p>
    <w:p w14:paraId="03E0CFF7" w14:textId="79F1577E" w:rsidR="00BC49FB" w:rsidRDefault="00BC49FB" w:rsidP="00003244">
      <w:pPr>
        <w:spacing w:before="280" w:after="280" w:line="240" w:lineRule="auto"/>
      </w:pPr>
      <w:r>
        <w:t>All patient safety</w:t>
      </w:r>
      <w:r w:rsidR="003A4AE0">
        <w:t xml:space="preserve"> incidents</w:t>
      </w:r>
      <w:r>
        <w:t xml:space="preserve"> will continue to be reviewed and approved at clinical governance and learning shared across the </w:t>
      </w:r>
      <w:r w:rsidR="009226E5">
        <w:t>organisation.</w:t>
      </w:r>
    </w:p>
    <w:p w14:paraId="62455B26" w14:textId="7A2890B4" w:rsidR="00E31A15" w:rsidRPr="00A842A6" w:rsidRDefault="00E31A15" w:rsidP="00E31A15">
      <w:r w:rsidRPr="00A842A6">
        <w:t xml:space="preserve">This work as outlined </w:t>
      </w:r>
      <w:r w:rsidR="00BC49FB">
        <w:t>above</w:t>
      </w:r>
      <w:r w:rsidRPr="00A842A6">
        <w:t xml:space="preserve"> has been agreed with relevant Clinical Leads and the Clinical Governance Committee</w:t>
      </w:r>
      <w:r w:rsidR="00BC49FB">
        <w:t>.</w:t>
      </w:r>
    </w:p>
    <w:p w14:paraId="7B1981E6" w14:textId="3F585D77" w:rsidR="00EC547D" w:rsidRDefault="00BC49FB" w:rsidP="00BC7BE3">
      <w:pPr>
        <w:spacing w:before="280" w:after="280" w:line="240" w:lineRule="auto"/>
      </w:pPr>
      <w:r>
        <w:t xml:space="preserve">In addition to the above the following will also be undertaken </w:t>
      </w:r>
    </w:p>
    <w:p w14:paraId="55AA571F" w14:textId="77777777" w:rsidR="00BC49FB" w:rsidRDefault="00BC49FB" w:rsidP="00BC49FB">
      <w:pPr>
        <w:pStyle w:val="ListParagraph"/>
        <w:numPr>
          <w:ilvl w:val="0"/>
          <w:numId w:val="5"/>
        </w:numPr>
        <w:spacing w:before="280" w:after="280" w:line="240" w:lineRule="auto"/>
      </w:pPr>
      <w:r w:rsidRPr="00C852B6">
        <w:t>Audit and action plans related to patient safety/MHRA alerts</w:t>
      </w:r>
      <w:r>
        <w:t>. This is ongoing work to ensure MHRA alerts around equipment and medications are actioned appropriately and audit is undertaken to underpin this work where needed.</w:t>
      </w:r>
    </w:p>
    <w:p w14:paraId="6D6EA749" w14:textId="77777777" w:rsidR="00BC7BE3" w:rsidRDefault="00BC7BE3" w:rsidP="00EC547D">
      <w:pPr>
        <w:pStyle w:val="ListParagraph"/>
        <w:spacing w:before="280" w:after="280" w:line="240" w:lineRule="auto"/>
        <w:ind w:left="436"/>
      </w:pPr>
    </w:p>
    <w:p w14:paraId="657A04DB" w14:textId="71AF25A4" w:rsidR="00BC4D5C" w:rsidRPr="00C852B6" w:rsidRDefault="00AF11C0" w:rsidP="005C3ED5">
      <w:pPr>
        <w:pStyle w:val="ListParagraph"/>
        <w:numPr>
          <w:ilvl w:val="0"/>
          <w:numId w:val="5"/>
        </w:numPr>
        <w:spacing w:before="280" w:after="280" w:line="240" w:lineRule="auto"/>
      </w:pPr>
      <w:r>
        <w:t>QI/patient experience projects in pain and gynaecology relating to co</w:t>
      </w:r>
      <w:r w:rsidR="00EB7F40">
        <w:t>h</w:t>
      </w:r>
      <w:r>
        <w:t xml:space="preserve">ort of patients suffering inequalities, chosen from </w:t>
      </w:r>
      <w:r w:rsidR="00FD7309">
        <w:t xml:space="preserve"> </w:t>
      </w:r>
      <w:hyperlink r:id="rId24" w:history="1">
        <w:r w:rsidR="00FD7309" w:rsidRPr="00FD7309">
          <w:rPr>
            <w:rStyle w:val="Hyperlink"/>
          </w:rPr>
          <w:t>Core20PLUS5</w:t>
        </w:r>
      </w:hyperlink>
      <w:r w:rsidR="00BA4941">
        <w:t xml:space="preserve">  - </w:t>
      </w:r>
      <w:r w:rsidR="00EB7F40">
        <w:t>being undertaken during 23/24</w:t>
      </w:r>
    </w:p>
    <w:p w14:paraId="13CDEF18" w14:textId="26C1EA2F" w:rsidR="003F07E1" w:rsidRPr="005C3ED5" w:rsidRDefault="007124D8" w:rsidP="005C3ED5">
      <w:pPr>
        <w:spacing w:before="280" w:after="280" w:line="240" w:lineRule="auto"/>
        <w:rPr>
          <w:color w:val="0070C0"/>
          <w:sz w:val="36"/>
          <w:szCs w:val="36"/>
        </w:rPr>
      </w:pPr>
      <w:r w:rsidRPr="005C3ED5">
        <w:rPr>
          <w:color w:val="0070C0"/>
          <w:sz w:val="36"/>
          <w:szCs w:val="36"/>
        </w:rPr>
        <w:lastRenderedPageBreak/>
        <w:t>Our patient safety incident response plan: national requirements</w:t>
      </w:r>
    </w:p>
    <w:tbl>
      <w:tblPr>
        <w:tblStyle w:val="TableGrid"/>
        <w:tblW w:w="0" w:type="auto"/>
        <w:tblInd w:w="-289" w:type="dxa"/>
        <w:shd w:val="clear" w:color="auto" w:fill="DAEEF3" w:themeFill="accent5" w:themeFillTint="33"/>
        <w:tblLook w:val="04A0" w:firstRow="1" w:lastRow="0" w:firstColumn="1" w:lastColumn="0" w:noHBand="0" w:noVBand="1"/>
      </w:tblPr>
      <w:tblGrid>
        <w:gridCol w:w="9305"/>
      </w:tblGrid>
      <w:tr w:rsidR="004B2A05" w14:paraId="3DE11EAE" w14:textId="77777777" w:rsidTr="00EF5CCF">
        <w:tc>
          <w:tcPr>
            <w:tcW w:w="9305" w:type="dxa"/>
            <w:shd w:val="clear" w:color="auto" w:fill="DAEEF3" w:themeFill="accent5" w:themeFillTint="33"/>
          </w:tcPr>
          <w:p w14:paraId="528C3F1E" w14:textId="14445AD5" w:rsidR="00FD7FAC" w:rsidRPr="00FD7FAC" w:rsidRDefault="00FD7FAC" w:rsidP="00F52004">
            <w:pPr>
              <w:spacing w:before="120" w:after="280" w:line="360" w:lineRule="atLeast"/>
              <w:rPr>
                <w:b/>
                <w:bCs/>
                <w:sz w:val="24"/>
                <w:szCs w:val="24"/>
              </w:rPr>
            </w:pPr>
            <w:r w:rsidRPr="00FD7FAC">
              <w:rPr>
                <w:b/>
                <w:bCs/>
                <w:sz w:val="24"/>
                <w:szCs w:val="24"/>
              </w:rPr>
              <w:t>Notes</w:t>
            </w:r>
          </w:p>
          <w:p w14:paraId="5CD690E7" w14:textId="0488601D" w:rsidR="005A4E34" w:rsidRPr="005A4E34" w:rsidRDefault="005A4E34" w:rsidP="005A4E34">
            <w:pPr>
              <w:spacing w:after="280" w:line="360" w:lineRule="atLeast"/>
              <w:rPr>
                <w:sz w:val="24"/>
                <w:szCs w:val="24"/>
              </w:rPr>
            </w:pPr>
            <w:r w:rsidRPr="005A4E34">
              <w:rPr>
                <w:sz w:val="24"/>
                <w:szCs w:val="24"/>
              </w:rPr>
              <w:t xml:space="preserve">List </w:t>
            </w:r>
            <w:r w:rsidR="000C3A30">
              <w:rPr>
                <w:sz w:val="24"/>
                <w:szCs w:val="24"/>
              </w:rPr>
              <w:t>the</w:t>
            </w:r>
            <w:r w:rsidRPr="005A4E34">
              <w:rPr>
                <w:sz w:val="24"/>
                <w:szCs w:val="24"/>
              </w:rPr>
              <w:t xml:space="preserve"> patient safety incident types that must be responded to according to national requirements (see Appendix A: </w:t>
            </w:r>
            <w:r w:rsidRPr="000E1B80">
              <w:rPr>
                <w:sz w:val="24"/>
                <w:szCs w:val="24"/>
              </w:rPr>
              <w:t xml:space="preserve">National event response requirements in the </w:t>
            </w:r>
            <w:hyperlink r:id="rId25" w:history="1">
              <w:r w:rsidRPr="000E1B80">
                <w:rPr>
                  <w:rStyle w:val="Hyperlink"/>
                  <w:sz w:val="24"/>
                  <w:szCs w:val="24"/>
                </w:rPr>
                <w:t>Guide to responding proportionately to patient safety incidents</w:t>
              </w:r>
            </w:hyperlink>
            <w:r w:rsidRPr="000E1B80">
              <w:rPr>
                <w:sz w:val="24"/>
                <w:szCs w:val="24"/>
              </w:rPr>
              <w:t>).</w:t>
            </w:r>
            <w:r w:rsidRPr="005A4E34">
              <w:rPr>
                <w:sz w:val="24"/>
                <w:szCs w:val="24"/>
              </w:rPr>
              <w:t xml:space="preserve"> </w:t>
            </w:r>
          </w:p>
          <w:p w14:paraId="48627AE7" w14:textId="7963F7F2" w:rsidR="005A4E34" w:rsidRPr="005A4E34" w:rsidRDefault="005A4E34" w:rsidP="005A4E34">
            <w:pPr>
              <w:spacing w:after="280" w:line="360" w:lineRule="atLeast"/>
              <w:rPr>
                <w:sz w:val="24"/>
                <w:szCs w:val="24"/>
              </w:rPr>
            </w:pPr>
            <w:r w:rsidRPr="005A4E34">
              <w:rPr>
                <w:sz w:val="24"/>
                <w:szCs w:val="24"/>
              </w:rPr>
              <w:t xml:space="preserve">You may find the below table helpful for documenting </w:t>
            </w:r>
            <w:r w:rsidR="0057595C">
              <w:rPr>
                <w:sz w:val="24"/>
                <w:szCs w:val="24"/>
              </w:rPr>
              <w:t xml:space="preserve">how </w:t>
            </w:r>
            <w:r w:rsidRPr="005A4E34">
              <w:rPr>
                <w:sz w:val="24"/>
                <w:szCs w:val="24"/>
              </w:rPr>
              <w:t>you intend to respond</w:t>
            </w:r>
            <w:r w:rsidR="0057595C">
              <w:rPr>
                <w:sz w:val="24"/>
                <w:szCs w:val="24"/>
              </w:rPr>
              <w:t>, by patient safety incident type</w:t>
            </w:r>
            <w:r w:rsidRPr="005A4E34">
              <w:rPr>
                <w:sz w:val="24"/>
                <w:szCs w:val="24"/>
              </w:rPr>
              <w:t xml:space="preserve">. </w:t>
            </w:r>
          </w:p>
          <w:p w14:paraId="7BB73109" w14:textId="4F779034" w:rsidR="005F4043" w:rsidRPr="00883454" w:rsidRDefault="005A4E34" w:rsidP="005A4E34">
            <w:pPr>
              <w:spacing w:after="280" w:line="360" w:lineRule="atLeast"/>
            </w:pPr>
            <w:r w:rsidRPr="005A4E34">
              <w:rPr>
                <w:sz w:val="24"/>
                <w:szCs w:val="24"/>
              </w:rPr>
              <w:t>When developing your plan, consider how you will use learning from each nationally required response to inform improvements. You may wish to descri</w:t>
            </w:r>
            <w:r w:rsidR="00E562FF">
              <w:rPr>
                <w:sz w:val="24"/>
                <w:szCs w:val="24"/>
              </w:rPr>
              <w:t>be this</w:t>
            </w:r>
            <w:r w:rsidRPr="005A4E34">
              <w:rPr>
                <w:sz w:val="24"/>
                <w:szCs w:val="24"/>
              </w:rPr>
              <w:t xml:space="preserve"> </w:t>
            </w:r>
            <w:r w:rsidR="007D75A6">
              <w:rPr>
                <w:sz w:val="24"/>
                <w:szCs w:val="24"/>
              </w:rPr>
              <w:t xml:space="preserve">as shown </w:t>
            </w:r>
            <w:r w:rsidRPr="005A4E34">
              <w:rPr>
                <w:sz w:val="24"/>
                <w:szCs w:val="24"/>
              </w:rPr>
              <w:t xml:space="preserve">in the table below or </w:t>
            </w:r>
            <w:r w:rsidR="003B30EB">
              <w:rPr>
                <w:sz w:val="24"/>
                <w:szCs w:val="24"/>
              </w:rPr>
              <w:t>in</w:t>
            </w:r>
            <w:r w:rsidRPr="005A4E34">
              <w:rPr>
                <w:sz w:val="24"/>
                <w:szCs w:val="24"/>
              </w:rPr>
              <w:t xml:space="preserve"> the ‘Safety action development and monitoring improvement’ and ‘Safety </w:t>
            </w:r>
            <w:r w:rsidR="00E80216" w:rsidRPr="000E1B80">
              <w:rPr>
                <w:sz w:val="24"/>
                <w:szCs w:val="24"/>
              </w:rPr>
              <w:t>i</w:t>
            </w:r>
            <w:r w:rsidRPr="000E1B80">
              <w:rPr>
                <w:sz w:val="24"/>
                <w:szCs w:val="24"/>
              </w:rPr>
              <w:t>mprovement plans’ section</w:t>
            </w:r>
            <w:r w:rsidR="00712522" w:rsidRPr="000E1B80">
              <w:rPr>
                <w:sz w:val="24"/>
                <w:szCs w:val="24"/>
              </w:rPr>
              <w:t>s</w:t>
            </w:r>
            <w:r w:rsidRPr="000E1B80">
              <w:rPr>
                <w:sz w:val="24"/>
                <w:szCs w:val="24"/>
              </w:rPr>
              <w:t xml:space="preserve"> of your </w:t>
            </w:r>
            <w:hyperlink r:id="rId26" w:history="1">
              <w:r w:rsidR="00714FE1" w:rsidRPr="000E1B80">
                <w:rPr>
                  <w:rStyle w:val="Hyperlink"/>
                  <w:sz w:val="24"/>
                  <w:szCs w:val="24"/>
                </w:rPr>
                <w:t>P</w:t>
              </w:r>
              <w:r w:rsidRPr="000E1B80">
                <w:rPr>
                  <w:rStyle w:val="Hyperlink"/>
                  <w:sz w:val="24"/>
                  <w:szCs w:val="24"/>
                </w:rPr>
                <w:t>atient safety incident response policy</w:t>
              </w:r>
            </w:hyperlink>
            <w:r w:rsidRPr="000E1B80">
              <w:rPr>
                <w:sz w:val="24"/>
                <w:szCs w:val="24"/>
              </w:rPr>
              <w:t>.</w:t>
            </w:r>
          </w:p>
        </w:tc>
      </w:tr>
    </w:tbl>
    <w:p w14:paraId="60C37890" w14:textId="2C2DE04A" w:rsidR="004F48D0" w:rsidRDefault="004F48D0" w:rsidP="001C3F72">
      <w:pPr>
        <w:spacing w:before="360" w:after="0"/>
        <w:ind w:right="-329"/>
        <w:rPr>
          <w:rFonts w:cs="Arial"/>
          <w:color w:val="000000" w:themeColor="text1"/>
        </w:rPr>
      </w:pPr>
    </w:p>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1C3F72" w14:paraId="33382185" w14:textId="77777777" w:rsidTr="001C3F72">
        <w:tc>
          <w:tcPr>
            <w:tcW w:w="3119" w:type="dxa"/>
          </w:tcPr>
          <w:p w14:paraId="49C30EF5" w14:textId="77777777" w:rsidR="001C3F72" w:rsidRPr="006174B7" w:rsidRDefault="001C3F72" w:rsidP="001C3F72">
            <w:pPr>
              <w:spacing w:before="120" w:line="360" w:lineRule="auto"/>
              <w:rPr>
                <w:rFonts w:eastAsia="Arial" w:cstheme="minorHAnsi"/>
                <w:b/>
              </w:rPr>
            </w:pPr>
            <w:r w:rsidRPr="006174B7">
              <w:rPr>
                <w:rFonts w:eastAsia="Arial" w:cstheme="minorHAnsi"/>
                <w:b/>
              </w:rPr>
              <w:t>Patient safety incident type</w:t>
            </w:r>
          </w:p>
        </w:tc>
        <w:tc>
          <w:tcPr>
            <w:tcW w:w="2977" w:type="dxa"/>
          </w:tcPr>
          <w:p w14:paraId="5B21B275" w14:textId="77777777" w:rsidR="001C3F72" w:rsidRPr="006174B7" w:rsidRDefault="001C3F72" w:rsidP="001C3F72">
            <w:pPr>
              <w:spacing w:before="120" w:line="360" w:lineRule="auto"/>
              <w:rPr>
                <w:rFonts w:eastAsia="Arial" w:cstheme="minorHAnsi"/>
                <w:b/>
              </w:rPr>
            </w:pPr>
            <w:r w:rsidRPr="006174B7">
              <w:rPr>
                <w:rFonts w:eastAsia="Arial" w:cstheme="minorHAnsi"/>
                <w:b/>
              </w:rPr>
              <w:t>R</w:t>
            </w:r>
            <w:r>
              <w:rPr>
                <w:rFonts w:eastAsia="Arial" w:cstheme="minorHAnsi"/>
                <w:b/>
              </w:rPr>
              <w:t>equired r</w:t>
            </w:r>
            <w:r w:rsidRPr="006174B7">
              <w:rPr>
                <w:rFonts w:eastAsia="Arial" w:cstheme="minorHAnsi"/>
                <w:b/>
              </w:rPr>
              <w:t xml:space="preserve">esponse </w:t>
            </w:r>
          </w:p>
        </w:tc>
        <w:tc>
          <w:tcPr>
            <w:tcW w:w="3260" w:type="dxa"/>
          </w:tcPr>
          <w:p w14:paraId="36C80A19" w14:textId="77777777" w:rsidR="001C3F72" w:rsidRPr="006174B7" w:rsidRDefault="001C3F72" w:rsidP="001C3F72">
            <w:pPr>
              <w:spacing w:before="120" w:line="240" w:lineRule="auto"/>
              <w:rPr>
                <w:rFonts w:eastAsia="Arial" w:cstheme="minorHAnsi"/>
                <w:b/>
              </w:rPr>
            </w:pPr>
            <w:r>
              <w:rPr>
                <w:rFonts w:eastAsia="Arial" w:cstheme="minorHAnsi"/>
                <w:b/>
              </w:rPr>
              <w:t>Anticipated improvement route</w:t>
            </w:r>
          </w:p>
        </w:tc>
      </w:tr>
      <w:tr w:rsidR="001C3F72" w14:paraId="3D742B48" w14:textId="77777777" w:rsidTr="001C3F72">
        <w:tc>
          <w:tcPr>
            <w:tcW w:w="3119" w:type="dxa"/>
          </w:tcPr>
          <w:p w14:paraId="1F1C71BE" w14:textId="1F15EEC2" w:rsidR="00BE117B" w:rsidRDefault="00BE117B" w:rsidP="00D11084">
            <w:r>
              <w:t xml:space="preserve">Deaths thought more likely than not due to problems in </w:t>
            </w:r>
            <w:r w:rsidR="009226E5">
              <w:t>care.</w:t>
            </w:r>
          </w:p>
          <w:p w14:paraId="0B6ACD40" w14:textId="31B116AE" w:rsidR="001C3F72" w:rsidRPr="001C3F72" w:rsidRDefault="001C3F72" w:rsidP="001C3F72">
            <w:pPr>
              <w:spacing w:after="120"/>
              <w:rPr>
                <w:rFonts w:eastAsia="Arial" w:cstheme="minorHAnsi"/>
              </w:rPr>
            </w:pPr>
          </w:p>
        </w:tc>
        <w:tc>
          <w:tcPr>
            <w:tcW w:w="2977" w:type="dxa"/>
          </w:tcPr>
          <w:p w14:paraId="1B50D33D" w14:textId="599A73B6" w:rsidR="001C3F72" w:rsidRPr="001C3F72" w:rsidRDefault="00BE117B" w:rsidP="001C3F72">
            <w:pPr>
              <w:spacing w:after="120"/>
              <w:rPr>
                <w:rFonts w:eastAsia="Arial" w:cstheme="minorHAnsi"/>
              </w:rPr>
            </w:pPr>
            <w:r>
              <w:rPr>
                <w:rFonts w:eastAsia="Arial" w:cstheme="minorHAnsi"/>
              </w:rPr>
              <w:t>Locally led PSII</w:t>
            </w:r>
          </w:p>
        </w:tc>
        <w:tc>
          <w:tcPr>
            <w:tcW w:w="3260" w:type="dxa"/>
          </w:tcPr>
          <w:p w14:paraId="06C48D7A" w14:textId="1100C80F" w:rsidR="001C3F72" w:rsidRPr="001C3F72" w:rsidRDefault="001C3F72" w:rsidP="001C3F72">
            <w:pPr>
              <w:spacing w:after="120"/>
              <w:rPr>
                <w:rFonts w:eastAsia="Arial"/>
                <w:b/>
              </w:rPr>
            </w:pPr>
            <w:r w:rsidRPr="001C3F72">
              <w:t xml:space="preserve">Create local organisational actions and feed </w:t>
            </w:r>
            <w:r w:rsidR="00D45E48">
              <w:t xml:space="preserve">these </w:t>
            </w:r>
            <w:r w:rsidRPr="001C3F72">
              <w:t xml:space="preserve">into </w:t>
            </w:r>
            <w:r w:rsidR="00D45E48">
              <w:t xml:space="preserve">the </w:t>
            </w:r>
            <w:r w:rsidRPr="001C3F72">
              <w:t>quality improvement strategy</w:t>
            </w:r>
          </w:p>
        </w:tc>
      </w:tr>
      <w:tr w:rsidR="001C3F72" w14:paraId="6326A561" w14:textId="77777777" w:rsidTr="001C3F72">
        <w:tc>
          <w:tcPr>
            <w:tcW w:w="3119" w:type="dxa"/>
          </w:tcPr>
          <w:p w14:paraId="352F2B00" w14:textId="77777777" w:rsidR="00D11084" w:rsidRDefault="00D11084" w:rsidP="00D11084">
            <w:r>
              <w:t xml:space="preserve">Never events as outlined in the 2018 guide which can be accessed </w:t>
            </w:r>
            <w:hyperlink r:id="rId27" w:history="1">
              <w:r w:rsidRPr="00206895">
                <w:rPr>
                  <w:rStyle w:val="Hyperlink"/>
                </w:rPr>
                <w:t>here</w:t>
              </w:r>
            </w:hyperlink>
          </w:p>
          <w:p w14:paraId="2CAD3835" w14:textId="6A9DA3E9" w:rsidR="001C3F72" w:rsidRPr="001C3F72" w:rsidRDefault="001C3F72" w:rsidP="001C3F72">
            <w:pPr>
              <w:spacing w:after="120"/>
              <w:rPr>
                <w:rFonts w:eastAsia="Arial" w:cstheme="minorHAnsi"/>
              </w:rPr>
            </w:pPr>
          </w:p>
        </w:tc>
        <w:tc>
          <w:tcPr>
            <w:tcW w:w="2977" w:type="dxa"/>
          </w:tcPr>
          <w:p w14:paraId="0C5214EF" w14:textId="1DA95E3C" w:rsidR="001C3F72" w:rsidRPr="001C3F72" w:rsidRDefault="00BE117B" w:rsidP="001C3F72">
            <w:pPr>
              <w:spacing w:after="120"/>
              <w:rPr>
                <w:rFonts w:eastAsia="Arial" w:cstheme="minorHAnsi"/>
              </w:rPr>
            </w:pPr>
            <w:r>
              <w:rPr>
                <w:rFonts w:eastAsia="Arial" w:cstheme="minorHAnsi"/>
              </w:rPr>
              <w:t>Locally led PSII</w:t>
            </w:r>
          </w:p>
        </w:tc>
        <w:tc>
          <w:tcPr>
            <w:tcW w:w="3260" w:type="dxa"/>
          </w:tcPr>
          <w:p w14:paraId="43F9D9D5" w14:textId="63742BCE" w:rsidR="001C3F72" w:rsidRPr="001C3F72" w:rsidRDefault="00D11084" w:rsidP="001C3F72">
            <w:pPr>
              <w:spacing w:after="120"/>
              <w:rPr>
                <w:rFonts w:eastAsia="Arial"/>
                <w:b/>
              </w:rPr>
            </w:pPr>
            <w:r w:rsidRPr="001C3F72">
              <w:t>Create local organisational actions and feed</w:t>
            </w:r>
            <w:r>
              <w:t xml:space="preserve"> these</w:t>
            </w:r>
            <w:r w:rsidRPr="001C3F72">
              <w:t xml:space="preserve"> into </w:t>
            </w:r>
            <w:r>
              <w:t xml:space="preserve">the </w:t>
            </w:r>
            <w:r w:rsidRPr="001C3F72">
              <w:t>quality improvement strategy</w:t>
            </w:r>
          </w:p>
        </w:tc>
      </w:tr>
      <w:tr w:rsidR="001C3F72" w14:paraId="19821866" w14:textId="77777777" w:rsidTr="001C3F72">
        <w:tc>
          <w:tcPr>
            <w:tcW w:w="3119" w:type="dxa"/>
          </w:tcPr>
          <w:p w14:paraId="1717E3C6" w14:textId="7ACF265E" w:rsidR="00D11084" w:rsidRPr="00DC7D91" w:rsidRDefault="00D11084" w:rsidP="00D11084">
            <w:r>
              <w:t xml:space="preserve">Deaths of patients where the Mental Capacity Act (2005) applies, where there is reason to think that the death may be linked to problems in </w:t>
            </w:r>
            <w:r w:rsidR="009226E5">
              <w:t>care.</w:t>
            </w:r>
            <w:r>
              <w:t xml:space="preserve"> </w:t>
            </w:r>
          </w:p>
          <w:p w14:paraId="5CA374BF" w14:textId="491A79C9" w:rsidR="001C3F72" w:rsidRPr="001C3F72" w:rsidRDefault="001C3F72" w:rsidP="001C3F72">
            <w:pPr>
              <w:spacing w:after="120"/>
              <w:rPr>
                <w:rFonts w:eastAsia="Arial" w:cstheme="minorHAnsi"/>
              </w:rPr>
            </w:pPr>
          </w:p>
        </w:tc>
        <w:tc>
          <w:tcPr>
            <w:tcW w:w="2977" w:type="dxa"/>
          </w:tcPr>
          <w:p w14:paraId="05C29C8E" w14:textId="0590F194" w:rsidR="001C3F72" w:rsidRPr="001C3F72" w:rsidRDefault="00BE117B" w:rsidP="001C3F72">
            <w:pPr>
              <w:spacing w:after="120"/>
              <w:rPr>
                <w:rFonts w:eastAsia="Arial" w:cstheme="minorHAnsi"/>
              </w:rPr>
            </w:pPr>
            <w:r>
              <w:rPr>
                <w:rFonts w:eastAsia="Arial" w:cstheme="minorHAnsi"/>
              </w:rPr>
              <w:t>Locally led PSII</w:t>
            </w:r>
          </w:p>
        </w:tc>
        <w:tc>
          <w:tcPr>
            <w:tcW w:w="3260" w:type="dxa"/>
          </w:tcPr>
          <w:p w14:paraId="15FCACE9" w14:textId="2761FCDE" w:rsidR="001C3F72" w:rsidRPr="001C3F72" w:rsidRDefault="00D11084" w:rsidP="001C3F72">
            <w:pPr>
              <w:spacing w:after="120"/>
              <w:rPr>
                <w:rFonts w:eastAsia="Arial"/>
              </w:rPr>
            </w:pPr>
            <w:r w:rsidRPr="001C3F72">
              <w:t>Create local organisational actions and feed</w:t>
            </w:r>
            <w:r>
              <w:t xml:space="preserve"> these</w:t>
            </w:r>
            <w:r w:rsidRPr="001C3F72">
              <w:t xml:space="preserve"> into </w:t>
            </w:r>
            <w:r>
              <w:t xml:space="preserve">the </w:t>
            </w:r>
            <w:r w:rsidRPr="001C3F72">
              <w:t>quality improvement strategy</w:t>
            </w:r>
          </w:p>
        </w:tc>
      </w:tr>
      <w:tr w:rsidR="00A56D50" w14:paraId="315D766D" w14:textId="77777777" w:rsidTr="001C3F72">
        <w:tc>
          <w:tcPr>
            <w:tcW w:w="3119" w:type="dxa"/>
          </w:tcPr>
          <w:p w14:paraId="029C2A89" w14:textId="67E174F1" w:rsidR="00A56D50" w:rsidRDefault="00A56D50" w:rsidP="00D11084">
            <w:r>
              <w:lastRenderedPageBreak/>
              <w:t>Mental health-related homicides</w:t>
            </w:r>
          </w:p>
        </w:tc>
        <w:tc>
          <w:tcPr>
            <w:tcW w:w="2977" w:type="dxa"/>
          </w:tcPr>
          <w:p w14:paraId="3C186951" w14:textId="3063915F" w:rsidR="00A56D50" w:rsidRDefault="008B0CFC" w:rsidP="001C3F72">
            <w:pPr>
              <w:spacing w:after="120"/>
              <w:rPr>
                <w:rFonts w:eastAsia="Arial" w:cstheme="minorHAnsi"/>
              </w:rPr>
            </w:pPr>
            <w:r>
              <w:t xml:space="preserve">Referred to the NHS England Regional Independent Investigation Team (RIIT) for consideration for an independent </w:t>
            </w:r>
            <w:proofErr w:type="gramStart"/>
            <w:r>
              <w:t xml:space="preserve">PSII </w:t>
            </w:r>
            <w:r w:rsidR="00F927E4">
              <w:t>.</w:t>
            </w:r>
            <w:proofErr w:type="gramEnd"/>
            <w:r w:rsidR="00F927E4">
              <w:t xml:space="preserve"> </w:t>
            </w:r>
            <w:r w:rsidR="009226E5">
              <w:t>Locally led</w:t>
            </w:r>
            <w:r>
              <w:t xml:space="preserve"> PSII may be required</w:t>
            </w:r>
          </w:p>
        </w:tc>
        <w:tc>
          <w:tcPr>
            <w:tcW w:w="3260" w:type="dxa"/>
          </w:tcPr>
          <w:p w14:paraId="0F8D0DF7" w14:textId="5007C65F" w:rsidR="00A56D50" w:rsidRPr="001C3F72" w:rsidRDefault="00F927E4" w:rsidP="001C3F72">
            <w:pPr>
              <w:spacing w:after="120"/>
            </w:pPr>
            <w:r>
              <w:t>Learning improvements indicated by NHS E</w:t>
            </w:r>
          </w:p>
        </w:tc>
      </w:tr>
      <w:tr w:rsidR="00A56D50" w14:paraId="29CFCD5F" w14:textId="77777777" w:rsidTr="001C3F72">
        <w:tc>
          <w:tcPr>
            <w:tcW w:w="3119" w:type="dxa"/>
          </w:tcPr>
          <w:p w14:paraId="45081098" w14:textId="68E035E4" w:rsidR="00A56D50" w:rsidRDefault="00D658D7" w:rsidP="00D11084">
            <w:r>
              <w:t>Child deaths</w:t>
            </w:r>
          </w:p>
        </w:tc>
        <w:tc>
          <w:tcPr>
            <w:tcW w:w="2977" w:type="dxa"/>
          </w:tcPr>
          <w:p w14:paraId="6171734E" w14:textId="30412DCE" w:rsidR="00A56D50" w:rsidRDefault="00144B10" w:rsidP="001C3F72">
            <w:pPr>
              <w:spacing w:after="120"/>
              <w:rPr>
                <w:rFonts w:eastAsia="Arial" w:cstheme="minorHAnsi"/>
              </w:rPr>
            </w:pPr>
            <w:r>
              <w:t xml:space="preserve">Refer for Child Death Overview Panel </w:t>
            </w:r>
            <w:proofErr w:type="gramStart"/>
            <w:r>
              <w:t>review</w:t>
            </w:r>
            <w:proofErr w:type="gramEnd"/>
            <w:r>
              <w:t xml:space="preserve"> Locally-led PSII (or other response) may be required alongside the panel review – organisations should liaise with the panel</w:t>
            </w:r>
          </w:p>
        </w:tc>
        <w:tc>
          <w:tcPr>
            <w:tcW w:w="3260" w:type="dxa"/>
          </w:tcPr>
          <w:p w14:paraId="58615A3D" w14:textId="73DAD708" w:rsidR="00A56D50" w:rsidRPr="001C3F72" w:rsidRDefault="00DC20C6" w:rsidP="001C3F72">
            <w:pPr>
              <w:spacing w:after="120"/>
            </w:pPr>
            <w:r>
              <w:t>Learning from panel outcome</w:t>
            </w:r>
          </w:p>
        </w:tc>
      </w:tr>
      <w:tr w:rsidR="00144B10" w14:paraId="76220C84" w14:textId="77777777" w:rsidTr="001C3F72">
        <w:tc>
          <w:tcPr>
            <w:tcW w:w="3119" w:type="dxa"/>
          </w:tcPr>
          <w:p w14:paraId="34DB7711" w14:textId="79B6E7C9" w:rsidR="00144B10" w:rsidRDefault="00144B10" w:rsidP="00D11084">
            <w:r>
              <w:t>Deaths of persons with learning disabilities</w:t>
            </w:r>
          </w:p>
        </w:tc>
        <w:tc>
          <w:tcPr>
            <w:tcW w:w="2977" w:type="dxa"/>
          </w:tcPr>
          <w:p w14:paraId="62738750" w14:textId="63CE0566" w:rsidR="00144B10" w:rsidRDefault="0033252A" w:rsidP="001C3F72">
            <w:pPr>
              <w:spacing w:after="120"/>
            </w:pPr>
            <w:r>
              <w:t>Refer for Learning Disability Mortality Review (LeDeR) Locally-led PSII (or other response) may be required alongside the LeDeR – organisations should liaise with this</w:t>
            </w:r>
          </w:p>
        </w:tc>
        <w:tc>
          <w:tcPr>
            <w:tcW w:w="3260" w:type="dxa"/>
          </w:tcPr>
          <w:p w14:paraId="051AF47D" w14:textId="5D9216BA" w:rsidR="00144B10" w:rsidRPr="001C3F72" w:rsidRDefault="00DC20C6" w:rsidP="001C3F72">
            <w:pPr>
              <w:spacing w:after="120"/>
            </w:pPr>
            <w:r>
              <w:t>Learning from LeDeR</w:t>
            </w:r>
          </w:p>
        </w:tc>
      </w:tr>
      <w:tr w:rsidR="00144B10" w14:paraId="37419F78" w14:textId="77777777" w:rsidTr="001C3F72">
        <w:tc>
          <w:tcPr>
            <w:tcW w:w="3119" w:type="dxa"/>
          </w:tcPr>
          <w:p w14:paraId="4DE3EE49" w14:textId="77777777" w:rsidR="001535D7" w:rsidRDefault="00833630" w:rsidP="00D11084">
            <w:r>
              <w:t xml:space="preserve">Safeguarding incidents in which: </w:t>
            </w:r>
          </w:p>
          <w:p w14:paraId="54D3D513" w14:textId="11DFB921" w:rsidR="004A6072" w:rsidRDefault="00833630">
            <w:pPr>
              <w:pStyle w:val="ListParagraph"/>
              <w:numPr>
                <w:ilvl w:val="0"/>
                <w:numId w:val="4"/>
              </w:numPr>
            </w:pPr>
            <w:r>
              <w:t>babies, children, or young people are on a child protection plan; looked after plan or a victim of wilful neglect or domestic abuse/</w:t>
            </w:r>
            <w:r w:rsidR="009226E5">
              <w:t>violence.</w:t>
            </w:r>
            <w:r w:rsidR="00F449D1">
              <w:t xml:space="preserve"> </w:t>
            </w:r>
          </w:p>
          <w:p w14:paraId="671E5F94" w14:textId="3E8E7C1B" w:rsidR="004A6072" w:rsidRDefault="00F449D1">
            <w:pPr>
              <w:pStyle w:val="ListParagraph"/>
              <w:numPr>
                <w:ilvl w:val="0"/>
                <w:numId w:val="4"/>
              </w:numPr>
            </w:pPr>
            <w:r>
              <w:t xml:space="preserve">adults (over 18 years old) are in receipt of care and support needs from their local </w:t>
            </w:r>
            <w:r w:rsidR="009226E5">
              <w:t>authority.</w:t>
            </w:r>
            <w:r>
              <w:t xml:space="preserve"> </w:t>
            </w:r>
          </w:p>
          <w:p w14:paraId="189D36D1" w14:textId="4EA5794B" w:rsidR="00144B10" w:rsidRDefault="00F449D1">
            <w:pPr>
              <w:pStyle w:val="ListParagraph"/>
              <w:numPr>
                <w:ilvl w:val="0"/>
                <w:numId w:val="4"/>
              </w:numPr>
            </w:pPr>
            <w:r>
              <w:t>the incident relates to FGM, Prevent (radicalisation to terrorism), modern slavery and human trafficking or domestic abuse/</w:t>
            </w:r>
            <w:r w:rsidR="009226E5">
              <w:t>violence.</w:t>
            </w:r>
          </w:p>
          <w:p w14:paraId="187DF68D" w14:textId="2ABC65E1" w:rsidR="00F449D1" w:rsidRDefault="00F449D1" w:rsidP="00D11084"/>
        </w:tc>
        <w:tc>
          <w:tcPr>
            <w:tcW w:w="2977" w:type="dxa"/>
          </w:tcPr>
          <w:p w14:paraId="33683E50" w14:textId="41E5CB9D" w:rsidR="00144B10" w:rsidRDefault="001535D7" w:rsidP="001C3F72">
            <w:pPr>
              <w:spacing w:after="120"/>
            </w:pPr>
            <w:r>
              <w:t>Refer to local authority safeguarding lead Healthcare organisations must contribute towards domestic independent inquiries, joint targeted area inspections, child safeguarding practice reviews, domestic homicide reviews and any other safeguarding reviews (and inquiries) as required to do so by the local safeguarding partnership (for children) and local safeguarding adults boards</w:t>
            </w:r>
          </w:p>
        </w:tc>
        <w:tc>
          <w:tcPr>
            <w:tcW w:w="3260" w:type="dxa"/>
          </w:tcPr>
          <w:p w14:paraId="412B5AA7" w14:textId="238E8C5B" w:rsidR="00144B10" w:rsidRPr="001C3F72" w:rsidRDefault="00DC20C6" w:rsidP="001C3F72">
            <w:pPr>
              <w:spacing w:after="120"/>
            </w:pPr>
            <w:r>
              <w:t>Learning from Serious Case review</w:t>
            </w:r>
          </w:p>
        </w:tc>
      </w:tr>
      <w:tr w:rsidR="00F927E4" w14:paraId="22B3831F" w14:textId="77777777" w:rsidTr="001C3F72">
        <w:tc>
          <w:tcPr>
            <w:tcW w:w="3119" w:type="dxa"/>
          </w:tcPr>
          <w:p w14:paraId="36C32472" w14:textId="1EA07FF3" w:rsidR="00F927E4" w:rsidRDefault="00F927E4" w:rsidP="00D11084">
            <w:r>
              <w:t>Domestic homicide</w:t>
            </w:r>
          </w:p>
        </w:tc>
        <w:tc>
          <w:tcPr>
            <w:tcW w:w="2977" w:type="dxa"/>
          </w:tcPr>
          <w:p w14:paraId="775A0127" w14:textId="48AD3521" w:rsidR="00F927E4" w:rsidRDefault="00723F81" w:rsidP="001C3F72">
            <w:pPr>
              <w:spacing w:after="120"/>
            </w:pPr>
            <w:r>
              <w:t xml:space="preserve">A domestic homicide is identified by the police usually in partnership with </w:t>
            </w:r>
            <w:r>
              <w:lastRenderedPageBreak/>
              <w:t>the community safety partnership (CSP) with whom the overall responsibility lies for establishing a review of the case</w:t>
            </w:r>
          </w:p>
        </w:tc>
        <w:tc>
          <w:tcPr>
            <w:tcW w:w="3260" w:type="dxa"/>
          </w:tcPr>
          <w:p w14:paraId="52EB29E8" w14:textId="5EE01614" w:rsidR="00F927E4" w:rsidRPr="001C3F72" w:rsidRDefault="00720753" w:rsidP="001C3F72">
            <w:pPr>
              <w:spacing w:after="120"/>
            </w:pPr>
            <w:r>
              <w:lastRenderedPageBreak/>
              <w:t xml:space="preserve">CSP </w:t>
            </w:r>
            <w:r w:rsidR="006C2720">
              <w:t>to lead and advise</w:t>
            </w:r>
          </w:p>
        </w:tc>
      </w:tr>
    </w:tbl>
    <w:p w14:paraId="24DEE4DC" w14:textId="77777777" w:rsidR="001C3F72" w:rsidRDefault="001C3F72" w:rsidP="001C3F72"/>
    <w:p w14:paraId="7702433B" w14:textId="77777777" w:rsidR="001C3F72" w:rsidRPr="00646366" w:rsidRDefault="001C3F72" w:rsidP="004F48D0">
      <w:pPr>
        <w:spacing w:after="0"/>
        <w:ind w:right="-330"/>
        <w:rPr>
          <w:rFonts w:cs="Arial"/>
          <w:color w:val="000000" w:themeColor="text1"/>
        </w:rPr>
      </w:pPr>
    </w:p>
    <w:p w14:paraId="77402BE0" w14:textId="77777777" w:rsidR="004F48D0" w:rsidRDefault="004F48D0" w:rsidP="004F48D0">
      <w:pPr>
        <w:spacing w:after="0"/>
        <w:ind w:right="-330"/>
        <w:rPr>
          <w:rFonts w:cs="Arial"/>
        </w:rPr>
        <w:sectPr w:rsidR="004F48D0" w:rsidSect="00141829">
          <w:footerReference w:type="default" r:id="rId28"/>
          <w:pgSz w:w="11906" w:h="16838"/>
          <w:pgMar w:top="1440" w:right="991" w:bottom="1440" w:left="1440" w:header="708" w:footer="708" w:gutter="0"/>
          <w:cols w:space="708"/>
          <w:docGrid w:linePitch="360"/>
        </w:sectPr>
      </w:pPr>
    </w:p>
    <w:p w14:paraId="40BC61E1" w14:textId="312DF2FF" w:rsidR="002B1C64" w:rsidRPr="002B1C64" w:rsidRDefault="001C3F72" w:rsidP="00E616D3">
      <w:pPr>
        <w:pStyle w:val="Heading1"/>
        <w:spacing w:after="280" w:line="240" w:lineRule="auto"/>
        <w:ind w:left="-284" w:right="119"/>
        <w:rPr>
          <w:b w:val="0"/>
          <w:bCs w:val="0"/>
          <w:color w:val="005EB8"/>
          <w:sz w:val="36"/>
          <w:szCs w:val="36"/>
        </w:rPr>
      </w:pPr>
      <w:r>
        <w:rPr>
          <w:b w:val="0"/>
          <w:bCs w:val="0"/>
          <w:color w:val="005EB8"/>
          <w:sz w:val="36"/>
          <w:szCs w:val="36"/>
        </w:rPr>
        <w:lastRenderedPageBreak/>
        <w:t>Our patient safety incident response plan: local focus</w:t>
      </w:r>
    </w:p>
    <w:tbl>
      <w:tblPr>
        <w:tblStyle w:val="TableGrid"/>
        <w:tblW w:w="0" w:type="auto"/>
        <w:tblInd w:w="-289" w:type="dxa"/>
        <w:shd w:val="clear" w:color="auto" w:fill="DAEEF3" w:themeFill="accent5" w:themeFillTint="33"/>
        <w:tblLook w:val="04A0" w:firstRow="1" w:lastRow="0" w:firstColumn="1" w:lastColumn="0" w:noHBand="0" w:noVBand="1"/>
      </w:tblPr>
      <w:tblGrid>
        <w:gridCol w:w="9305"/>
      </w:tblGrid>
      <w:tr w:rsidR="005C221F" w14:paraId="1966B4C2" w14:textId="77777777" w:rsidTr="003044FC">
        <w:tc>
          <w:tcPr>
            <w:tcW w:w="9305" w:type="dxa"/>
            <w:shd w:val="clear" w:color="auto" w:fill="DAEEF3" w:themeFill="accent5" w:themeFillTint="33"/>
          </w:tcPr>
          <w:p w14:paraId="65EEED3D" w14:textId="2C5B386C" w:rsidR="005C221F" w:rsidRPr="003044FC" w:rsidRDefault="005C221F" w:rsidP="00F52004">
            <w:pPr>
              <w:spacing w:before="120" w:after="280" w:line="360" w:lineRule="atLeast"/>
              <w:rPr>
                <w:b/>
                <w:bCs/>
                <w:sz w:val="24"/>
                <w:szCs w:val="24"/>
              </w:rPr>
            </w:pPr>
            <w:r w:rsidRPr="003044FC">
              <w:rPr>
                <w:b/>
                <w:bCs/>
                <w:sz w:val="24"/>
                <w:szCs w:val="24"/>
              </w:rPr>
              <w:t>Notes</w:t>
            </w:r>
          </w:p>
          <w:p w14:paraId="725863C9" w14:textId="3608DD2C" w:rsidR="004E1097" w:rsidRPr="003044FC" w:rsidRDefault="004E1097" w:rsidP="003044FC">
            <w:pPr>
              <w:spacing w:after="280" w:line="360" w:lineRule="atLeast"/>
              <w:rPr>
                <w:sz w:val="24"/>
                <w:szCs w:val="24"/>
              </w:rPr>
            </w:pPr>
            <w:r w:rsidRPr="003044FC">
              <w:rPr>
                <w:sz w:val="24"/>
                <w:szCs w:val="24"/>
              </w:rPr>
              <w:t xml:space="preserve">Determine </w:t>
            </w:r>
            <w:r w:rsidR="00926283">
              <w:rPr>
                <w:sz w:val="24"/>
                <w:szCs w:val="24"/>
              </w:rPr>
              <w:t xml:space="preserve">the </w:t>
            </w:r>
            <w:r w:rsidRPr="003044FC">
              <w:rPr>
                <w:sz w:val="24"/>
                <w:szCs w:val="24"/>
              </w:rPr>
              <w:t xml:space="preserve">appropriate response methods for the </w:t>
            </w:r>
            <w:r w:rsidR="00926283">
              <w:rPr>
                <w:sz w:val="24"/>
                <w:szCs w:val="24"/>
              </w:rPr>
              <w:t>other</w:t>
            </w:r>
            <w:r w:rsidR="00926283" w:rsidRPr="003044FC">
              <w:rPr>
                <w:sz w:val="24"/>
                <w:szCs w:val="24"/>
              </w:rPr>
              <w:t xml:space="preserve"> </w:t>
            </w:r>
            <w:r w:rsidRPr="003044FC">
              <w:rPr>
                <w:sz w:val="24"/>
                <w:szCs w:val="24"/>
              </w:rPr>
              <w:t>issues/incidents listed in ‘Defining our patient safety incident profile’</w:t>
            </w:r>
            <w:r w:rsidR="00552D55">
              <w:rPr>
                <w:sz w:val="24"/>
                <w:szCs w:val="24"/>
              </w:rPr>
              <w:t xml:space="preserve"> above.</w:t>
            </w:r>
          </w:p>
          <w:p w14:paraId="43F910FA" w14:textId="0D19B80E" w:rsidR="004E1097" w:rsidRPr="003044FC" w:rsidRDefault="004E1097" w:rsidP="003044FC">
            <w:pPr>
              <w:spacing w:after="280" w:line="360" w:lineRule="atLeast"/>
              <w:rPr>
                <w:sz w:val="24"/>
                <w:szCs w:val="24"/>
              </w:rPr>
            </w:pPr>
            <w:r w:rsidRPr="003044FC">
              <w:rPr>
                <w:sz w:val="24"/>
                <w:szCs w:val="24"/>
              </w:rPr>
              <w:t xml:space="preserve">Based on the findings from your service mapping exercise you should consider whether it is more appropriate to include one table for your organisation or to create individual tables for specific services. </w:t>
            </w:r>
          </w:p>
          <w:p w14:paraId="450D2382" w14:textId="1E87C8B4" w:rsidR="004E1097" w:rsidRPr="003044FC" w:rsidRDefault="004E1097" w:rsidP="003044FC">
            <w:pPr>
              <w:spacing w:after="280" w:line="360" w:lineRule="atLeast"/>
              <w:rPr>
                <w:sz w:val="24"/>
                <w:szCs w:val="24"/>
              </w:rPr>
            </w:pPr>
            <w:r w:rsidRPr="003044FC">
              <w:rPr>
                <w:sz w:val="24"/>
                <w:szCs w:val="24"/>
              </w:rPr>
              <w:t xml:space="preserve">Refer to </w:t>
            </w:r>
            <w:r w:rsidRPr="000E1B80">
              <w:rPr>
                <w:sz w:val="24"/>
                <w:szCs w:val="24"/>
              </w:rPr>
              <w:t xml:space="preserve">the </w:t>
            </w:r>
            <w:hyperlink r:id="rId29" w:history="1">
              <w:r w:rsidRPr="000E1B80">
                <w:rPr>
                  <w:rStyle w:val="Hyperlink"/>
                  <w:sz w:val="24"/>
                  <w:szCs w:val="24"/>
                </w:rPr>
                <w:t>Guide to responding proportionately to patient safety incidents</w:t>
              </w:r>
            </w:hyperlink>
            <w:r w:rsidRPr="000E1B80">
              <w:rPr>
                <w:sz w:val="24"/>
                <w:szCs w:val="24"/>
              </w:rPr>
              <w:t xml:space="preserve"> for</w:t>
            </w:r>
            <w:r w:rsidRPr="003044FC">
              <w:rPr>
                <w:sz w:val="24"/>
                <w:szCs w:val="24"/>
              </w:rPr>
              <w:t xml:space="preserve"> descriptions of methods to capture learning and inform improvement. </w:t>
            </w:r>
          </w:p>
          <w:p w14:paraId="24180027" w14:textId="25E77009" w:rsidR="004E1097" w:rsidRPr="003044FC" w:rsidRDefault="004E1097" w:rsidP="003044FC">
            <w:pPr>
              <w:spacing w:after="280" w:line="360" w:lineRule="atLeast"/>
              <w:rPr>
                <w:sz w:val="24"/>
                <w:szCs w:val="24"/>
              </w:rPr>
            </w:pPr>
            <w:r w:rsidRPr="003044FC">
              <w:rPr>
                <w:sz w:val="24"/>
                <w:szCs w:val="24"/>
              </w:rPr>
              <w:t xml:space="preserve">Refer to the </w:t>
            </w:r>
            <w:hyperlink r:id="rId30" w:history="1">
              <w:r w:rsidRPr="000E1B80">
                <w:rPr>
                  <w:rStyle w:val="Hyperlink"/>
                  <w:sz w:val="24"/>
                  <w:szCs w:val="24"/>
                </w:rPr>
                <w:t>PSIRF preparation guide</w:t>
              </w:r>
            </w:hyperlink>
            <w:r w:rsidRPr="003044FC">
              <w:rPr>
                <w:sz w:val="24"/>
                <w:szCs w:val="24"/>
              </w:rPr>
              <w:t xml:space="preserve"> for further detail on how to define your patient safety incident response plan. </w:t>
            </w:r>
          </w:p>
          <w:p w14:paraId="47CAAE69" w14:textId="71387A0C" w:rsidR="004E1097" w:rsidRPr="003044FC" w:rsidRDefault="004E1097" w:rsidP="003044FC">
            <w:pPr>
              <w:spacing w:after="280" w:line="360" w:lineRule="atLeast"/>
              <w:rPr>
                <w:sz w:val="24"/>
                <w:szCs w:val="24"/>
              </w:rPr>
            </w:pPr>
            <w:r w:rsidRPr="003044FC">
              <w:rPr>
                <w:sz w:val="24"/>
                <w:szCs w:val="24"/>
              </w:rPr>
              <w:t xml:space="preserve">The type of response will depend on: </w:t>
            </w:r>
          </w:p>
          <w:p w14:paraId="3FB5A62A" w14:textId="1CCB1173" w:rsidR="003819BF" w:rsidRDefault="003819BF">
            <w:pPr>
              <w:pStyle w:val="ListParagraph"/>
              <w:numPr>
                <w:ilvl w:val="0"/>
                <w:numId w:val="3"/>
              </w:numPr>
              <w:spacing w:after="50" w:line="360" w:lineRule="atLeast"/>
              <w:ind w:left="714" w:hanging="357"/>
              <w:contextualSpacing w:val="0"/>
              <w:rPr>
                <w:rFonts w:cs="Arial"/>
                <w:sz w:val="24"/>
                <w:szCs w:val="24"/>
              </w:rPr>
            </w:pPr>
            <w:r>
              <w:rPr>
                <w:rFonts w:cs="Arial"/>
                <w:sz w:val="24"/>
                <w:szCs w:val="24"/>
              </w:rPr>
              <w:t xml:space="preserve">the views of those affected, including patients and their </w:t>
            </w:r>
            <w:r w:rsidR="009226E5">
              <w:rPr>
                <w:rFonts w:cs="Arial"/>
                <w:sz w:val="24"/>
                <w:szCs w:val="24"/>
              </w:rPr>
              <w:t>families.</w:t>
            </w:r>
          </w:p>
          <w:p w14:paraId="445FD221" w14:textId="11378A5A" w:rsidR="004535EE" w:rsidRDefault="004535EE">
            <w:pPr>
              <w:pStyle w:val="ListParagraph"/>
              <w:numPr>
                <w:ilvl w:val="0"/>
                <w:numId w:val="3"/>
              </w:numPr>
              <w:spacing w:after="50" w:line="360" w:lineRule="atLeast"/>
              <w:ind w:left="714" w:hanging="357"/>
              <w:contextualSpacing w:val="0"/>
              <w:rPr>
                <w:rFonts w:cs="Arial"/>
                <w:sz w:val="24"/>
                <w:szCs w:val="24"/>
              </w:rPr>
            </w:pPr>
            <w:r>
              <w:rPr>
                <w:rFonts w:cs="Arial"/>
                <w:sz w:val="24"/>
                <w:szCs w:val="24"/>
              </w:rPr>
              <w:t xml:space="preserve">capacity available to undertake a learning </w:t>
            </w:r>
            <w:r w:rsidR="009226E5">
              <w:rPr>
                <w:rFonts w:cs="Arial"/>
                <w:sz w:val="24"/>
                <w:szCs w:val="24"/>
              </w:rPr>
              <w:t>response.</w:t>
            </w:r>
          </w:p>
          <w:p w14:paraId="79C72402" w14:textId="1EAF21F0" w:rsidR="004F755C" w:rsidRPr="003044FC" w:rsidRDefault="004F755C">
            <w:pPr>
              <w:pStyle w:val="ListParagraph"/>
              <w:numPr>
                <w:ilvl w:val="0"/>
                <w:numId w:val="3"/>
              </w:numPr>
              <w:spacing w:after="50" w:line="360" w:lineRule="atLeast"/>
              <w:ind w:left="714" w:hanging="357"/>
              <w:contextualSpacing w:val="0"/>
              <w:rPr>
                <w:rFonts w:cs="Arial"/>
                <w:sz w:val="24"/>
                <w:szCs w:val="24"/>
              </w:rPr>
            </w:pPr>
            <w:r w:rsidRPr="003044FC">
              <w:rPr>
                <w:rFonts w:cs="Arial"/>
                <w:sz w:val="24"/>
                <w:szCs w:val="24"/>
              </w:rPr>
              <w:t xml:space="preserve">what is known about the factors that lead to the incident(s) </w:t>
            </w:r>
          </w:p>
          <w:p w14:paraId="67BD64C0" w14:textId="77777777" w:rsidR="004F755C" w:rsidRPr="003044FC" w:rsidRDefault="004F755C">
            <w:pPr>
              <w:pStyle w:val="ListParagraph"/>
              <w:numPr>
                <w:ilvl w:val="0"/>
                <w:numId w:val="3"/>
              </w:numPr>
              <w:spacing w:after="50" w:line="360" w:lineRule="atLeast"/>
              <w:ind w:left="714" w:hanging="357"/>
              <w:contextualSpacing w:val="0"/>
              <w:rPr>
                <w:rFonts w:cs="Arial"/>
                <w:sz w:val="24"/>
                <w:szCs w:val="24"/>
              </w:rPr>
            </w:pPr>
            <w:r w:rsidRPr="003044FC">
              <w:rPr>
                <w:rFonts w:cs="Arial"/>
                <w:sz w:val="24"/>
                <w:szCs w:val="24"/>
              </w:rPr>
              <w:t xml:space="preserve">whether improvement work is underway to address the identified contributory factors </w:t>
            </w:r>
          </w:p>
          <w:p w14:paraId="67CEF5AF" w14:textId="77777777" w:rsidR="004F755C" w:rsidRPr="003044FC" w:rsidRDefault="004F755C">
            <w:pPr>
              <w:pStyle w:val="ListParagraph"/>
              <w:numPr>
                <w:ilvl w:val="0"/>
                <w:numId w:val="3"/>
              </w:numPr>
              <w:spacing w:after="50" w:line="360" w:lineRule="atLeast"/>
              <w:ind w:left="714" w:hanging="357"/>
              <w:contextualSpacing w:val="0"/>
              <w:rPr>
                <w:rFonts w:cs="Arial"/>
                <w:sz w:val="24"/>
                <w:szCs w:val="24"/>
              </w:rPr>
            </w:pPr>
            <w:r w:rsidRPr="003044FC">
              <w:rPr>
                <w:rFonts w:cs="Arial"/>
                <w:sz w:val="24"/>
                <w:szCs w:val="24"/>
              </w:rPr>
              <w:t>whether there is evidence that improvement work is having the intended effect/benefit</w:t>
            </w:r>
          </w:p>
          <w:p w14:paraId="09B435E9" w14:textId="367DB6D2" w:rsidR="004F755C" w:rsidRPr="003044FC" w:rsidRDefault="004F755C">
            <w:pPr>
              <w:pStyle w:val="ListParagraph"/>
              <w:numPr>
                <w:ilvl w:val="0"/>
                <w:numId w:val="3"/>
              </w:numPr>
              <w:spacing w:after="280" w:line="360" w:lineRule="atLeast"/>
              <w:ind w:left="714" w:hanging="357"/>
              <w:contextualSpacing w:val="0"/>
              <w:rPr>
                <w:rFonts w:cs="Arial"/>
                <w:sz w:val="24"/>
                <w:szCs w:val="24"/>
              </w:rPr>
            </w:pPr>
            <w:r w:rsidRPr="003044FC">
              <w:rPr>
                <w:rFonts w:cs="Arial"/>
                <w:sz w:val="24"/>
                <w:szCs w:val="24"/>
              </w:rPr>
              <w:t>if an organisation and its ICB are satisfied risks are being appropriately managed</w:t>
            </w:r>
            <w:r w:rsidR="003044FC">
              <w:rPr>
                <w:rFonts w:cs="Arial"/>
                <w:sz w:val="24"/>
                <w:szCs w:val="24"/>
              </w:rPr>
              <w:t>.</w:t>
            </w:r>
          </w:p>
          <w:p w14:paraId="6D56F6DC" w14:textId="48D98EBB" w:rsidR="003B13E4" w:rsidRPr="003044FC" w:rsidRDefault="001968F0" w:rsidP="003044FC">
            <w:pPr>
              <w:spacing w:after="280" w:line="360" w:lineRule="atLeast"/>
              <w:rPr>
                <w:sz w:val="24"/>
                <w:szCs w:val="24"/>
              </w:rPr>
            </w:pPr>
            <w:r>
              <w:rPr>
                <w:sz w:val="24"/>
                <w:szCs w:val="24"/>
              </w:rPr>
              <w:t xml:space="preserve">You should note </w:t>
            </w:r>
            <w:r w:rsidR="003B13E4" w:rsidRPr="003044FC">
              <w:rPr>
                <w:sz w:val="24"/>
                <w:szCs w:val="24"/>
              </w:rPr>
              <w:t xml:space="preserve">improvement programmes </w:t>
            </w:r>
            <w:r w:rsidR="00CE1681">
              <w:rPr>
                <w:sz w:val="24"/>
                <w:szCs w:val="24"/>
              </w:rPr>
              <w:t xml:space="preserve">that </w:t>
            </w:r>
            <w:r w:rsidR="003B13E4" w:rsidRPr="003044FC">
              <w:rPr>
                <w:sz w:val="24"/>
                <w:szCs w:val="24"/>
              </w:rPr>
              <w:t xml:space="preserve">relate to issues in your patient safety profile </w:t>
            </w:r>
            <w:r w:rsidR="00CE1681">
              <w:rPr>
                <w:sz w:val="24"/>
                <w:szCs w:val="24"/>
              </w:rPr>
              <w:t>- that is,</w:t>
            </w:r>
            <w:r w:rsidR="003B13E4" w:rsidRPr="003044FC">
              <w:rPr>
                <w:sz w:val="24"/>
                <w:szCs w:val="24"/>
              </w:rPr>
              <w:t xml:space="preserve"> be clear where there are improvement efforts</w:t>
            </w:r>
            <w:r w:rsidR="003A4621">
              <w:rPr>
                <w:sz w:val="24"/>
                <w:szCs w:val="24"/>
              </w:rPr>
              <w:t xml:space="preserve"> already underway </w:t>
            </w:r>
            <w:r w:rsidR="003B13E4" w:rsidRPr="003044FC">
              <w:rPr>
                <w:sz w:val="24"/>
                <w:szCs w:val="24"/>
              </w:rPr>
              <w:t xml:space="preserve">in relation to recognised patient safety issues to support consideration and justification of the learning response types. </w:t>
            </w:r>
          </w:p>
          <w:p w14:paraId="3C49553A" w14:textId="40635727" w:rsidR="003B13E4" w:rsidRPr="003044FC" w:rsidRDefault="003B13E4" w:rsidP="003044FC">
            <w:pPr>
              <w:spacing w:after="280" w:line="360" w:lineRule="atLeast"/>
              <w:rPr>
                <w:sz w:val="24"/>
                <w:szCs w:val="24"/>
              </w:rPr>
            </w:pPr>
            <w:r w:rsidRPr="003044FC">
              <w:rPr>
                <w:sz w:val="24"/>
                <w:szCs w:val="24"/>
              </w:rPr>
              <w:t xml:space="preserve">You may find the below table helpful for documenting </w:t>
            </w:r>
            <w:r w:rsidR="00454B10">
              <w:rPr>
                <w:sz w:val="24"/>
                <w:szCs w:val="24"/>
              </w:rPr>
              <w:t>how you</w:t>
            </w:r>
            <w:r w:rsidRPr="003044FC">
              <w:rPr>
                <w:sz w:val="24"/>
                <w:szCs w:val="24"/>
              </w:rPr>
              <w:t xml:space="preserve"> intend</w:t>
            </w:r>
            <w:r w:rsidR="00454B10">
              <w:rPr>
                <w:sz w:val="24"/>
                <w:szCs w:val="24"/>
              </w:rPr>
              <w:t xml:space="preserve"> to</w:t>
            </w:r>
            <w:r w:rsidRPr="003044FC">
              <w:rPr>
                <w:sz w:val="24"/>
                <w:szCs w:val="24"/>
              </w:rPr>
              <w:t xml:space="preserve"> respon</w:t>
            </w:r>
            <w:r w:rsidR="00454B10">
              <w:rPr>
                <w:sz w:val="24"/>
                <w:szCs w:val="24"/>
              </w:rPr>
              <w:t>d, by patient safety incident type or issue</w:t>
            </w:r>
            <w:r w:rsidRPr="003044FC">
              <w:rPr>
                <w:sz w:val="24"/>
                <w:szCs w:val="24"/>
              </w:rPr>
              <w:t>.</w:t>
            </w:r>
          </w:p>
          <w:p w14:paraId="0AF5F939" w14:textId="778C1BA9" w:rsidR="005C221F" w:rsidRPr="003044FC" w:rsidRDefault="003B13E4" w:rsidP="00F242D5">
            <w:pPr>
              <w:spacing w:after="120" w:line="360" w:lineRule="atLeast"/>
              <w:rPr>
                <w:sz w:val="24"/>
                <w:szCs w:val="24"/>
              </w:rPr>
            </w:pPr>
            <w:r w:rsidRPr="003044FC">
              <w:rPr>
                <w:sz w:val="24"/>
                <w:szCs w:val="24"/>
              </w:rPr>
              <w:lastRenderedPageBreak/>
              <w:t>When developing your plan, you should consider how you will use learning to inform improvements. You may wish to descri</w:t>
            </w:r>
            <w:r w:rsidR="00300952">
              <w:rPr>
                <w:sz w:val="24"/>
                <w:szCs w:val="24"/>
              </w:rPr>
              <w:t xml:space="preserve">be this as shown </w:t>
            </w:r>
            <w:r w:rsidRPr="003044FC">
              <w:rPr>
                <w:sz w:val="24"/>
                <w:szCs w:val="24"/>
              </w:rPr>
              <w:t xml:space="preserve">in the table below or </w:t>
            </w:r>
            <w:r w:rsidR="00300952">
              <w:rPr>
                <w:sz w:val="24"/>
                <w:szCs w:val="24"/>
              </w:rPr>
              <w:t>in</w:t>
            </w:r>
            <w:r w:rsidRPr="003044FC">
              <w:rPr>
                <w:sz w:val="24"/>
                <w:szCs w:val="24"/>
              </w:rPr>
              <w:t xml:space="preserve"> the ‘Safety action development and monitoring improvement’ and ‘Safety Improvement plans’ section</w:t>
            </w:r>
            <w:r w:rsidR="00300952">
              <w:rPr>
                <w:sz w:val="24"/>
                <w:szCs w:val="24"/>
              </w:rPr>
              <w:t>s</w:t>
            </w:r>
            <w:r w:rsidRPr="003044FC">
              <w:rPr>
                <w:sz w:val="24"/>
                <w:szCs w:val="24"/>
              </w:rPr>
              <w:t xml:space="preserve"> of </w:t>
            </w:r>
            <w:r w:rsidRPr="00332159">
              <w:rPr>
                <w:sz w:val="24"/>
                <w:szCs w:val="24"/>
              </w:rPr>
              <w:t xml:space="preserve">your </w:t>
            </w:r>
            <w:hyperlink r:id="rId31" w:history="1">
              <w:r w:rsidR="00AB6358" w:rsidRPr="00332159">
                <w:rPr>
                  <w:rStyle w:val="Hyperlink"/>
                  <w:sz w:val="24"/>
                  <w:szCs w:val="24"/>
                </w:rPr>
                <w:t>P</w:t>
              </w:r>
              <w:r w:rsidRPr="00332159">
                <w:rPr>
                  <w:rStyle w:val="Hyperlink"/>
                  <w:sz w:val="24"/>
                  <w:szCs w:val="24"/>
                </w:rPr>
                <w:t>atient safety incident response policy</w:t>
              </w:r>
            </w:hyperlink>
            <w:r w:rsidRPr="003044FC">
              <w:rPr>
                <w:sz w:val="24"/>
                <w:szCs w:val="24"/>
              </w:rPr>
              <w:t>.</w:t>
            </w:r>
          </w:p>
        </w:tc>
      </w:tr>
    </w:tbl>
    <w:p w14:paraId="43BD8D7E" w14:textId="77777777" w:rsidR="003044FC" w:rsidRDefault="003044FC" w:rsidP="003044FC"/>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3044FC" w14:paraId="5E644BFA" w14:textId="77777777" w:rsidTr="003044FC">
        <w:tc>
          <w:tcPr>
            <w:tcW w:w="3119" w:type="dxa"/>
          </w:tcPr>
          <w:p w14:paraId="59E9E34E" w14:textId="77777777" w:rsidR="003044FC" w:rsidRPr="006174B7" w:rsidRDefault="003044FC" w:rsidP="000F1E9E">
            <w:pPr>
              <w:spacing w:line="240" w:lineRule="auto"/>
              <w:rPr>
                <w:rFonts w:eastAsia="Arial" w:cstheme="minorHAnsi"/>
                <w:b/>
              </w:rPr>
            </w:pPr>
            <w:r w:rsidRPr="006174B7">
              <w:rPr>
                <w:rFonts w:eastAsia="Arial" w:cstheme="minorHAnsi"/>
                <w:b/>
              </w:rPr>
              <w:t>Patient safety incident type</w:t>
            </w:r>
            <w:r>
              <w:rPr>
                <w:rFonts w:eastAsia="Arial" w:cstheme="minorHAnsi"/>
                <w:b/>
              </w:rPr>
              <w:t xml:space="preserve"> or issue </w:t>
            </w:r>
          </w:p>
        </w:tc>
        <w:tc>
          <w:tcPr>
            <w:tcW w:w="2977" w:type="dxa"/>
          </w:tcPr>
          <w:p w14:paraId="7CC1FA94" w14:textId="77777777" w:rsidR="003044FC" w:rsidRPr="006174B7" w:rsidRDefault="003044FC" w:rsidP="000F1E9E">
            <w:pPr>
              <w:spacing w:line="240" w:lineRule="auto"/>
              <w:rPr>
                <w:rFonts w:eastAsia="Arial"/>
                <w:b/>
              </w:rPr>
            </w:pPr>
            <w:r w:rsidRPr="547991BC">
              <w:rPr>
                <w:rFonts w:eastAsia="Arial"/>
                <w:b/>
                <w:bCs/>
              </w:rPr>
              <w:t xml:space="preserve">Planned response </w:t>
            </w:r>
          </w:p>
        </w:tc>
        <w:tc>
          <w:tcPr>
            <w:tcW w:w="3260" w:type="dxa"/>
          </w:tcPr>
          <w:p w14:paraId="38B6F867" w14:textId="77777777" w:rsidR="003044FC" w:rsidRPr="006174B7" w:rsidRDefault="003044FC" w:rsidP="000F1E9E">
            <w:pPr>
              <w:spacing w:line="240" w:lineRule="auto"/>
              <w:rPr>
                <w:rFonts w:eastAsia="Arial" w:cstheme="minorHAnsi"/>
                <w:b/>
              </w:rPr>
            </w:pPr>
            <w:r>
              <w:rPr>
                <w:rFonts w:eastAsia="Arial" w:cstheme="minorHAnsi"/>
                <w:b/>
              </w:rPr>
              <w:t>Anticipated i</w:t>
            </w:r>
            <w:r w:rsidRPr="006174B7">
              <w:rPr>
                <w:rFonts w:eastAsia="Arial" w:cstheme="minorHAnsi"/>
                <w:b/>
              </w:rPr>
              <w:t xml:space="preserve">mprovement </w:t>
            </w:r>
            <w:r>
              <w:rPr>
                <w:rFonts w:eastAsia="Arial" w:cstheme="minorHAnsi"/>
                <w:b/>
              </w:rPr>
              <w:t>route</w:t>
            </w:r>
          </w:p>
        </w:tc>
      </w:tr>
      <w:tr w:rsidR="003044FC" w14:paraId="323A56C9" w14:textId="77777777" w:rsidTr="003044FC">
        <w:tc>
          <w:tcPr>
            <w:tcW w:w="3119" w:type="dxa"/>
          </w:tcPr>
          <w:p w14:paraId="48C39760" w14:textId="73A23B8B" w:rsidR="003044FC" w:rsidRPr="00BA3E3A" w:rsidRDefault="00723F81" w:rsidP="003044FC">
            <w:pPr>
              <w:rPr>
                <w:rFonts w:eastAsia="Arial" w:cstheme="minorHAnsi"/>
              </w:rPr>
            </w:pPr>
            <w:r>
              <w:rPr>
                <w:rFonts w:eastAsia="Arial" w:cstheme="minorHAnsi"/>
                <w:bCs/>
              </w:rPr>
              <w:t xml:space="preserve">Pressure ulcer 3,4 </w:t>
            </w:r>
            <w:r w:rsidR="00B27D10">
              <w:rPr>
                <w:rFonts w:eastAsia="Arial" w:cstheme="minorHAnsi"/>
                <w:bCs/>
              </w:rPr>
              <w:t>not present on admission</w:t>
            </w:r>
          </w:p>
        </w:tc>
        <w:tc>
          <w:tcPr>
            <w:tcW w:w="2977" w:type="dxa"/>
          </w:tcPr>
          <w:p w14:paraId="12932AC0" w14:textId="46568773" w:rsidR="003044FC" w:rsidRPr="00BA3E3A" w:rsidRDefault="00723F81" w:rsidP="003044FC">
            <w:pPr>
              <w:rPr>
                <w:rFonts w:eastAsia="Arial" w:cstheme="minorHAnsi"/>
              </w:rPr>
            </w:pPr>
            <w:r>
              <w:rPr>
                <w:rFonts w:eastAsia="Arial" w:cstheme="minorHAnsi"/>
                <w:bCs/>
              </w:rPr>
              <w:t xml:space="preserve">6 monthly </w:t>
            </w:r>
            <w:proofErr w:type="gramStart"/>
            <w:r>
              <w:rPr>
                <w:rFonts w:eastAsia="Arial" w:cstheme="minorHAnsi"/>
                <w:bCs/>
              </w:rPr>
              <w:t>report</w:t>
            </w:r>
            <w:proofErr w:type="gramEnd"/>
            <w:r>
              <w:rPr>
                <w:rFonts w:eastAsia="Arial" w:cstheme="minorHAnsi"/>
                <w:bCs/>
              </w:rPr>
              <w:t xml:space="preserve"> discussed at CGC. CI no longer indicated</w:t>
            </w:r>
          </w:p>
        </w:tc>
        <w:tc>
          <w:tcPr>
            <w:tcW w:w="3260" w:type="dxa"/>
          </w:tcPr>
          <w:p w14:paraId="32DBB84E" w14:textId="32D25A3A" w:rsidR="003044FC" w:rsidRPr="003044FC" w:rsidRDefault="004144D2" w:rsidP="003044FC">
            <w:pPr>
              <w:rPr>
                <w:rFonts w:eastAsia="Arial"/>
              </w:rPr>
            </w:pPr>
            <w:r>
              <w:rPr>
                <w:rFonts w:eastAsia="Arial"/>
              </w:rPr>
              <w:t xml:space="preserve">Inform ongoing improvement work within the local system including </w:t>
            </w:r>
            <w:r w:rsidR="00880FE1">
              <w:rPr>
                <w:rFonts w:eastAsia="Arial"/>
              </w:rPr>
              <w:t>joint work with other partners</w:t>
            </w:r>
          </w:p>
        </w:tc>
      </w:tr>
      <w:tr w:rsidR="003044FC" w14:paraId="441EC758" w14:textId="77777777" w:rsidTr="003044FC">
        <w:tc>
          <w:tcPr>
            <w:tcW w:w="3119" w:type="dxa"/>
          </w:tcPr>
          <w:p w14:paraId="03203DAE" w14:textId="5C81C602" w:rsidR="003044FC" w:rsidRPr="00BA3E3A" w:rsidRDefault="001A3EDC" w:rsidP="003044FC">
            <w:pPr>
              <w:rPr>
                <w:rFonts w:eastAsia="Arial" w:cstheme="minorHAnsi"/>
              </w:rPr>
            </w:pPr>
            <w:r>
              <w:rPr>
                <w:rFonts w:eastAsia="Arial" w:cstheme="minorHAnsi"/>
                <w:bCs/>
              </w:rPr>
              <w:t>Medication error/prescribing error</w:t>
            </w:r>
          </w:p>
        </w:tc>
        <w:tc>
          <w:tcPr>
            <w:tcW w:w="2977" w:type="dxa"/>
          </w:tcPr>
          <w:p w14:paraId="06EAFBD4" w14:textId="099918E0" w:rsidR="003044FC" w:rsidRPr="00BA3E3A" w:rsidRDefault="00291A44" w:rsidP="003044FC">
            <w:pPr>
              <w:rPr>
                <w:rFonts w:eastAsia="Arial" w:cstheme="minorHAnsi"/>
              </w:rPr>
            </w:pPr>
            <w:r>
              <w:rPr>
                <w:rFonts w:eastAsia="Arial" w:cstheme="minorHAnsi"/>
                <w:bCs/>
              </w:rPr>
              <w:t>MDT review</w:t>
            </w:r>
            <w:r w:rsidR="00817571">
              <w:rPr>
                <w:rFonts w:eastAsia="Arial" w:cstheme="minorHAnsi"/>
                <w:bCs/>
              </w:rPr>
              <w:t>/AAR</w:t>
            </w:r>
            <w:r>
              <w:rPr>
                <w:rFonts w:eastAsia="Arial" w:cstheme="minorHAnsi"/>
                <w:bCs/>
              </w:rPr>
              <w:t xml:space="preserve"> of SEIPS</w:t>
            </w:r>
            <w:r w:rsidR="00F54A44">
              <w:rPr>
                <w:rFonts w:eastAsia="Arial" w:cstheme="minorHAnsi"/>
                <w:bCs/>
              </w:rPr>
              <w:t xml:space="preserve"> style</w:t>
            </w:r>
            <w:r w:rsidR="0081629F">
              <w:rPr>
                <w:rFonts w:eastAsia="Arial" w:cstheme="minorHAnsi"/>
                <w:bCs/>
              </w:rPr>
              <w:t xml:space="preserve"> local</w:t>
            </w:r>
            <w:r>
              <w:rPr>
                <w:rFonts w:eastAsia="Arial" w:cstheme="minorHAnsi"/>
                <w:bCs/>
              </w:rPr>
              <w:t xml:space="preserve"> investigation</w:t>
            </w:r>
          </w:p>
        </w:tc>
        <w:tc>
          <w:tcPr>
            <w:tcW w:w="3260" w:type="dxa"/>
          </w:tcPr>
          <w:p w14:paraId="7FCBAFA8" w14:textId="4D5D5CE4" w:rsidR="003044FC" w:rsidRPr="003044FC" w:rsidRDefault="004144D2" w:rsidP="003044FC">
            <w:pPr>
              <w:rPr>
                <w:rFonts w:eastAsia="Arial"/>
              </w:rPr>
            </w:pPr>
            <w:r>
              <w:rPr>
                <w:rFonts w:eastAsia="Arial"/>
              </w:rPr>
              <w:t>C</w:t>
            </w:r>
            <w:r w:rsidRPr="003044FC">
              <w:rPr>
                <w:rFonts w:eastAsia="Arial"/>
              </w:rPr>
              <w:t xml:space="preserve">reate local safety actions and feed </w:t>
            </w:r>
            <w:r>
              <w:rPr>
                <w:rFonts w:eastAsia="Arial"/>
              </w:rPr>
              <w:t xml:space="preserve">these </w:t>
            </w:r>
            <w:r w:rsidRPr="003044FC">
              <w:rPr>
                <w:rFonts w:eastAsia="Arial"/>
              </w:rPr>
              <w:t xml:space="preserve">into </w:t>
            </w:r>
            <w:r>
              <w:rPr>
                <w:rFonts w:eastAsia="Arial"/>
              </w:rPr>
              <w:t xml:space="preserve">the </w:t>
            </w:r>
            <w:r w:rsidRPr="003044FC">
              <w:rPr>
                <w:rFonts w:eastAsia="Arial"/>
              </w:rPr>
              <w:t>quality improvement strategy...</w:t>
            </w:r>
          </w:p>
        </w:tc>
      </w:tr>
      <w:tr w:rsidR="00291A44" w14:paraId="572EE07E" w14:textId="77777777" w:rsidTr="003044FC">
        <w:tc>
          <w:tcPr>
            <w:tcW w:w="3119" w:type="dxa"/>
          </w:tcPr>
          <w:p w14:paraId="76E6448D" w14:textId="25D32E76" w:rsidR="00291A44" w:rsidRDefault="00291A44" w:rsidP="003044FC">
            <w:pPr>
              <w:rPr>
                <w:rFonts w:eastAsia="Arial" w:cstheme="minorHAnsi"/>
                <w:bCs/>
              </w:rPr>
            </w:pPr>
            <w:r>
              <w:rPr>
                <w:rFonts w:eastAsia="Arial" w:cstheme="minorHAnsi"/>
                <w:bCs/>
              </w:rPr>
              <w:t>Information Governance</w:t>
            </w:r>
            <w:r w:rsidR="004144D2">
              <w:rPr>
                <w:rFonts w:eastAsia="Arial" w:cstheme="minorHAnsi"/>
                <w:bCs/>
              </w:rPr>
              <w:t xml:space="preserve"> patient safety incidents</w:t>
            </w:r>
          </w:p>
        </w:tc>
        <w:tc>
          <w:tcPr>
            <w:tcW w:w="2977" w:type="dxa"/>
          </w:tcPr>
          <w:p w14:paraId="76E7C767" w14:textId="77777777" w:rsidR="00E0446A" w:rsidRDefault="00CC10BE" w:rsidP="003044FC">
            <w:r>
              <w:rPr>
                <w:rFonts w:eastAsia="Arial" w:cstheme="minorHAnsi"/>
                <w:bCs/>
              </w:rPr>
              <w:t xml:space="preserve">After Action </w:t>
            </w:r>
            <w:proofErr w:type="gramStart"/>
            <w:r>
              <w:rPr>
                <w:rFonts w:eastAsia="Arial" w:cstheme="minorHAnsi"/>
                <w:bCs/>
              </w:rPr>
              <w:t>review</w:t>
            </w:r>
            <w:r w:rsidR="00E0446A">
              <w:t xml:space="preserve">  -</w:t>
            </w:r>
            <w:proofErr w:type="gramEnd"/>
            <w:r w:rsidR="00E0446A">
              <w:t xml:space="preserve"> It is based around four questions: </w:t>
            </w:r>
          </w:p>
          <w:p w14:paraId="207FF003" w14:textId="77777777" w:rsidR="00E0446A" w:rsidRDefault="00E0446A" w:rsidP="003044FC">
            <w:r>
              <w:t xml:space="preserve">What was the expected outcome/expected to happen? </w:t>
            </w:r>
          </w:p>
          <w:p w14:paraId="6AD7AE5B" w14:textId="77777777" w:rsidR="00E0446A" w:rsidRDefault="00E0446A" w:rsidP="003044FC">
            <w:r>
              <w:t xml:space="preserve">What was the actual outcome/what </w:t>
            </w:r>
            <w:proofErr w:type="gramStart"/>
            <w:r>
              <w:t>actually happened</w:t>
            </w:r>
            <w:proofErr w:type="gramEnd"/>
            <w:r>
              <w:t xml:space="preserve">? </w:t>
            </w:r>
          </w:p>
          <w:p w14:paraId="74E7C3DC" w14:textId="6727543E" w:rsidR="00291A44" w:rsidRDefault="00E0446A" w:rsidP="003044FC">
            <w:r>
              <w:t>What was the difference between the expected outcome and the event?</w:t>
            </w:r>
          </w:p>
          <w:p w14:paraId="7AE0BDF8" w14:textId="07EE9F10" w:rsidR="00E0446A" w:rsidRPr="00E0446A" w:rsidRDefault="00E0446A" w:rsidP="003044FC">
            <w:pPr>
              <w:rPr>
                <w:rFonts w:eastAsia="Arial" w:cstheme="minorHAnsi"/>
                <w:bCs/>
              </w:rPr>
            </w:pPr>
            <w:r>
              <w:t>What was the learning?</w:t>
            </w:r>
            <w:r w:rsidR="00C70DCF">
              <w:rPr>
                <w:rFonts w:eastAsia="Arial" w:cstheme="minorHAnsi"/>
                <w:bCs/>
              </w:rPr>
              <w:t xml:space="preserve"> Using a </w:t>
            </w:r>
            <w:proofErr w:type="gramStart"/>
            <w:r w:rsidR="00C70DCF">
              <w:rPr>
                <w:rFonts w:eastAsia="Arial" w:cstheme="minorHAnsi"/>
                <w:bCs/>
              </w:rPr>
              <w:t>system based</w:t>
            </w:r>
            <w:proofErr w:type="gramEnd"/>
            <w:r w:rsidR="00C70DCF">
              <w:rPr>
                <w:rFonts w:eastAsia="Arial" w:cstheme="minorHAnsi"/>
                <w:bCs/>
              </w:rPr>
              <w:t xml:space="preserve"> approach such as SEIPS</w:t>
            </w:r>
          </w:p>
        </w:tc>
        <w:tc>
          <w:tcPr>
            <w:tcW w:w="3260" w:type="dxa"/>
          </w:tcPr>
          <w:p w14:paraId="1AE4D0E7" w14:textId="4BF74637" w:rsidR="00291A44" w:rsidRPr="003044FC" w:rsidRDefault="00880FE1" w:rsidP="003044FC">
            <w:pPr>
              <w:rPr>
                <w:rFonts w:eastAsia="Arial"/>
              </w:rPr>
            </w:pPr>
            <w:r>
              <w:rPr>
                <w:rFonts w:eastAsia="Arial"/>
              </w:rPr>
              <w:t>C</w:t>
            </w:r>
            <w:r w:rsidRPr="003044FC">
              <w:rPr>
                <w:rFonts w:eastAsia="Arial"/>
              </w:rPr>
              <w:t xml:space="preserve">reate local safety actions and feed </w:t>
            </w:r>
            <w:r>
              <w:rPr>
                <w:rFonts w:eastAsia="Arial"/>
              </w:rPr>
              <w:t xml:space="preserve">these </w:t>
            </w:r>
            <w:r w:rsidRPr="003044FC">
              <w:rPr>
                <w:rFonts w:eastAsia="Arial"/>
              </w:rPr>
              <w:t xml:space="preserve">into </w:t>
            </w:r>
            <w:r>
              <w:rPr>
                <w:rFonts w:eastAsia="Arial"/>
              </w:rPr>
              <w:t xml:space="preserve">the </w:t>
            </w:r>
            <w:r w:rsidRPr="003044FC">
              <w:rPr>
                <w:rFonts w:eastAsia="Arial"/>
              </w:rPr>
              <w:t>quality improvement strategy...</w:t>
            </w:r>
          </w:p>
        </w:tc>
      </w:tr>
      <w:tr w:rsidR="003044FC" w14:paraId="0C84F6F7" w14:textId="77777777" w:rsidTr="003044FC">
        <w:tc>
          <w:tcPr>
            <w:tcW w:w="3119" w:type="dxa"/>
          </w:tcPr>
          <w:p w14:paraId="6BD24751" w14:textId="03A1F1D4" w:rsidR="003044FC" w:rsidRPr="00BA3E3A" w:rsidRDefault="00810EA6" w:rsidP="003044FC">
            <w:pPr>
              <w:rPr>
                <w:rFonts w:eastAsia="Arial" w:cstheme="minorHAnsi"/>
              </w:rPr>
            </w:pPr>
            <w:r>
              <w:rPr>
                <w:rFonts w:eastAsia="Arial" w:cstheme="minorHAnsi"/>
                <w:bCs/>
              </w:rPr>
              <w:t>Patient safety incident resulting from clinical care</w:t>
            </w:r>
            <w:r w:rsidR="00B17C9E">
              <w:rPr>
                <w:rFonts w:eastAsia="Arial" w:cstheme="minorHAnsi"/>
                <w:bCs/>
              </w:rPr>
              <w:t>, delayed/wrong diagnosis or delayed referral</w:t>
            </w:r>
          </w:p>
        </w:tc>
        <w:tc>
          <w:tcPr>
            <w:tcW w:w="2977" w:type="dxa"/>
          </w:tcPr>
          <w:p w14:paraId="7D06F225" w14:textId="5A58849D" w:rsidR="003044FC" w:rsidRPr="00BA3E3A" w:rsidRDefault="00291A44" w:rsidP="003044FC">
            <w:pPr>
              <w:rPr>
                <w:rFonts w:eastAsia="Arial" w:cstheme="minorHAnsi"/>
              </w:rPr>
            </w:pPr>
            <w:r>
              <w:rPr>
                <w:rFonts w:eastAsia="Arial" w:cstheme="minorHAnsi"/>
              </w:rPr>
              <w:t>Swarm huddle/MDT review</w:t>
            </w:r>
            <w:r w:rsidR="00B17C9E">
              <w:rPr>
                <w:rFonts w:eastAsia="Arial" w:cstheme="minorHAnsi"/>
              </w:rPr>
              <w:t xml:space="preserve"> or AAR</w:t>
            </w:r>
          </w:p>
        </w:tc>
        <w:tc>
          <w:tcPr>
            <w:tcW w:w="3260" w:type="dxa"/>
          </w:tcPr>
          <w:p w14:paraId="0E84823C" w14:textId="5A7F14FD" w:rsidR="003044FC" w:rsidRPr="003044FC" w:rsidRDefault="00880FE1" w:rsidP="003044FC">
            <w:pPr>
              <w:rPr>
                <w:rFonts w:eastAsia="Arial"/>
              </w:rPr>
            </w:pPr>
            <w:r>
              <w:rPr>
                <w:rFonts w:eastAsia="Arial"/>
              </w:rPr>
              <w:t>C</w:t>
            </w:r>
            <w:r w:rsidRPr="003044FC">
              <w:rPr>
                <w:rFonts w:eastAsia="Arial"/>
              </w:rPr>
              <w:t xml:space="preserve">reate local safety actions and feed </w:t>
            </w:r>
            <w:r>
              <w:rPr>
                <w:rFonts w:eastAsia="Arial"/>
              </w:rPr>
              <w:t xml:space="preserve">these </w:t>
            </w:r>
            <w:r w:rsidRPr="003044FC">
              <w:rPr>
                <w:rFonts w:eastAsia="Arial"/>
              </w:rPr>
              <w:t xml:space="preserve">into </w:t>
            </w:r>
            <w:r>
              <w:rPr>
                <w:rFonts w:eastAsia="Arial"/>
              </w:rPr>
              <w:t xml:space="preserve">the </w:t>
            </w:r>
            <w:r w:rsidRPr="003044FC">
              <w:rPr>
                <w:rFonts w:eastAsia="Arial"/>
              </w:rPr>
              <w:t>quality improvement strategy...</w:t>
            </w:r>
          </w:p>
        </w:tc>
      </w:tr>
    </w:tbl>
    <w:p w14:paraId="01C4F858" w14:textId="7E9FE150" w:rsidR="005C221F" w:rsidRDefault="005C221F" w:rsidP="00F52004">
      <w:pPr>
        <w:rPr>
          <w:rFonts w:eastAsiaTheme="majorEastAsia" w:cstheme="majorBidi"/>
          <w:b/>
          <w:bCs/>
          <w:color w:val="365F91" w:themeColor="accent1" w:themeShade="BF"/>
          <w:sz w:val="28"/>
          <w:szCs w:val="28"/>
        </w:rPr>
      </w:pPr>
    </w:p>
    <w:p w14:paraId="42AE82D3" w14:textId="49D1F6D4" w:rsidR="000425D1" w:rsidRDefault="000425D1" w:rsidP="00F52004">
      <w:pPr>
        <w:rPr>
          <w:rFonts w:ascii="Cambria" w:hAnsi="Cambria"/>
          <w:color w:val="212121"/>
          <w:sz w:val="26"/>
          <w:szCs w:val="26"/>
          <w:shd w:val="clear" w:color="auto" w:fill="FFFFFF"/>
        </w:rPr>
      </w:pPr>
      <w:r w:rsidRPr="000425D1">
        <w:rPr>
          <w:rFonts w:ascii="Cambria" w:hAnsi="Cambria"/>
          <w:color w:val="212121"/>
          <w:sz w:val="26"/>
          <w:szCs w:val="26"/>
          <w:shd w:val="clear" w:color="auto" w:fill="FFFFFF"/>
        </w:rPr>
        <w:t xml:space="preserve">Carayon P, Hundt AS, Karsch B-T, </w:t>
      </w:r>
      <w:proofErr w:type="gramStart"/>
      <w:r w:rsidRPr="000425D1">
        <w:rPr>
          <w:rFonts w:ascii="Cambria" w:hAnsi="Cambria"/>
          <w:color w:val="212121"/>
          <w:sz w:val="26"/>
          <w:szCs w:val="26"/>
          <w:shd w:val="clear" w:color="auto" w:fill="FFFFFF"/>
        </w:rPr>
        <w:t>et al..</w:t>
      </w:r>
      <w:proofErr w:type="gramEnd"/>
      <w:r w:rsidRPr="000425D1">
        <w:rPr>
          <w:rFonts w:ascii="Cambria" w:hAnsi="Cambria"/>
          <w:color w:val="212121"/>
          <w:sz w:val="26"/>
          <w:szCs w:val="26"/>
          <w:shd w:val="clear" w:color="auto" w:fill="FFFFFF"/>
        </w:rPr>
        <w:t> Work system design for patient safety: the SEIPS model. </w:t>
      </w:r>
      <w:r w:rsidRPr="000425D1">
        <w:rPr>
          <w:rFonts w:ascii="Cambria" w:hAnsi="Cambria"/>
          <w:i/>
          <w:iCs/>
          <w:color w:val="212121"/>
          <w:sz w:val="26"/>
          <w:szCs w:val="26"/>
          <w:shd w:val="clear" w:color="auto" w:fill="FFFFFF"/>
        </w:rPr>
        <w:t>BMJ Qual Saf</w:t>
      </w:r>
      <w:r w:rsidRPr="000425D1">
        <w:rPr>
          <w:rFonts w:ascii="Cambria" w:hAnsi="Cambria"/>
          <w:color w:val="212121"/>
          <w:sz w:val="26"/>
          <w:szCs w:val="26"/>
          <w:shd w:val="clear" w:color="auto" w:fill="FFFFFF"/>
        </w:rPr>
        <w:t> 2006;</w:t>
      </w:r>
      <w:proofErr w:type="gramStart"/>
      <w:r w:rsidRPr="000425D1">
        <w:rPr>
          <w:rFonts w:ascii="Cambria" w:hAnsi="Cambria"/>
          <w:color w:val="212121"/>
          <w:sz w:val="26"/>
          <w:szCs w:val="26"/>
          <w:shd w:val="clear" w:color="auto" w:fill="FFFFFF"/>
        </w:rPr>
        <w:t>15:i</w:t>
      </w:r>
      <w:proofErr w:type="gramEnd"/>
      <w:r w:rsidRPr="000425D1">
        <w:rPr>
          <w:rFonts w:ascii="Cambria" w:hAnsi="Cambria"/>
          <w:color w:val="212121"/>
          <w:sz w:val="26"/>
          <w:szCs w:val="26"/>
          <w:shd w:val="clear" w:color="auto" w:fill="FFFFFF"/>
        </w:rPr>
        <w:t>50–i58. [</w:t>
      </w:r>
      <w:hyperlink r:id="rId32" w:history="1">
        <w:r w:rsidRPr="000425D1">
          <w:rPr>
            <w:rFonts w:ascii="Cambria" w:hAnsi="Cambria"/>
            <w:color w:val="376FAA"/>
            <w:sz w:val="26"/>
            <w:szCs w:val="26"/>
            <w:u w:val="single"/>
          </w:rPr>
          <w:t>PMC free article</w:t>
        </w:r>
      </w:hyperlink>
      <w:r w:rsidRPr="000425D1">
        <w:rPr>
          <w:rFonts w:ascii="Cambria" w:hAnsi="Cambria"/>
          <w:color w:val="212121"/>
          <w:sz w:val="26"/>
          <w:szCs w:val="26"/>
          <w:shd w:val="clear" w:color="auto" w:fill="FFFFFF"/>
        </w:rPr>
        <w:t>] [</w:t>
      </w:r>
      <w:hyperlink r:id="rId33" w:history="1">
        <w:r w:rsidRPr="000425D1">
          <w:rPr>
            <w:rFonts w:ascii="Cambria" w:hAnsi="Cambria"/>
            <w:color w:val="376FAA"/>
            <w:sz w:val="26"/>
            <w:szCs w:val="26"/>
            <w:u w:val="single"/>
            <w:shd w:val="clear" w:color="auto" w:fill="FFFFFF"/>
          </w:rPr>
          <w:t>PubMed</w:t>
        </w:r>
      </w:hyperlink>
      <w:r w:rsidRPr="000425D1">
        <w:rPr>
          <w:rFonts w:ascii="Cambria" w:hAnsi="Cambria"/>
          <w:color w:val="212121"/>
          <w:sz w:val="26"/>
          <w:szCs w:val="26"/>
          <w:shd w:val="clear" w:color="auto" w:fill="FFFFFF"/>
        </w:rPr>
        <w:t>] [</w:t>
      </w:r>
      <w:hyperlink r:id="rId34" w:tgtFrame="_blank" w:history="1">
        <w:r w:rsidRPr="000425D1">
          <w:rPr>
            <w:rFonts w:ascii="Cambria" w:hAnsi="Cambria"/>
            <w:color w:val="205493"/>
            <w:sz w:val="26"/>
            <w:szCs w:val="26"/>
            <w:u w:val="single"/>
          </w:rPr>
          <w:t>Google Scholar</w:t>
        </w:r>
      </w:hyperlink>
      <w:r w:rsidRPr="000425D1">
        <w:rPr>
          <w:rFonts w:ascii="Cambria" w:hAnsi="Cambria"/>
          <w:color w:val="212121"/>
          <w:sz w:val="26"/>
          <w:szCs w:val="26"/>
          <w:shd w:val="clear" w:color="auto" w:fill="FFFFFF"/>
        </w:rPr>
        <w:t>]</w:t>
      </w:r>
    </w:p>
    <w:p w14:paraId="6EC0F03C" w14:textId="77777777" w:rsidR="00D0360C" w:rsidRDefault="00D0360C" w:rsidP="00F52004">
      <w:pPr>
        <w:rPr>
          <w:rFonts w:ascii="Cambria" w:hAnsi="Cambria"/>
          <w:color w:val="212121"/>
          <w:sz w:val="26"/>
          <w:szCs w:val="26"/>
          <w:shd w:val="clear" w:color="auto" w:fill="FFFFFF"/>
        </w:rPr>
      </w:pPr>
    </w:p>
    <w:p w14:paraId="49531CEB" w14:textId="77777777" w:rsidR="002160E8" w:rsidRDefault="00D0360C" w:rsidP="00F52004">
      <w:pPr>
        <w:rPr>
          <w:rFonts w:cs="Arial"/>
          <w:b/>
          <w:bCs/>
          <w:color w:val="212121"/>
          <w:shd w:val="clear" w:color="auto" w:fill="FFFFFF"/>
        </w:rPr>
      </w:pPr>
      <w:r w:rsidRPr="007F4D74">
        <w:rPr>
          <w:rFonts w:cs="Arial"/>
          <w:b/>
          <w:bCs/>
          <w:color w:val="212121"/>
          <w:shd w:val="clear" w:color="auto" w:fill="FFFFFF"/>
        </w:rPr>
        <w:t xml:space="preserve">Training for </w:t>
      </w:r>
      <w:r w:rsidR="007F4D74" w:rsidRPr="007F4D74">
        <w:rPr>
          <w:rFonts w:cs="Arial"/>
          <w:b/>
          <w:bCs/>
          <w:color w:val="212121"/>
          <w:shd w:val="clear" w:color="auto" w:fill="FFFFFF"/>
        </w:rPr>
        <w:t>PSIRF</w:t>
      </w:r>
      <w:r w:rsidR="007F4D74">
        <w:rPr>
          <w:rFonts w:cs="Arial"/>
          <w:b/>
          <w:bCs/>
          <w:color w:val="212121"/>
          <w:shd w:val="clear" w:color="auto" w:fill="FFFFFF"/>
        </w:rPr>
        <w:t xml:space="preserve"> and patient safety</w:t>
      </w:r>
    </w:p>
    <w:p w14:paraId="2D397E70" w14:textId="5018CB2B" w:rsidR="00D0360C" w:rsidRDefault="002160E8" w:rsidP="00F52004">
      <w:pPr>
        <w:rPr>
          <w:rFonts w:cs="Arial"/>
          <w:color w:val="000000"/>
          <w:shd w:val="clear" w:color="auto" w:fill="FFFFFF"/>
        </w:rPr>
      </w:pPr>
      <w:r w:rsidRPr="002160E8">
        <w:rPr>
          <w:rFonts w:cs="Arial"/>
          <w:color w:val="000000"/>
          <w:shd w:val="clear" w:color="auto" w:fill="FFFFFF"/>
        </w:rPr>
        <w:t xml:space="preserve">When patients are harmed, it has an impact on them, their loved ones, our staff, and others who work in the healthcare system. It is crucial that all staff, whatever </w:t>
      </w:r>
      <w:r w:rsidR="005F5CB7">
        <w:rPr>
          <w:rFonts w:cs="Arial"/>
          <w:color w:val="000000"/>
          <w:shd w:val="clear" w:color="auto" w:fill="FFFFFF"/>
        </w:rPr>
        <w:t>their</w:t>
      </w:r>
      <w:r w:rsidRPr="002160E8">
        <w:rPr>
          <w:rFonts w:cs="Arial"/>
          <w:color w:val="000000"/>
          <w:shd w:val="clear" w:color="auto" w:fill="FFFFFF"/>
        </w:rPr>
        <w:t xml:space="preserve"> roles, see safety not just as </w:t>
      </w:r>
      <w:r w:rsidR="005F5CB7">
        <w:rPr>
          <w:rFonts w:cs="Arial"/>
          <w:color w:val="000000"/>
          <w:shd w:val="clear" w:color="auto" w:fill="FFFFFF"/>
        </w:rPr>
        <w:t>a</w:t>
      </w:r>
      <w:r w:rsidRPr="002160E8">
        <w:rPr>
          <w:rFonts w:cs="Arial"/>
          <w:color w:val="000000"/>
          <w:shd w:val="clear" w:color="auto" w:fill="FFFFFF"/>
        </w:rPr>
        <w:t xml:space="preserve"> collective </w:t>
      </w:r>
      <w:r w:rsidRPr="002160E8">
        <w:rPr>
          <w:rStyle w:val="Emphasis"/>
          <w:rFonts w:cs="Arial"/>
          <w:color w:val="000000"/>
          <w:shd w:val="clear" w:color="auto" w:fill="FFFFFF"/>
        </w:rPr>
        <w:t>responsibility</w:t>
      </w:r>
      <w:r w:rsidRPr="002160E8">
        <w:rPr>
          <w:rFonts w:cs="Arial"/>
          <w:color w:val="000000"/>
          <w:shd w:val="clear" w:color="auto" w:fill="FFFFFF"/>
        </w:rPr>
        <w:t>, but as a key </w:t>
      </w:r>
      <w:r w:rsidRPr="002160E8">
        <w:rPr>
          <w:rStyle w:val="Emphasis"/>
          <w:rFonts w:cs="Arial"/>
          <w:color w:val="000000"/>
          <w:shd w:val="clear" w:color="auto" w:fill="FFFFFF"/>
        </w:rPr>
        <w:t>priority</w:t>
      </w:r>
      <w:r w:rsidRPr="002160E8">
        <w:rPr>
          <w:rFonts w:cs="Arial"/>
          <w:color w:val="000000"/>
          <w:shd w:val="clear" w:color="auto" w:fill="FFFFFF"/>
        </w:rPr>
        <w:t>. We all nee</w:t>
      </w:r>
      <w:r w:rsidR="005F5CB7">
        <w:rPr>
          <w:rFonts w:cs="Arial"/>
          <w:color w:val="000000"/>
          <w:shd w:val="clear" w:color="auto" w:fill="FFFFFF"/>
        </w:rPr>
        <w:t xml:space="preserve">d to think differently </w:t>
      </w:r>
      <w:r w:rsidRPr="002160E8">
        <w:rPr>
          <w:rFonts w:cs="Arial"/>
          <w:color w:val="000000"/>
          <w:shd w:val="clear" w:color="auto" w:fill="FFFFFF"/>
        </w:rPr>
        <w:t>about what patient safety means and how we can make improvements.</w:t>
      </w:r>
    </w:p>
    <w:p w14:paraId="7622F0D2" w14:textId="248F714E" w:rsidR="00A9071E" w:rsidRPr="005E4E0E" w:rsidRDefault="00A9071E" w:rsidP="00F52004">
      <w:pPr>
        <w:rPr>
          <w:rFonts w:cs="Arial"/>
          <w:color w:val="000000"/>
          <w:shd w:val="clear" w:color="auto" w:fill="FFFFFF"/>
        </w:rPr>
      </w:pPr>
      <w:r>
        <w:rPr>
          <w:rFonts w:cs="Arial"/>
          <w:color w:val="000000"/>
          <w:shd w:val="clear" w:color="auto" w:fill="FFFFFF"/>
        </w:rPr>
        <w:t xml:space="preserve">Within the </w:t>
      </w:r>
      <w:hyperlink r:id="rId35" w:history="1">
        <w:r w:rsidR="007B2766" w:rsidRPr="007B2766">
          <w:rPr>
            <w:rStyle w:val="Hyperlink"/>
            <w:rFonts w:cs="Arial"/>
            <w:shd w:val="clear" w:color="auto" w:fill="FFFFFF"/>
          </w:rPr>
          <w:t>patient safety strategy</w:t>
        </w:r>
      </w:hyperlink>
      <w:r w:rsidR="007B2766">
        <w:rPr>
          <w:rFonts w:cs="Arial"/>
          <w:color w:val="000000"/>
          <w:shd w:val="clear" w:color="auto" w:fill="FFFFFF"/>
        </w:rPr>
        <w:t xml:space="preserve"> sits the </w:t>
      </w:r>
      <w:hyperlink r:id="rId36" w:history="1">
        <w:r w:rsidR="00031383" w:rsidRPr="00031383">
          <w:rPr>
            <w:rStyle w:val="Hyperlink"/>
            <w:rFonts w:cs="Arial"/>
            <w:shd w:val="clear" w:color="auto" w:fill="FFFFFF"/>
          </w:rPr>
          <w:t>patient safety syllabus</w:t>
        </w:r>
      </w:hyperlink>
      <w:r w:rsidR="00031383">
        <w:rPr>
          <w:rFonts w:cs="Arial"/>
          <w:color w:val="000000"/>
          <w:shd w:val="clear" w:color="auto" w:fill="FFFFFF"/>
        </w:rPr>
        <w:t>.</w:t>
      </w:r>
      <w:r w:rsidR="00126C85">
        <w:rPr>
          <w:rFonts w:cs="Arial"/>
          <w:color w:val="000000"/>
          <w:shd w:val="clear" w:color="auto" w:fill="FFFFFF"/>
        </w:rPr>
        <w:t xml:space="preserve"> This is the first NHS wide</w:t>
      </w:r>
      <w:r w:rsidR="00A84885">
        <w:rPr>
          <w:rFonts w:cs="Arial"/>
          <w:color w:val="000000"/>
          <w:shd w:val="clear" w:color="auto" w:fill="FFFFFF"/>
        </w:rPr>
        <w:t xml:space="preserve"> enhanced patient safety training</w:t>
      </w:r>
      <w:r w:rsidR="005E4E0E">
        <w:rPr>
          <w:rFonts w:cs="Arial"/>
          <w:color w:val="000000"/>
          <w:shd w:val="clear" w:color="auto" w:fill="FFFFFF"/>
        </w:rPr>
        <w:t xml:space="preserve"> programme</w:t>
      </w:r>
      <w:r w:rsidR="00175D0A">
        <w:rPr>
          <w:rFonts w:cs="Arial"/>
          <w:color w:val="000000"/>
          <w:shd w:val="clear" w:color="auto" w:fill="FFFFFF"/>
        </w:rPr>
        <w:t>:</w:t>
      </w:r>
      <w:r w:rsidR="005E4E0E">
        <w:rPr>
          <w:rFonts w:cs="Arial"/>
          <w:color w:val="000000"/>
          <w:shd w:val="clear" w:color="auto" w:fill="FFFFFF"/>
        </w:rPr>
        <w:t xml:space="preserve"> designed to </w:t>
      </w:r>
      <w:r w:rsidR="005E4E0E" w:rsidRPr="005E4E0E">
        <w:rPr>
          <w:rFonts w:cs="Arial"/>
          <w:color w:val="222222"/>
        </w:rPr>
        <w:t>emphasise a proactive approach to identifying risks to safe care while also including systems thinking and human factors. </w:t>
      </w:r>
      <w:r w:rsidR="005E4E0E" w:rsidRPr="005E4E0E">
        <w:rPr>
          <w:rFonts w:cs="Arial"/>
          <w:color w:val="000000"/>
          <w:shd w:val="clear" w:color="auto" w:fill="FFFFFF"/>
        </w:rPr>
        <w:t xml:space="preserve"> </w:t>
      </w:r>
    </w:p>
    <w:p w14:paraId="3BE22A4C" w14:textId="3ADBB7F1" w:rsidR="007F4D74" w:rsidRDefault="00F10673" w:rsidP="00F10673">
      <w:pPr>
        <w:rPr>
          <w:rFonts w:eastAsiaTheme="majorEastAsia" w:cs="Arial"/>
        </w:rPr>
      </w:pPr>
      <w:r w:rsidRPr="00F10673">
        <w:rPr>
          <w:rFonts w:eastAsiaTheme="majorEastAsia" w:cs="Arial"/>
        </w:rPr>
        <w:t>All staff within the organisation will</w:t>
      </w:r>
      <w:r>
        <w:rPr>
          <w:rFonts w:eastAsiaTheme="majorEastAsia" w:cs="Arial"/>
        </w:rPr>
        <w:t xml:space="preserve"> require some training around patient safety</w:t>
      </w:r>
      <w:r w:rsidR="00B80139">
        <w:rPr>
          <w:rFonts w:eastAsiaTheme="majorEastAsia" w:cs="Arial"/>
        </w:rPr>
        <w:t>. Creation of the patient safety syllabus</w:t>
      </w:r>
      <w:r w:rsidR="00175D0A">
        <w:rPr>
          <w:rFonts w:eastAsiaTheme="majorEastAsia" w:cs="Arial"/>
        </w:rPr>
        <w:t xml:space="preserve"> affords the opportunity for staff to access this nation</w:t>
      </w:r>
      <w:r w:rsidR="00B22A8C">
        <w:rPr>
          <w:rFonts w:eastAsiaTheme="majorEastAsia" w:cs="Arial"/>
        </w:rPr>
        <w:t>-</w:t>
      </w:r>
      <w:r w:rsidR="00175D0A">
        <w:rPr>
          <w:rFonts w:eastAsiaTheme="majorEastAsia" w:cs="Arial"/>
        </w:rPr>
        <w:t xml:space="preserve">wide </w:t>
      </w:r>
      <w:r w:rsidR="000E530E">
        <w:rPr>
          <w:rFonts w:eastAsiaTheme="majorEastAsia" w:cs="Arial"/>
        </w:rPr>
        <w:t>training at a level that is congruent with their role.</w:t>
      </w:r>
    </w:p>
    <w:p w14:paraId="1F98F2E9" w14:textId="2192BE5B" w:rsidR="000E530E" w:rsidRDefault="00010180" w:rsidP="00F10673">
      <w:pPr>
        <w:rPr>
          <w:rFonts w:eastAsiaTheme="majorEastAsia" w:cs="Arial"/>
        </w:rPr>
      </w:pPr>
      <w:r>
        <w:rPr>
          <w:rFonts w:eastAsiaTheme="majorEastAsia" w:cs="Arial"/>
        </w:rPr>
        <w:t xml:space="preserve">From April 2024, PICS </w:t>
      </w:r>
      <w:r w:rsidR="001F6CE4">
        <w:rPr>
          <w:rFonts w:eastAsiaTheme="majorEastAsia" w:cs="Arial"/>
        </w:rPr>
        <w:t xml:space="preserve">made levels 1 and 2 of the patient syllabus </w:t>
      </w:r>
      <w:proofErr w:type="gramStart"/>
      <w:r w:rsidR="001F6CE4">
        <w:rPr>
          <w:rFonts w:eastAsiaTheme="majorEastAsia" w:cs="Arial"/>
        </w:rPr>
        <w:t>mandatory</w:t>
      </w:r>
      <w:proofErr w:type="gramEnd"/>
      <w:r w:rsidR="001F6CE4">
        <w:rPr>
          <w:rFonts w:eastAsiaTheme="majorEastAsia" w:cs="Arial"/>
        </w:rPr>
        <w:t xml:space="preserve"> for all staff. However, monitoring of this training was </w:t>
      </w:r>
      <w:proofErr w:type="spellStart"/>
      <w:r w:rsidR="001F6CE4">
        <w:rPr>
          <w:rFonts w:eastAsiaTheme="majorEastAsia" w:cs="Arial"/>
        </w:rPr>
        <w:t>diffiulct</w:t>
      </w:r>
      <w:proofErr w:type="spellEnd"/>
      <w:r w:rsidR="001F6CE4">
        <w:rPr>
          <w:rFonts w:eastAsiaTheme="majorEastAsia" w:cs="Arial"/>
        </w:rPr>
        <w:t xml:space="preserve"> due to the systems we use. A PSIRF module has now been launched by Bluestrea</w:t>
      </w:r>
      <w:r w:rsidR="0026599F">
        <w:rPr>
          <w:rFonts w:eastAsiaTheme="majorEastAsia" w:cs="Arial"/>
        </w:rPr>
        <w:t>m and therefore we have advised staff that this will now replace the patient safety syllabus</w:t>
      </w:r>
      <w:r w:rsidR="00EC78F0">
        <w:rPr>
          <w:rFonts w:eastAsiaTheme="majorEastAsia" w:cs="Arial"/>
        </w:rPr>
        <w:t xml:space="preserve"> and become mandatory. We will monitor compliance with th</w:t>
      </w:r>
      <w:r w:rsidR="006D33C7">
        <w:rPr>
          <w:rFonts w:eastAsiaTheme="majorEastAsia" w:cs="Arial"/>
        </w:rPr>
        <w:t>e</w:t>
      </w:r>
      <w:r w:rsidR="00EC78F0">
        <w:rPr>
          <w:rFonts w:eastAsiaTheme="majorEastAsia" w:cs="Arial"/>
        </w:rPr>
        <w:t xml:space="preserve"> training</w:t>
      </w:r>
      <w:r w:rsidR="006D33C7">
        <w:rPr>
          <w:rFonts w:eastAsiaTheme="majorEastAsia" w:cs="Arial"/>
        </w:rPr>
        <w:t xml:space="preserve"> to ensure completion during 25/26.</w:t>
      </w:r>
    </w:p>
    <w:p w14:paraId="7A25CE06" w14:textId="1A448EAD" w:rsidR="00445962" w:rsidRDefault="003C6E4A" w:rsidP="00F10673">
      <w:pPr>
        <w:rPr>
          <w:rFonts w:eastAsiaTheme="majorEastAsia" w:cs="Arial"/>
        </w:rPr>
      </w:pPr>
      <w:r>
        <w:rPr>
          <w:rFonts w:eastAsiaTheme="majorEastAsia" w:cs="Arial"/>
        </w:rPr>
        <w:t>In addition, the PSIRF Lead and Medical Director will complete PSII training</w:t>
      </w:r>
      <w:r w:rsidR="00445962">
        <w:rPr>
          <w:rFonts w:eastAsiaTheme="majorEastAsia" w:cs="Arial"/>
        </w:rPr>
        <w:t xml:space="preserve"> and oversight </w:t>
      </w:r>
      <w:proofErr w:type="gramStart"/>
      <w:r w:rsidR="00445962">
        <w:rPr>
          <w:rFonts w:eastAsiaTheme="majorEastAsia" w:cs="Arial"/>
        </w:rPr>
        <w:t>training</w:t>
      </w:r>
      <w:proofErr w:type="gramEnd"/>
      <w:r w:rsidR="00FC1BDD">
        <w:rPr>
          <w:rFonts w:eastAsiaTheme="majorEastAsia" w:cs="Arial"/>
        </w:rPr>
        <w:t xml:space="preserve"> and m</w:t>
      </w:r>
      <w:r w:rsidR="00445962">
        <w:rPr>
          <w:rFonts w:eastAsiaTheme="majorEastAsia" w:cs="Arial"/>
        </w:rPr>
        <w:t>ember</w:t>
      </w:r>
      <w:r w:rsidR="00FC1BDD">
        <w:rPr>
          <w:rFonts w:eastAsiaTheme="majorEastAsia" w:cs="Arial"/>
        </w:rPr>
        <w:t>s</w:t>
      </w:r>
      <w:r w:rsidR="00445962">
        <w:rPr>
          <w:rFonts w:eastAsiaTheme="majorEastAsia" w:cs="Arial"/>
        </w:rPr>
        <w:t xml:space="preserve"> of the clinical governance</w:t>
      </w:r>
      <w:r w:rsidR="00CA3A26" w:rsidRPr="00CA3A26">
        <w:rPr>
          <w:rFonts w:eastAsiaTheme="majorEastAsia" w:cs="Arial"/>
        </w:rPr>
        <w:t xml:space="preserve"> </w:t>
      </w:r>
      <w:r w:rsidR="00CA3A26">
        <w:rPr>
          <w:rFonts w:eastAsiaTheme="majorEastAsia" w:cs="Arial"/>
        </w:rPr>
        <w:t>committee /specified clinical leads</w:t>
      </w:r>
      <w:r w:rsidR="00445962">
        <w:rPr>
          <w:rFonts w:eastAsiaTheme="majorEastAsia" w:cs="Arial"/>
        </w:rPr>
        <w:t xml:space="preserve"> will complete </w:t>
      </w:r>
      <w:r w:rsidR="009B78A1">
        <w:rPr>
          <w:rFonts w:eastAsiaTheme="majorEastAsia" w:cs="Arial"/>
        </w:rPr>
        <w:t>Patient Safety Review training</w:t>
      </w:r>
      <w:r w:rsidR="00B17481">
        <w:rPr>
          <w:rFonts w:eastAsiaTheme="majorEastAsia" w:cs="Arial"/>
        </w:rPr>
        <w:t>.</w:t>
      </w:r>
    </w:p>
    <w:p w14:paraId="350195EF" w14:textId="35D12577" w:rsidR="00B17481" w:rsidRDefault="00B17481" w:rsidP="00F10673">
      <w:pPr>
        <w:rPr>
          <w:rFonts w:eastAsiaTheme="majorEastAsia" w:cs="Arial"/>
          <w:b/>
          <w:bCs/>
        </w:rPr>
      </w:pPr>
      <w:r w:rsidRPr="00B17481">
        <w:rPr>
          <w:rFonts w:eastAsiaTheme="majorEastAsia" w:cs="Arial"/>
          <w:b/>
          <w:bCs/>
        </w:rPr>
        <w:t>Patient safety partners</w:t>
      </w:r>
      <w:r w:rsidR="00C34987">
        <w:rPr>
          <w:rFonts w:eastAsiaTheme="majorEastAsia" w:cs="Arial"/>
          <w:b/>
          <w:bCs/>
        </w:rPr>
        <w:t xml:space="preserve"> (PSP)</w:t>
      </w:r>
    </w:p>
    <w:p w14:paraId="0D5426F8" w14:textId="33BED3B0" w:rsidR="00B17481" w:rsidRPr="00B17481" w:rsidRDefault="00B17C9E" w:rsidP="00F10673">
      <w:pPr>
        <w:rPr>
          <w:rFonts w:eastAsiaTheme="majorEastAsia" w:cs="Arial"/>
        </w:rPr>
      </w:pPr>
      <w:r>
        <w:rPr>
          <w:rFonts w:eastAsiaTheme="majorEastAsia" w:cs="Arial"/>
        </w:rPr>
        <w:t xml:space="preserve">The PSIRF Lead has undertaken training in </w:t>
      </w:r>
      <w:r w:rsidR="00E73C6A">
        <w:rPr>
          <w:rFonts w:eastAsiaTheme="majorEastAsia" w:cs="Arial"/>
        </w:rPr>
        <w:t xml:space="preserve">involving patients. And staff and the role of patent safety partners. As PICS </w:t>
      </w:r>
      <w:r w:rsidR="0020779E">
        <w:rPr>
          <w:rFonts w:eastAsiaTheme="majorEastAsia" w:cs="Arial"/>
        </w:rPr>
        <w:t>deliver services under the NHS standard contract, we are now contractually required to utilise patient safety partners. During 25/26, PICS will dis</w:t>
      </w:r>
      <w:r w:rsidR="00CF26D9">
        <w:rPr>
          <w:rFonts w:eastAsiaTheme="majorEastAsia" w:cs="Arial"/>
        </w:rPr>
        <w:t xml:space="preserve">cuss and consider how this will best work in the size and type of organisation we are. It may be appropriate </w:t>
      </w:r>
      <w:r w:rsidR="00C34987">
        <w:rPr>
          <w:rFonts w:eastAsiaTheme="majorEastAsia" w:cs="Arial"/>
        </w:rPr>
        <w:t>to collaborate with other similar providers on the recruitment of a PSP. PICS will continue attendance at the ICB PSP monthly meeting to share ideas, updates and developments.</w:t>
      </w:r>
    </w:p>
    <w:sectPr w:rsidR="00B17481" w:rsidRPr="00B174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FDF5" w14:textId="77777777" w:rsidR="00D558C5" w:rsidRDefault="00D558C5" w:rsidP="00B31C5A">
      <w:pPr>
        <w:spacing w:after="0" w:line="240" w:lineRule="auto"/>
      </w:pPr>
      <w:r>
        <w:separator/>
      </w:r>
    </w:p>
  </w:endnote>
  <w:endnote w:type="continuationSeparator" w:id="0">
    <w:p w14:paraId="0C922525" w14:textId="77777777" w:rsidR="00D558C5" w:rsidRDefault="00D558C5" w:rsidP="00B31C5A">
      <w:pPr>
        <w:spacing w:after="0" w:line="240" w:lineRule="auto"/>
      </w:pPr>
      <w:r>
        <w:continuationSeparator/>
      </w:r>
    </w:p>
  </w:endnote>
  <w:endnote w:type="continuationNotice" w:id="1">
    <w:p w14:paraId="050373D1" w14:textId="77777777" w:rsidR="00D558C5" w:rsidRDefault="00D55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D56A" w14:textId="611335DD" w:rsidR="00C0519A" w:rsidRPr="0015328C" w:rsidRDefault="00C0519A" w:rsidP="00114E2F">
    <w:pPr>
      <w:tabs>
        <w:tab w:val="left" w:pos="1418"/>
      </w:tabs>
      <w:spacing w:before="120" w:after="120" w:line="240" w:lineRule="auto"/>
      <w:ind w:left="-567" w:right="-45"/>
      <w:rPr>
        <w:rFonts w:ascii="Calibri" w:eastAsia="Calibri" w:hAnsi="Calibri" w:cs="Times New Roman"/>
        <w:sz w:val="24"/>
        <w:szCs w:val="24"/>
      </w:rPr>
    </w:pPr>
    <w:r w:rsidRPr="00F17175">
      <w:rPr>
        <w:sz w:val="24"/>
        <w:szCs w:val="24"/>
      </w:rPr>
      <w:t>P</w:t>
    </w:r>
    <w:r w:rsidR="0015328C">
      <w:rPr>
        <w:sz w:val="24"/>
        <w:szCs w:val="24"/>
      </w:rPr>
      <w:t>atient safety incident response p</w:t>
    </w:r>
    <w:r w:rsidR="00F242D5">
      <w:rPr>
        <w:sz w:val="24"/>
        <w:szCs w:val="24"/>
      </w:rPr>
      <w:t>lan</w:t>
    </w:r>
  </w:p>
  <w:p w14:paraId="465049A1" w14:textId="77777777" w:rsidR="00C0519A" w:rsidRDefault="00C0519A" w:rsidP="00F17175">
    <w:pPr>
      <w:pStyle w:val="Footer"/>
      <w:jc w:val="center"/>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5396" w14:textId="77777777" w:rsidR="00D558C5" w:rsidRDefault="00D558C5" w:rsidP="00B31C5A">
      <w:pPr>
        <w:spacing w:after="0" w:line="240" w:lineRule="auto"/>
      </w:pPr>
      <w:r>
        <w:separator/>
      </w:r>
    </w:p>
  </w:footnote>
  <w:footnote w:type="continuationSeparator" w:id="0">
    <w:p w14:paraId="54B92078" w14:textId="77777777" w:rsidR="00D558C5" w:rsidRDefault="00D558C5" w:rsidP="00B31C5A">
      <w:pPr>
        <w:spacing w:after="0" w:line="240" w:lineRule="auto"/>
      </w:pPr>
      <w:r>
        <w:continuationSeparator/>
      </w:r>
    </w:p>
  </w:footnote>
  <w:footnote w:type="continuationNotice" w:id="1">
    <w:p w14:paraId="1ADD7584" w14:textId="77777777" w:rsidR="00D558C5" w:rsidRDefault="00D558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202"/>
    <w:multiLevelType w:val="hybridMultilevel"/>
    <w:tmpl w:val="D5D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69A6"/>
    <w:multiLevelType w:val="hybridMultilevel"/>
    <w:tmpl w:val="8D1E641C"/>
    <w:lvl w:ilvl="0" w:tplc="1BC6BA06">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84BB0"/>
    <w:multiLevelType w:val="hybridMultilevel"/>
    <w:tmpl w:val="7458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41509"/>
    <w:multiLevelType w:val="hybridMultilevel"/>
    <w:tmpl w:val="FB1E50B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47616"/>
    <w:multiLevelType w:val="hybridMultilevel"/>
    <w:tmpl w:val="1550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224D2"/>
    <w:multiLevelType w:val="hybridMultilevel"/>
    <w:tmpl w:val="7FEABBF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3BF57920"/>
    <w:multiLevelType w:val="hybridMultilevel"/>
    <w:tmpl w:val="DBC6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61134"/>
    <w:multiLevelType w:val="hybridMultilevel"/>
    <w:tmpl w:val="40FA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33B9F"/>
    <w:multiLevelType w:val="hybridMultilevel"/>
    <w:tmpl w:val="12DC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164769">
    <w:abstractNumId w:val="2"/>
  </w:num>
  <w:num w:numId="2" w16cid:durableId="637564525">
    <w:abstractNumId w:val="9"/>
  </w:num>
  <w:num w:numId="3" w16cid:durableId="1801457418">
    <w:abstractNumId w:val="1"/>
  </w:num>
  <w:num w:numId="4" w16cid:durableId="95911294">
    <w:abstractNumId w:val="4"/>
  </w:num>
  <w:num w:numId="5" w16cid:durableId="1705213391">
    <w:abstractNumId w:val="6"/>
  </w:num>
  <w:num w:numId="6" w16cid:durableId="229195380">
    <w:abstractNumId w:val="3"/>
  </w:num>
  <w:num w:numId="7" w16cid:durableId="1546676292">
    <w:abstractNumId w:val="8"/>
  </w:num>
  <w:num w:numId="8" w16cid:durableId="846290234">
    <w:abstractNumId w:val="7"/>
  </w:num>
  <w:num w:numId="9" w16cid:durableId="1692950964">
    <w:abstractNumId w:val="0"/>
  </w:num>
  <w:num w:numId="10" w16cid:durableId="364334774">
    <w:abstractNumId w:val="10"/>
  </w:num>
  <w:num w:numId="11" w16cid:durableId="10499570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3244"/>
    <w:rsid w:val="00003482"/>
    <w:rsid w:val="00004A2B"/>
    <w:rsid w:val="0000546E"/>
    <w:rsid w:val="0000557E"/>
    <w:rsid w:val="00010070"/>
    <w:rsid w:val="00010180"/>
    <w:rsid w:val="000107A4"/>
    <w:rsid w:val="00010967"/>
    <w:rsid w:val="00015061"/>
    <w:rsid w:val="00016207"/>
    <w:rsid w:val="00017068"/>
    <w:rsid w:val="0002069F"/>
    <w:rsid w:val="00027016"/>
    <w:rsid w:val="0002790E"/>
    <w:rsid w:val="00031383"/>
    <w:rsid w:val="000314D9"/>
    <w:rsid w:val="000320C8"/>
    <w:rsid w:val="00034691"/>
    <w:rsid w:val="00034E4F"/>
    <w:rsid w:val="00037C73"/>
    <w:rsid w:val="00040046"/>
    <w:rsid w:val="000410DF"/>
    <w:rsid w:val="0004164B"/>
    <w:rsid w:val="000425D1"/>
    <w:rsid w:val="00043B59"/>
    <w:rsid w:val="00046220"/>
    <w:rsid w:val="00051D45"/>
    <w:rsid w:val="00052F36"/>
    <w:rsid w:val="000562D2"/>
    <w:rsid w:val="000661C5"/>
    <w:rsid w:val="0006692E"/>
    <w:rsid w:val="000722C6"/>
    <w:rsid w:val="00072522"/>
    <w:rsid w:val="00072AB3"/>
    <w:rsid w:val="00073126"/>
    <w:rsid w:val="0007746E"/>
    <w:rsid w:val="00086770"/>
    <w:rsid w:val="00090C5C"/>
    <w:rsid w:val="00095CAB"/>
    <w:rsid w:val="000960A8"/>
    <w:rsid w:val="00097C53"/>
    <w:rsid w:val="000A16A6"/>
    <w:rsid w:val="000A4E08"/>
    <w:rsid w:val="000A5254"/>
    <w:rsid w:val="000A6441"/>
    <w:rsid w:val="000B0095"/>
    <w:rsid w:val="000B0F6D"/>
    <w:rsid w:val="000B1ABA"/>
    <w:rsid w:val="000B6D8A"/>
    <w:rsid w:val="000B7989"/>
    <w:rsid w:val="000C2135"/>
    <w:rsid w:val="000C3A30"/>
    <w:rsid w:val="000D3FDA"/>
    <w:rsid w:val="000D56E3"/>
    <w:rsid w:val="000E11BC"/>
    <w:rsid w:val="000E1851"/>
    <w:rsid w:val="000E1B80"/>
    <w:rsid w:val="000E202F"/>
    <w:rsid w:val="000E28D8"/>
    <w:rsid w:val="000E31F1"/>
    <w:rsid w:val="000E4490"/>
    <w:rsid w:val="000E530E"/>
    <w:rsid w:val="000E70FD"/>
    <w:rsid w:val="000F19AC"/>
    <w:rsid w:val="000F1E9E"/>
    <w:rsid w:val="000F265D"/>
    <w:rsid w:val="000F36D1"/>
    <w:rsid w:val="000F3F23"/>
    <w:rsid w:val="000F4364"/>
    <w:rsid w:val="000F60C0"/>
    <w:rsid w:val="001004E1"/>
    <w:rsid w:val="001009A1"/>
    <w:rsid w:val="00101C6C"/>
    <w:rsid w:val="00104829"/>
    <w:rsid w:val="001048F5"/>
    <w:rsid w:val="00104DD3"/>
    <w:rsid w:val="00106A38"/>
    <w:rsid w:val="00111224"/>
    <w:rsid w:val="001115DE"/>
    <w:rsid w:val="001148CE"/>
    <w:rsid w:val="00114E2F"/>
    <w:rsid w:val="00114E59"/>
    <w:rsid w:val="00115A17"/>
    <w:rsid w:val="00116B91"/>
    <w:rsid w:val="00116F69"/>
    <w:rsid w:val="001205E3"/>
    <w:rsid w:val="00124221"/>
    <w:rsid w:val="00126C85"/>
    <w:rsid w:val="0013037C"/>
    <w:rsid w:val="001334D9"/>
    <w:rsid w:val="00137934"/>
    <w:rsid w:val="00140CD3"/>
    <w:rsid w:val="00141829"/>
    <w:rsid w:val="00144B10"/>
    <w:rsid w:val="00147246"/>
    <w:rsid w:val="00150533"/>
    <w:rsid w:val="0015131B"/>
    <w:rsid w:val="00151528"/>
    <w:rsid w:val="0015328C"/>
    <w:rsid w:val="0015348D"/>
    <w:rsid w:val="001535D7"/>
    <w:rsid w:val="00154745"/>
    <w:rsid w:val="001552D7"/>
    <w:rsid w:val="001553AB"/>
    <w:rsid w:val="00156B3D"/>
    <w:rsid w:val="00160C81"/>
    <w:rsid w:val="0016121D"/>
    <w:rsid w:val="00163F42"/>
    <w:rsid w:val="0016564D"/>
    <w:rsid w:val="001668BC"/>
    <w:rsid w:val="0016763F"/>
    <w:rsid w:val="00170BD2"/>
    <w:rsid w:val="001715BF"/>
    <w:rsid w:val="0017199B"/>
    <w:rsid w:val="00171E5F"/>
    <w:rsid w:val="0017262F"/>
    <w:rsid w:val="00173691"/>
    <w:rsid w:val="00173BB2"/>
    <w:rsid w:val="00175D0A"/>
    <w:rsid w:val="00180506"/>
    <w:rsid w:val="00181092"/>
    <w:rsid w:val="0018110D"/>
    <w:rsid w:val="00182402"/>
    <w:rsid w:val="00183EDF"/>
    <w:rsid w:val="00190EC9"/>
    <w:rsid w:val="001933A1"/>
    <w:rsid w:val="001939FE"/>
    <w:rsid w:val="00193CE1"/>
    <w:rsid w:val="00196320"/>
    <w:rsid w:val="001968F0"/>
    <w:rsid w:val="00196F24"/>
    <w:rsid w:val="001A19D1"/>
    <w:rsid w:val="001A3EDC"/>
    <w:rsid w:val="001A59DF"/>
    <w:rsid w:val="001A6705"/>
    <w:rsid w:val="001B049A"/>
    <w:rsid w:val="001B0AF9"/>
    <w:rsid w:val="001B1199"/>
    <w:rsid w:val="001B1E48"/>
    <w:rsid w:val="001B20A4"/>
    <w:rsid w:val="001B27A2"/>
    <w:rsid w:val="001C0DDE"/>
    <w:rsid w:val="001C1427"/>
    <w:rsid w:val="001C1481"/>
    <w:rsid w:val="001C3F72"/>
    <w:rsid w:val="001C5E04"/>
    <w:rsid w:val="001C7D8C"/>
    <w:rsid w:val="001C7FAE"/>
    <w:rsid w:val="001E2392"/>
    <w:rsid w:val="001E446D"/>
    <w:rsid w:val="001E64A6"/>
    <w:rsid w:val="001F0405"/>
    <w:rsid w:val="001F04B2"/>
    <w:rsid w:val="001F0EFB"/>
    <w:rsid w:val="001F1D8C"/>
    <w:rsid w:val="001F5A6B"/>
    <w:rsid w:val="001F6CE4"/>
    <w:rsid w:val="00204ACC"/>
    <w:rsid w:val="002055DB"/>
    <w:rsid w:val="00205660"/>
    <w:rsid w:val="00206895"/>
    <w:rsid w:val="0020779E"/>
    <w:rsid w:val="00211341"/>
    <w:rsid w:val="00211B9E"/>
    <w:rsid w:val="00214E3D"/>
    <w:rsid w:val="002160E8"/>
    <w:rsid w:val="00224B46"/>
    <w:rsid w:val="00225135"/>
    <w:rsid w:val="002257E8"/>
    <w:rsid w:val="0022624E"/>
    <w:rsid w:val="002276E6"/>
    <w:rsid w:val="00227BB1"/>
    <w:rsid w:val="00232B1A"/>
    <w:rsid w:val="002336B9"/>
    <w:rsid w:val="00233B24"/>
    <w:rsid w:val="00240EDC"/>
    <w:rsid w:val="0024122B"/>
    <w:rsid w:val="00243601"/>
    <w:rsid w:val="002439AD"/>
    <w:rsid w:val="00244AF9"/>
    <w:rsid w:val="00253C9E"/>
    <w:rsid w:val="00254791"/>
    <w:rsid w:val="0025543F"/>
    <w:rsid w:val="00261014"/>
    <w:rsid w:val="0026599F"/>
    <w:rsid w:val="002669E6"/>
    <w:rsid w:val="002705C9"/>
    <w:rsid w:val="00280E87"/>
    <w:rsid w:val="002844B6"/>
    <w:rsid w:val="002844D0"/>
    <w:rsid w:val="00285562"/>
    <w:rsid w:val="00286AAF"/>
    <w:rsid w:val="00286F9F"/>
    <w:rsid w:val="00290C6F"/>
    <w:rsid w:val="00290E3D"/>
    <w:rsid w:val="002913E5"/>
    <w:rsid w:val="00291A44"/>
    <w:rsid w:val="00291C15"/>
    <w:rsid w:val="00291FFE"/>
    <w:rsid w:val="00292770"/>
    <w:rsid w:val="00292B32"/>
    <w:rsid w:val="00293E63"/>
    <w:rsid w:val="0029595C"/>
    <w:rsid w:val="00297DF8"/>
    <w:rsid w:val="002A2264"/>
    <w:rsid w:val="002A23C5"/>
    <w:rsid w:val="002A4D17"/>
    <w:rsid w:val="002A6992"/>
    <w:rsid w:val="002A6A8E"/>
    <w:rsid w:val="002B1A7A"/>
    <w:rsid w:val="002B1C64"/>
    <w:rsid w:val="002B3EEA"/>
    <w:rsid w:val="002B40A3"/>
    <w:rsid w:val="002B4F36"/>
    <w:rsid w:val="002B69A9"/>
    <w:rsid w:val="002B74A3"/>
    <w:rsid w:val="002B7893"/>
    <w:rsid w:val="002C522C"/>
    <w:rsid w:val="002D20FD"/>
    <w:rsid w:val="002D236D"/>
    <w:rsid w:val="002D3499"/>
    <w:rsid w:val="002D617F"/>
    <w:rsid w:val="002D7494"/>
    <w:rsid w:val="002E460B"/>
    <w:rsid w:val="002E5401"/>
    <w:rsid w:val="002E65A5"/>
    <w:rsid w:val="002F150A"/>
    <w:rsid w:val="002F2657"/>
    <w:rsid w:val="002F314A"/>
    <w:rsid w:val="002F52C5"/>
    <w:rsid w:val="00300952"/>
    <w:rsid w:val="003044FC"/>
    <w:rsid w:val="0030521E"/>
    <w:rsid w:val="00305779"/>
    <w:rsid w:val="0031087C"/>
    <w:rsid w:val="00315FBF"/>
    <w:rsid w:val="00316920"/>
    <w:rsid w:val="00323A66"/>
    <w:rsid w:val="00323DE2"/>
    <w:rsid w:val="0032403E"/>
    <w:rsid w:val="00326E8F"/>
    <w:rsid w:val="0032750E"/>
    <w:rsid w:val="00332159"/>
    <w:rsid w:val="0033252A"/>
    <w:rsid w:val="00334ABC"/>
    <w:rsid w:val="00334C5A"/>
    <w:rsid w:val="00337662"/>
    <w:rsid w:val="00341E2B"/>
    <w:rsid w:val="003423A9"/>
    <w:rsid w:val="00343199"/>
    <w:rsid w:val="003448AD"/>
    <w:rsid w:val="0034541A"/>
    <w:rsid w:val="00345EEE"/>
    <w:rsid w:val="00346B09"/>
    <w:rsid w:val="00352576"/>
    <w:rsid w:val="00352B61"/>
    <w:rsid w:val="0035359C"/>
    <w:rsid w:val="00354845"/>
    <w:rsid w:val="00357634"/>
    <w:rsid w:val="00361B89"/>
    <w:rsid w:val="00363364"/>
    <w:rsid w:val="0036433C"/>
    <w:rsid w:val="003644C3"/>
    <w:rsid w:val="00366490"/>
    <w:rsid w:val="00366F10"/>
    <w:rsid w:val="003672E3"/>
    <w:rsid w:val="00371AA6"/>
    <w:rsid w:val="003729B0"/>
    <w:rsid w:val="003771B9"/>
    <w:rsid w:val="003819BF"/>
    <w:rsid w:val="003822D0"/>
    <w:rsid w:val="00383F76"/>
    <w:rsid w:val="00385938"/>
    <w:rsid w:val="00390CD0"/>
    <w:rsid w:val="00392F30"/>
    <w:rsid w:val="00394B0A"/>
    <w:rsid w:val="003952A4"/>
    <w:rsid w:val="00396A28"/>
    <w:rsid w:val="00397D23"/>
    <w:rsid w:val="003A0B5C"/>
    <w:rsid w:val="003A1172"/>
    <w:rsid w:val="003A135E"/>
    <w:rsid w:val="003A1D0F"/>
    <w:rsid w:val="003A248E"/>
    <w:rsid w:val="003A4621"/>
    <w:rsid w:val="003A4AE0"/>
    <w:rsid w:val="003A7586"/>
    <w:rsid w:val="003B13E4"/>
    <w:rsid w:val="003B30EB"/>
    <w:rsid w:val="003B3BFC"/>
    <w:rsid w:val="003B77EA"/>
    <w:rsid w:val="003C1441"/>
    <w:rsid w:val="003C1E29"/>
    <w:rsid w:val="003C2750"/>
    <w:rsid w:val="003C2D45"/>
    <w:rsid w:val="003C3DEF"/>
    <w:rsid w:val="003C5368"/>
    <w:rsid w:val="003C6E4A"/>
    <w:rsid w:val="003D250C"/>
    <w:rsid w:val="003D4720"/>
    <w:rsid w:val="003D4917"/>
    <w:rsid w:val="003D5AC2"/>
    <w:rsid w:val="003D67A9"/>
    <w:rsid w:val="003D6CE7"/>
    <w:rsid w:val="003E1E8D"/>
    <w:rsid w:val="003E2D49"/>
    <w:rsid w:val="003E2F64"/>
    <w:rsid w:val="003E361B"/>
    <w:rsid w:val="003E55EB"/>
    <w:rsid w:val="003E5B40"/>
    <w:rsid w:val="003E75B2"/>
    <w:rsid w:val="003F0043"/>
    <w:rsid w:val="003F01F0"/>
    <w:rsid w:val="003F07E1"/>
    <w:rsid w:val="003F0E01"/>
    <w:rsid w:val="003F1947"/>
    <w:rsid w:val="003F1A89"/>
    <w:rsid w:val="003F274E"/>
    <w:rsid w:val="003F5085"/>
    <w:rsid w:val="003F7CCC"/>
    <w:rsid w:val="0040162F"/>
    <w:rsid w:val="00403A10"/>
    <w:rsid w:val="00404A03"/>
    <w:rsid w:val="00405E7B"/>
    <w:rsid w:val="00410CF5"/>
    <w:rsid w:val="00411DE3"/>
    <w:rsid w:val="004123DC"/>
    <w:rsid w:val="004124A7"/>
    <w:rsid w:val="004144D2"/>
    <w:rsid w:val="00415D8A"/>
    <w:rsid w:val="00420639"/>
    <w:rsid w:val="0042071A"/>
    <w:rsid w:val="00420819"/>
    <w:rsid w:val="0042297D"/>
    <w:rsid w:val="0042348D"/>
    <w:rsid w:val="00430206"/>
    <w:rsid w:val="0043490A"/>
    <w:rsid w:val="004407DB"/>
    <w:rsid w:val="00441BA3"/>
    <w:rsid w:val="00442970"/>
    <w:rsid w:val="004430AF"/>
    <w:rsid w:val="004443C8"/>
    <w:rsid w:val="00445962"/>
    <w:rsid w:val="00447CB6"/>
    <w:rsid w:val="004517E5"/>
    <w:rsid w:val="00451FF8"/>
    <w:rsid w:val="004524D1"/>
    <w:rsid w:val="004535EE"/>
    <w:rsid w:val="00453756"/>
    <w:rsid w:val="00454B10"/>
    <w:rsid w:val="00456FF9"/>
    <w:rsid w:val="004624B3"/>
    <w:rsid w:val="00463F1C"/>
    <w:rsid w:val="00465C93"/>
    <w:rsid w:val="00474386"/>
    <w:rsid w:val="004761AA"/>
    <w:rsid w:val="00482739"/>
    <w:rsid w:val="004845C2"/>
    <w:rsid w:val="0049313F"/>
    <w:rsid w:val="00493F53"/>
    <w:rsid w:val="004961A5"/>
    <w:rsid w:val="00497463"/>
    <w:rsid w:val="004A04CC"/>
    <w:rsid w:val="004A0C8F"/>
    <w:rsid w:val="004A419D"/>
    <w:rsid w:val="004A6072"/>
    <w:rsid w:val="004A628C"/>
    <w:rsid w:val="004A77E3"/>
    <w:rsid w:val="004A7CBB"/>
    <w:rsid w:val="004B1350"/>
    <w:rsid w:val="004B2A05"/>
    <w:rsid w:val="004B4995"/>
    <w:rsid w:val="004B73A2"/>
    <w:rsid w:val="004C26B2"/>
    <w:rsid w:val="004C40BA"/>
    <w:rsid w:val="004C43F1"/>
    <w:rsid w:val="004C5E77"/>
    <w:rsid w:val="004C671C"/>
    <w:rsid w:val="004D24EF"/>
    <w:rsid w:val="004D2726"/>
    <w:rsid w:val="004D2FA1"/>
    <w:rsid w:val="004D3F58"/>
    <w:rsid w:val="004D6F40"/>
    <w:rsid w:val="004E1097"/>
    <w:rsid w:val="004E5CE0"/>
    <w:rsid w:val="004F3169"/>
    <w:rsid w:val="004F31D7"/>
    <w:rsid w:val="004F48D0"/>
    <w:rsid w:val="004F6C65"/>
    <w:rsid w:val="004F755C"/>
    <w:rsid w:val="00500731"/>
    <w:rsid w:val="00501F98"/>
    <w:rsid w:val="00503EA1"/>
    <w:rsid w:val="0051321E"/>
    <w:rsid w:val="00515961"/>
    <w:rsid w:val="005161AA"/>
    <w:rsid w:val="00516B33"/>
    <w:rsid w:val="005179C6"/>
    <w:rsid w:val="00521237"/>
    <w:rsid w:val="0052656D"/>
    <w:rsid w:val="00526620"/>
    <w:rsid w:val="005318A2"/>
    <w:rsid w:val="00534245"/>
    <w:rsid w:val="005376F1"/>
    <w:rsid w:val="0054213A"/>
    <w:rsid w:val="00543068"/>
    <w:rsid w:val="00544E4C"/>
    <w:rsid w:val="00545538"/>
    <w:rsid w:val="00546B41"/>
    <w:rsid w:val="00546D65"/>
    <w:rsid w:val="00547819"/>
    <w:rsid w:val="0054792D"/>
    <w:rsid w:val="00552200"/>
    <w:rsid w:val="00552D55"/>
    <w:rsid w:val="00553246"/>
    <w:rsid w:val="0055361D"/>
    <w:rsid w:val="005538E6"/>
    <w:rsid w:val="00556B89"/>
    <w:rsid w:val="00561471"/>
    <w:rsid w:val="0056786E"/>
    <w:rsid w:val="00573395"/>
    <w:rsid w:val="005736D0"/>
    <w:rsid w:val="00574AE9"/>
    <w:rsid w:val="00575417"/>
    <w:rsid w:val="0057595C"/>
    <w:rsid w:val="00581CE6"/>
    <w:rsid w:val="00587929"/>
    <w:rsid w:val="00591FE0"/>
    <w:rsid w:val="0059231F"/>
    <w:rsid w:val="0059512D"/>
    <w:rsid w:val="00595815"/>
    <w:rsid w:val="005A0269"/>
    <w:rsid w:val="005A15BD"/>
    <w:rsid w:val="005A2D28"/>
    <w:rsid w:val="005A4E34"/>
    <w:rsid w:val="005A7056"/>
    <w:rsid w:val="005A79C1"/>
    <w:rsid w:val="005B34FF"/>
    <w:rsid w:val="005B3866"/>
    <w:rsid w:val="005B3936"/>
    <w:rsid w:val="005B43C6"/>
    <w:rsid w:val="005C221F"/>
    <w:rsid w:val="005C3ED5"/>
    <w:rsid w:val="005C526E"/>
    <w:rsid w:val="005C5D34"/>
    <w:rsid w:val="005D05D4"/>
    <w:rsid w:val="005D2EE5"/>
    <w:rsid w:val="005D390C"/>
    <w:rsid w:val="005D5B39"/>
    <w:rsid w:val="005D6388"/>
    <w:rsid w:val="005D7AAB"/>
    <w:rsid w:val="005E05E4"/>
    <w:rsid w:val="005E1A2F"/>
    <w:rsid w:val="005E2A4B"/>
    <w:rsid w:val="005E4E0E"/>
    <w:rsid w:val="005E52CF"/>
    <w:rsid w:val="005E6738"/>
    <w:rsid w:val="005E67DC"/>
    <w:rsid w:val="005F2AC2"/>
    <w:rsid w:val="005F4043"/>
    <w:rsid w:val="005F4AFD"/>
    <w:rsid w:val="005F5CB7"/>
    <w:rsid w:val="006023D9"/>
    <w:rsid w:val="00602A0F"/>
    <w:rsid w:val="00602ABB"/>
    <w:rsid w:val="00603B3B"/>
    <w:rsid w:val="00604ED2"/>
    <w:rsid w:val="00606D7C"/>
    <w:rsid w:val="006131BC"/>
    <w:rsid w:val="006139B8"/>
    <w:rsid w:val="00614748"/>
    <w:rsid w:val="006162B0"/>
    <w:rsid w:val="0061690B"/>
    <w:rsid w:val="00621239"/>
    <w:rsid w:val="00621BF2"/>
    <w:rsid w:val="006242D7"/>
    <w:rsid w:val="00624ECD"/>
    <w:rsid w:val="00627FD5"/>
    <w:rsid w:val="00630E25"/>
    <w:rsid w:val="00633E7D"/>
    <w:rsid w:val="006361DC"/>
    <w:rsid w:val="0063630B"/>
    <w:rsid w:val="0063797A"/>
    <w:rsid w:val="0064081A"/>
    <w:rsid w:val="00642257"/>
    <w:rsid w:val="00643FC7"/>
    <w:rsid w:val="006441AE"/>
    <w:rsid w:val="0064543C"/>
    <w:rsid w:val="00645557"/>
    <w:rsid w:val="00646366"/>
    <w:rsid w:val="006478B7"/>
    <w:rsid w:val="00650E37"/>
    <w:rsid w:val="006515AC"/>
    <w:rsid w:val="00651B52"/>
    <w:rsid w:val="00652044"/>
    <w:rsid w:val="006523EC"/>
    <w:rsid w:val="00657045"/>
    <w:rsid w:val="00662701"/>
    <w:rsid w:val="006647B6"/>
    <w:rsid w:val="006657E7"/>
    <w:rsid w:val="00667DE4"/>
    <w:rsid w:val="006707A9"/>
    <w:rsid w:val="00670B3A"/>
    <w:rsid w:val="006731B4"/>
    <w:rsid w:val="006762C3"/>
    <w:rsid w:val="00677597"/>
    <w:rsid w:val="006806EF"/>
    <w:rsid w:val="00682259"/>
    <w:rsid w:val="0068385C"/>
    <w:rsid w:val="00686453"/>
    <w:rsid w:val="00686F3B"/>
    <w:rsid w:val="00691502"/>
    <w:rsid w:val="00692ED7"/>
    <w:rsid w:val="00693A72"/>
    <w:rsid w:val="00694753"/>
    <w:rsid w:val="00697144"/>
    <w:rsid w:val="006A3019"/>
    <w:rsid w:val="006A4F0C"/>
    <w:rsid w:val="006B0465"/>
    <w:rsid w:val="006B0821"/>
    <w:rsid w:val="006B784E"/>
    <w:rsid w:val="006B78F7"/>
    <w:rsid w:val="006B7E4E"/>
    <w:rsid w:val="006B7F42"/>
    <w:rsid w:val="006C0919"/>
    <w:rsid w:val="006C2720"/>
    <w:rsid w:val="006C395D"/>
    <w:rsid w:val="006C5907"/>
    <w:rsid w:val="006C5B93"/>
    <w:rsid w:val="006C7529"/>
    <w:rsid w:val="006D0873"/>
    <w:rsid w:val="006D33C7"/>
    <w:rsid w:val="006D4C1F"/>
    <w:rsid w:val="006D721F"/>
    <w:rsid w:val="006E0631"/>
    <w:rsid w:val="006E0A81"/>
    <w:rsid w:val="006E0BD4"/>
    <w:rsid w:val="006E127A"/>
    <w:rsid w:val="006E6213"/>
    <w:rsid w:val="006E7468"/>
    <w:rsid w:val="006F0DDA"/>
    <w:rsid w:val="006F2FC1"/>
    <w:rsid w:val="006F51F8"/>
    <w:rsid w:val="006F636A"/>
    <w:rsid w:val="006F695E"/>
    <w:rsid w:val="006F77DA"/>
    <w:rsid w:val="00700123"/>
    <w:rsid w:val="00700E69"/>
    <w:rsid w:val="0070122F"/>
    <w:rsid w:val="00703CAD"/>
    <w:rsid w:val="0071204E"/>
    <w:rsid w:val="007124D8"/>
    <w:rsid w:val="00712522"/>
    <w:rsid w:val="0071475B"/>
    <w:rsid w:val="00714FE1"/>
    <w:rsid w:val="00720753"/>
    <w:rsid w:val="007208A1"/>
    <w:rsid w:val="00722AC5"/>
    <w:rsid w:val="00723F81"/>
    <w:rsid w:val="00727386"/>
    <w:rsid w:val="007273AA"/>
    <w:rsid w:val="007308E1"/>
    <w:rsid w:val="00735A13"/>
    <w:rsid w:val="0073633D"/>
    <w:rsid w:val="00743BEA"/>
    <w:rsid w:val="00744CBC"/>
    <w:rsid w:val="00745402"/>
    <w:rsid w:val="0075048D"/>
    <w:rsid w:val="00750BE8"/>
    <w:rsid w:val="00750E6D"/>
    <w:rsid w:val="00750F96"/>
    <w:rsid w:val="00751821"/>
    <w:rsid w:val="0075306F"/>
    <w:rsid w:val="00753148"/>
    <w:rsid w:val="00753586"/>
    <w:rsid w:val="00755403"/>
    <w:rsid w:val="0075782D"/>
    <w:rsid w:val="00760069"/>
    <w:rsid w:val="00760C9C"/>
    <w:rsid w:val="0076338B"/>
    <w:rsid w:val="0077034C"/>
    <w:rsid w:val="00770417"/>
    <w:rsid w:val="00772B25"/>
    <w:rsid w:val="00774E68"/>
    <w:rsid w:val="00775538"/>
    <w:rsid w:val="007766FF"/>
    <w:rsid w:val="007815DD"/>
    <w:rsid w:val="007815E5"/>
    <w:rsid w:val="007849C0"/>
    <w:rsid w:val="00792005"/>
    <w:rsid w:val="00793ADD"/>
    <w:rsid w:val="007955C1"/>
    <w:rsid w:val="007965D6"/>
    <w:rsid w:val="007A0AC6"/>
    <w:rsid w:val="007A27AD"/>
    <w:rsid w:val="007A31E2"/>
    <w:rsid w:val="007A7DD7"/>
    <w:rsid w:val="007B1111"/>
    <w:rsid w:val="007B200E"/>
    <w:rsid w:val="007B2766"/>
    <w:rsid w:val="007B6F0E"/>
    <w:rsid w:val="007B7432"/>
    <w:rsid w:val="007B77C2"/>
    <w:rsid w:val="007C50DE"/>
    <w:rsid w:val="007D251E"/>
    <w:rsid w:val="007D75A6"/>
    <w:rsid w:val="007E0B52"/>
    <w:rsid w:val="007E24E5"/>
    <w:rsid w:val="007E3657"/>
    <w:rsid w:val="007E45DA"/>
    <w:rsid w:val="007E45F7"/>
    <w:rsid w:val="007F0789"/>
    <w:rsid w:val="007F1E27"/>
    <w:rsid w:val="007F1FAA"/>
    <w:rsid w:val="007F22FE"/>
    <w:rsid w:val="007F3CD1"/>
    <w:rsid w:val="007F4D74"/>
    <w:rsid w:val="0080364A"/>
    <w:rsid w:val="00803923"/>
    <w:rsid w:val="00803C76"/>
    <w:rsid w:val="00804451"/>
    <w:rsid w:val="0080501B"/>
    <w:rsid w:val="008059E8"/>
    <w:rsid w:val="00806354"/>
    <w:rsid w:val="00810216"/>
    <w:rsid w:val="00810EA6"/>
    <w:rsid w:val="00813DC1"/>
    <w:rsid w:val="0081460E"/>
    <w:rsid w:val="0081629F"/>
    <w:rsid w:val="00817571"/>
    <w:rsid w:val="00817B11"/>
    <w:rsid w:val="0082068B"/>
    <w:rsid w:val="008218A0"/>
    <w:rsid w:val="00821A45"/>
    <w:rsid w:val="00823121"/>
    <w:rsid w:val="0082514C"/>
    <w:rsid w:val="00826630"/>
    <w:rsid w:val="00830619"/>
    <w:rsid w:val="00833630"/>
    <w:rsid w:val="0083492C"/>
    <w:rsid w:val="00835CB1"/>
    <w:rsid w:val="008378AE"/>
    <w:rsid w:val="00840306"/>
    <w:rsid w:val="00846D58"/>
    <w:rsid w:val="00851DAA"/>
    <w:rsid w:val="008571A1"/>
    <w:rsid w:val="00863AD5"/>
    <w:rsid w:val="00863E9A"/>
    <w:rsid w:val="00866908"/>
    <w:rsid w:val="00867128"/>
    <w:rsid w:val="0086722C"/>
    <w:rsid w:val="008701E4"/>
    <w:rsid w:val="008707B6"/>
    <w:rsid w:val="00871CCA"/>
    <w:rsid w:val="00872B78"/>
    <w:rsid w:val="00880A51"/>
    <w:rsid w:val="00880BB6"/>
    <w:rsid w:val="00880FE1"/>
    <w:rsid w:val="008838FF"/>
    <w:rsid w:val="00886BCF"/>
    <w:rsid w:val="008871CE"/>
    <w:rsid w:val="0089179F"/>
    <w:rsid w:val="0089239E"/>
    <w:rsid w:val="00894BA2"/>
    <w:rsid w:val="00896D11"/>
    <w:rsid w:val="00897B75"/>
    <w:rsid w:val="008A1276"/>
    <w:rsid w:val="008A1857"/>
    <w:rsid w:val="008A445C"/>
    <w:rsid w:val="008B0CFC"/>
    <w:rsid w:val="008B30C0"/>
    <w:rsid w:val="008B3689"/>
    <w:rsid w:val="008B5781"/>
    <w:rsid w:val="008B645B"/>
    <w:rsid w:val="008C22BE"/>
    <w:rsid w:val="008C2841"/>
    <w:rsid w:val="008D2636"/>
    <w:rsid w:val="008D5791"/>
    <w:rsid w:val="008D6B4F"/>
    <w:rsid w:val="008E138F"/>
    <w:rsid w:val="008E15B6"/>
    <w:rsid w:val="008E1A98"/>
    <w:rsid w:val="008E261D"/>
    <w:rsid w:val="008E77F9"/>
    <w:rsid w:val="008E7BDF"/>
    <w:rsid w:val="008F6840"/>
    <w:rsid w:val="00900E08"/>
    <w:rsid w:val="00903A40"/>
    <w:rsid w:val="00906DF0"/>
    <w:rsid w:val="0090753F"/>
    <w:rsid w:val="00907BC4"/>
    <w:rsid w:val="00912C0C"/>
    <w:rsid w:val="00912C11"/>
    <w:rsid w:val="00913406"/>
    <w:rsid w:val="00916D78"/>
    <w:rsid w:val="0092008D"/>
    <w:rsid w:val="00920294"/>
    <w:rsid w:val="00920587"/>
    <w:rsid w:val="00922043"/>
    <w:rsid w:val="009226E5"/>
    <w:rsid w:val="00922B72"/>
    <w:rsid w:val="00922E04"/>
    <w:rsid w:val="0092378C"/>
    <w:rsid w:val="00926283"/>
    <w:rsid w:val="00927646"/>
    <w:rsid w:val="00927A3D"/>
    <w:rsid w:val="0093461E"/>
    <w:rsid w:val="00934FE5"/>
    <w:rsid w:val="00936BF8"/>
    <w:rsid w:val="00937845"/>
    <w:rsid w:val="00937ABD"/>
    <w:rsid w:val="0094069F"/>
    <w:rsid w:val="00941247"/>
    <w:rsid w:val="009420FC"/>
    <w:rsid w:val="00942A02"/>
    <w:rsid w:val="00952B0C"/>
    <w:rsid w:val="00952BE5"/>
    <w:rsid w:val="00955ED7"/>
    <w:rsid w:val="00962066"/>
    <w:rsid w:val="00963073"/>
    <w:rsid w:val="009664DD"/>
    <w:rsid w:val="009666CA"/>
    <w:rsid w:val="0097008F"/>
    <w:rsid w:val="00970B63"/>
    <w:rsid w:val="00971491"/>
    <w:rsid w:val="0097179A"/>
    <w:rsid w:val="009734E5"/>
    <w:rsid w:val="00973653"/>
    <w:rsid w:val="00974894"/>
    <w:rsid w:val="00981D56"/>
    <w:rsid w:val="00993339"/>
    <w:rsid w:val="009A1D6C"/>
    <w:rsid w:val="009A242D"/>
    <w:rsid w:val="009A7C51"/>
    <w:rsid w:val="009B3257"/>
    <w:rsid w:val="009B3BC3"/>
    <w:rsid w:val="009B54CF"/>
    <w:rsid w:val="009B552D"/>
    <w:rsid w:val="009B78A1"/>
    <w:rsid w:val="009C1076"/>
    <w:rsid w:val="009C435B"/>
    <w:rsid w:val="009C5F3C"/>
    <w:rsid w:val="009C6D06"/>
    <w:rsid w:val="009D1728"/>
    <w:rsid w:val="009D36A7"/>
    <w:rsid w:val="009D5119"/>
    <w:rsid w:val="009E1A07"/>
    <w:rsid w:val="009E1A91"/>
    <w:rsid w:val="009F0B81"/>
    <w:rsid w:val="009F2572"/>
    <w:rsid w:val="009F2AE6"/>
    <w:rsid w:val="009F60AB"/>
    <w:rsid w:val="009F6A6D"/>
    <w:rsid w:val="00A00B9D"/>
    <w:rsid w:val="00A0216E"/>
    <w:rsid w:val="00A02980"/>
    <w:rsid w:val="00A0609A"/>
    <w:rsid w:val="00A060C2"/>
    <w:rsid w:val="00A06E31"/>
    <w:rsid w:val="00A073B3"/>
    <w:rsid w:val="00A07C6A"/>
    <w:rsid w:val="00A14F5F"/>
    <w:rsid w:val="00A16A25"/>
    <w:rsid w:val="00A17C1D"/>
    <w:rsid w:val="00A21669"/>
    <w:rsid w:val="00A21E8B"/>
    <w:rsid w:val="00A24B8E"/>
    <w:rsid w:val="00A25C2A"/>
    <w:rsid w:val="00A26392"/>
    <w:rsid w:val="00A265BB"/>
    <w:rsid w:val="00A31264"/>
    <w:rsid w:val="00A31486"/>
    <w:rsid w:val="00A32822"/>
    <w:rsid w:val="00A36E3F"/>
    <w:rsid w:val="00A4051B"/>
    <w:rsid w:val="00A4215F"/>
    <w:rsid w:val="00A44B15"/>
    <w:rsid w:val="00A45540"/>
    <w:rsid w:val="00A455D5"/>
    <w:rsid w:val="00A505B1"/>
    <w:rsid w:val="00A519FB"/>
    <w:rsid w:val="00A538B9"/>
    <w:rsid w:val="00A53CEF"/>
    <w:rsid w:val="00A56D50"/>
    <w:rsid w:val="00A57102"/>
    <w:rsid w:val="00A6189F"/>
    <w:rsid w:val="00A62512"/>
    <w:rsid w:val="00A62629"/>
    <w:rsid w:val="00A642A6"/>
    <w:rsid w:val="00A64479"/>
    <w:rsid w:val="00A65A56"/>
    <w:rsid w:val="00A666BE"/>
    <w:rsid w:val="00A67BEF"/>
    <w:rsid w:val="00A71D2A"/>
    <w:rsid w:val="00A8045B"/>
    <w:rsid w:val="00A83D37"/>
    <w:rsid w:val="00A842A6"/>
    <w:rsid w:val="00A84885"/>
    <w:rsid w:val="00A869C0"/>
    <w:rsid w:val="00A8736B"/>
    <w:rsid w:val="00A87875"/>
    <w:rsid w:val="00A9030A"/>
    <w:rsid w:val="00A9071E"/>
    <w:rsid w:val="00A95AC6"/>
    <w:rsid w:val="00AA0A2C"/>
    <w:rsid w:val="00AA1C9F"/>
    <w:rsid w:val="00AA2425"/>
    <w:rsid w:val="00AA3768"/>
    <w:rsid w:val="00AA4452"/>
    <w:rsid w:val="00AA589F"/>
    <w:rsid w:val="00AA60A4"/>
    <w:rsid w:val="00AB17EF"/>
    <w:rsid w:val="00AB187C"/>
    <w:rsid w:val="00AB3923"/>
    <w:rsid w:val="00AB6358"/>
    <w:rsid w:val="00AC0462"/>
    <w:rsid w:val="00AC0914"/>
    <w:rsid w:val="00AC182B"/>
    <w:rsid w:val="00AC542B"/>
    <w:rsid w:val="00AD5936"/>
    <w:rsid w:val="00AD7D74"/>
    <w:rsid w:val="00AE27AE"/>
    <w:rsid w:val="00AE50B5"/>
    <w:rsid w:val="00AE711A"/>
    <w:rsid w:val="00AF08B9"/>
    <w:rsid w:val="00AF11C0"/>
    <w:rsid w:val="00AF2C56"/>
    <w:rsid w:val="00AF303D"/>
    <w:rsid w:val="00AF359E"/>
    <w:rsid w:val="00AF4A4F"/>
    <w:rsid w:val="00AF6D3E"/>
    <w:rsid w:val="00AF7026"/>
    <w:rsid w:val="00B023EA"/>
    <w:rsid w:val="00B073C1"/>
    <w:rsid w:val="00B10B37"/>
    <w:rsid w:val="00B14339"/>
    <w:rsid w:val="00B14C2F"/>
    <w:rsid w:val="00B17481"/>
    <w:rsid w:val="00B17C9E"/>
    <w:rsid w:val="00B20677"/>
    <w:rsid w:val="00B22A8C"/>
    <w:rsid w:val="00B23A95"/>
    <w:rsid w:val="00B27492"/>
    <w:rsid w:val="00B27D10"/>
    <w:rsid w:val="00B31C5A"/>
    <w:rsid w:val="00B34641"/>
    <w:rsid w:val="00B349FE"/>
    <w:rsid w:val="00B45826"/>
    <w:rsid w:val="00B47776"/>
    <w:rsid w:val="00B52A5F"/>
    <w:rsid w:val="00B52CD0"/>
    <w:rsid w:val="00B532B1"/>
    <w:rsid w:val="00B5570A"/>
    <w:rsid w:val="00B60879"/>
    <w:rsid w:val="00B609CC"/>
    <w:rsid w:val="00B677FE"/>
    <w:rsid w:val="00B67BF2"/>
    <w:rsid w:val="00B67D8F"/>
    <w:rsid w:val="00B72AF0"/>
    <w:rsid w:val="00B746EB"/>
    <w:rsid w:val="00B76049"/>
    <w:rsid w:val="00B762A0"/>
    <w:rsid w:val="00B80139"/>
    <w:rsid w:val="00B8244C"/>
    <w:rsid w:val="00B8265D"/>
    <w:rsid w:val="00B83343"/>
    <w:rsid w:val="00B86D8B"/>
    <w:rsid w:val="00B8766B"/>
    <w:rsid w:val="00B91668"/>
    <w:rsid w:val="00B91C97"/>
    <w:rsid w:val="00B92763"/>
    <w:rsid w:val="00B92976"/>
    <w:rsid w:val="00B93FF0"/>
    <w:rsid w:val="00B9403D"/>
    <w:rsid w:val="00B94738"/>
    <w:rsid w:val="00B95B8B"/>
    <w:rsid w:val="00BA1CA4"/>
    <w:rsid w:val="00BA4941"/>
    <w:rsid w:val="00BA4E5F"/>
    <w:rsid w:val="00BA4E62"/>
    <w:rsid w:val="00BA5186"/>
    <w:rsid w:val="00BB3816"/>
    <w:rsid w:val="00BB5143"/>
    <w:rsid w:val="00BC3188"/>
    <w:rsid w:val="00BC3197"/>
    <w:rsid w:val="00BC49FB"/>
    <w:rsid w:val="00BC4D5C"/>
    <w:rsid w:val="00BC7BE3"/>
    <w:rsid w:val="00BD2DD8"/>
    <w:rsid w:val="00BD3B91"/>
    <w:rsid w:val="00BD7ED9"/>
    <w:rsid w:val="00BE117B"/>
    <w:rsid w:val="00BE493D"/>
    <w:rsid w:val="00BE6507"/>
    <w:rsid w:val="00BF0E24"/>
    <w:rsid w:val="00BF2DEF"/>
    <w:rsid w:val="00BF6BA8"/>
    <w:rsid w:val="00BF6D8F"/>
    <w:rsid w:val="00BF73E6"/>
    <w:rsid w:val="00C01B91"/>
    <w:rsid w:val="00C01CAF"/>
    <w:rsid w:val="00C02116"/>
    <w:rsid w:val="00C041CB"/>
    <w:rsid w:val="00C0519A"/>
    <w:rsid w:val="00C12203"/>
    <w:rsid w:val="00C144A3"/>
    <w:rsid w:val="00C16991"/>
    <w:rsid w:val="00C16DDB"/>
    <w:rsid w:val="00C172EB"/>
    <w:rsid w:val="00C205FA"/>
    <w:rsid w:val="00C211F4"/>
    <w:rsid w:val="00C218EF"/>
    <w:rsid w:val="00C22EC6"/>
    <w:rsid w:val="00C25421"/>
    <w:rsid w:val="00C30C61"/>
    <w:rsid w:val="00C31015"/>
    <w:rsid w:val="00C323A7"/>
    <w:rsid w:val="00C34987"/>
    <w:rsid w:val="00C36FA2"/>
    <w:rsid w:val="00C46AFD"/>
    <w:rsid w:val="00C47D83"/>
    <w:rsid w:val="00C53009"/>
    <w:rsid w:val="00C54BB4"/>
    <w:rsid w:val="00C622C8"/>
    <w:rsid w:val="00C635D2"/>
    <w:rsid w:val="00C66E81"/>
    <w:rsid w:val="00C67E89"/>
    <w:rsid w:val="00C70DCF"/>
    <w:rsid w:val="00C72A3C"/>
    <w:rsid w:val="00C73808"/>
    <w:rsid w:val="00C73A0F"/>
    <w:rsid w:val="00C74C72"/>
    <w:rsid w:val="00C7720F"/>
    <w:rsid w:val="00C774F1"/>
    <w:rsid w:val="00C80225"/>
    <w:rsid w:val="00C80AA0"/>
    <w:rsid w:val="00C852B6"/>
    <w:rsid w:val="00C90A93"/>
    <w:rsid w:val="00C91CBD"/>
    <w:rsid w:val="00C92A3D"/>
    <w:rsid w:val="00C93B30"/>
    <w:rsid w:val="00C9573A"/>
    <w:rsid w:val="00C95D22"/>
    <w:rsid w:val="00C96B67"/>
    <w:rsid w:val="00C97D3E"/>
    <w:rsid w:val="00CA03AB"/>
    <w:rsid w:val="00CA1D56"/>
    <w:rsid w:val="00CA3A26"/>
    <w:rsid w:val="00CA3F64"/>
    <w:rsid w:val="00CA46B4"/>
    <w:rsid w:val="00CB0177"/>
    <w:rsid w:val="00CB1F58"/>
    <w:rsid w:val="00CB40C7"/>
    <w:rsid w:val="00CB521D"/>
    <w:rsid w:val="00CB625F"/>
    <w:rsid w:val="00CC0BAF"/>
    <w:rsid w:val="00CC10BE"/>
    <w:rsid w:val="00CC23DF"/>
    <w:rsid w:val="00CD09E8"/>
    <w:rsid w:val="00CD1652"/>
    <w:rsid w:val="00CD2A78"/>
    <w:rsid w:val="00CD6A32"/>
    <w:rsid w:val="00CE051C"/>
    <w:rsid w:val="00CE1257"/>
    <w:rsid w:val="00CE1681"/>
    <w:rsid w:val="00CE2E5C"/>
    <w:rsid w:val="00CE4498"/>
    <w:rsid w:val="00CE4859"/>
    <w:rsid w:val="00CE7641"/>
    <w:rsid w:val="00CF0981"/>
    <w:rsid w:val="00CF13DC"/>
    <w:rsid w:val="00CF26D9"/>
    <w:rsid w:val="00CF3485"/>
    <w:rsid w:val="00CF65D6"/>
    <w:rsid w:val="00CF7C18"/>
    <w:rsid w:val="00D014FA"/>
    <w:rsid w:val="00D01ACF"/>
    <w:rsid w:val="00D02DD8"/>
    <w:rsid w:val="00D0360C"/>
    <w:rsid w:val="00D03B44"/>
    <w:rsid w:val="00D0758D"/>
    <w:rsid w:val="00D11084"/>
    <w:rsid w:val="00D135BD"/>
    <w:rsid w:val="00D13A2A"/>
    <w:rsid w:val="00D15F1D"/>
    <w:rsid w:val="00D172A1"/>
    <w:rsid w:val="00D224A9"/>
    <w:rsid w:val="00D24854"/>
    <w:rsid w:val="00D3055F"/>
    <w:rsid w:val="00D4075A"/>
    <w:rsid w:val="00D40B38"/>
    <w:rsid w:val="00D4513F"/>
    <w:rsid w:val="00D45E48"/>
    <w:rsid w:val="00D47C97"/>
    <w:rsid w:val="00D508C7"/>
    <w:rsid w:val="00D50BE8"/>
    <w:rsid w:val="00D53B6B"/>
    <w:rsid w:val="00D558C5"/>
    <w:rsid w:val="00D571C0"/>
    <w:rsid w:val="00D61360"/>
    <w:rsid w:val="00D630C7"/>
    <w:rsid w:val="00D64192"/>
    <w:rsid w:val="00D64F7F"/>
    <w:rsid w:val="00D658D7"/>
    <w:rsid w:val="00D702AE"/>
    <w:rsid w:val="00D76929"/>
    <w:rsid w:val="00D7791D"/>
    <w:rsid w:val="00D802A5"/>
    <w:rsid w:val="00D80A6F"/>
    <w:rsid w:val="00D8158C"/>
    <w:rsid w:val="00D84BA7"/>
    <w:rsid w:val="00D865DF"/>
    <w:rsid w:val="00D8799E"/>
    <w:rsid w:val="00D91821"/>
    <w:rsid w:val="00D931F2"/>
    <w:rsid w:val="00D965C1"/>
    <w:rsid w:val="00D978D5"/>
    <w:rsid w:val="00DA07B1"/>
    <w:rsid w:val="00DA1863"/>
    <w:rsid w:val="00DA38C8"/>
    <w:rsid w:val="00DA405B"/>
    <w:rsid w:val="00DA739E"/>
    <w:rsid w:val="00DB0AEA"/>
    <w:rsid w:val="00DB6911"/>
    <w:rsid w:val="00DB6CEF"/>
    <w:rsid w:val="00DB7D51"/>
    <w:rsid w:val="00DC20C6"/>
    <w:rsid w:val="00DC23CC"/>
    <w:rsid w:val="00DC7333"/>
    <w:rsid w:val="00DC7D91"/>
    <w:rsid w:val="00DD2888"/>
    <w:rsid w:val="00DD43EC"/>
    <w:rsid w:val="00DD647E"/>
    <w:rsid w:val="00DE1131"/>
    <w:rsid w:val="00DE2994"/>
    <w:rsid w:val="00DE447C"/>
    <w:rsid w:val="00DE65DD"/>
    <w:rsid w:val="00DF0CCC"/>
    <w:rsid w:val="00DF1827"/>
    <w:rsid w:val="00DF509E"/>
    <w:rsid w:val="00E00249"/>
    <w:rsid w:val="00E01268"/>
    <w:rsid w:val="00E0446A"/>
    <w:rsid w:val="00E0622D"/>
    <w:rsid w:val="00E068B1"/>
    <w:rsid w:val="00E1051C"/>
    <w:rsid w:val="00E14B75"/>
    <w:rsid w:val="00E150C1"/>
    <w:rsid w:val="00E160DC"/>
    <w:rsid w:val="00E16506"/>
    <w:rsid w:val="00E20436"/>
    <w:rsid w:val="00E223A8"/>
    <w:rsid w:val="00E23B23"/>
    <w:rsid w:val="00E23BA8"/>
    <w:rsid w:val="00E24AAF"/>
    <w:rsid w:val="00E27EEA"/>
    <w:rsid w:val="00E31788"/>
    <w:rsid w:val="00E31A15"/>
    <w:rsid w:val="00E32D26"/>
    <w:rsid w:val="00E33C62"/>
    <w:rsid w:val="00E33DE7"/>
    <w:rsid w:val="00E343EF"/>
    <w:rsid w:val="00E37978"/>
    <w:rsid w:val="00E40B69"/>
    <w:rsid w:val="00E449F9"/>
    <w:rsid w:val="00E46C10"/>
    <w:rsid w:val="00E50ADE"/>
    <w:rsid w:val="00E52662"/>
    <w:rsid w:val="00E562FF"/>
    <w:rsid w:val="00E57CC1"/>
    <w:rsid w:val="00E57EF7"/>
    <w:rsid w:val="00E616D3"/>
    <w:rsid w:val="00E63940"/>
    <w:rsid w:val="00E70219"/>
    <w:rsid w:val="00E71A2D"/>
    <w:rsid w:val="00E71FAE"/>
    <w:rsid w:val="00E72C41"/>
    <w:rsid w:val="00E73C6A"/>
    <w:rsid w:val="00E77C9D"/>
    <w:rsid w:val="00E801C9"/>
    <w:rsid w:val="00E80216"/>
    <w:rsid w:val="00E8083E"/>
    <w:rsid w:val="00E8104C"/>
    <w:rsid w:val="00E84700"/>
    <w:rsid w:val="00E857C5"/>
    <w:rsid w:val="00E87653"/>
    <w:rsid w:val="00E90834"/>
    <w:rsid w:val="00E90AE7"/>
    <w:rsid w:val="00E92190"/>
    <w:rsid w:val="00E9385E"/>
    <w:rsid w:val="00E9768E"/>
    <w:rsid w:val="00EA02AD"/>
    <w:rsid w:val="00EA0641"/>
    <w:rsid w:val="00EA35A1"/>
    <w:rsid w:val="00EA5BF0"/>
    <w:rsid w:val="00EB6182"/>
    <w:rsid w:val="00EB7802"/>
    <w:rsid w:val="00EB7A1C"/>
    <w:rsid w:val="00EB7F40"/>
    <w:rsid w:val="00EC2152"/>
    <w:rsid w:val="00EC46D9"/>
    <w:rsid w:val="00EC5121"/>
    <w:rsid w:val="00EC547D"/>
    <w:rsid w:val="00EC666D"/>
    <w:rsid w:val="00EC78F0"/>
    <w:rsid w:val="00EC7A1C"/>
    <w:rsid w:val="00ED0410"/>
    <w:rsid w:val="00ED3DD3"/>
    <w:rsid w:val="00ED7424"/>
    <w:rsid w:val="00EE147F"/>
    <w:rsid w:val="00EE26F0"/>
    <w:rsid w:val="00EE7652"/>
    <w:rsid w:val="00EE79C9"/>
    <w:rsid w:val="00EF5451"/>
    <w:rsid w:val="00EF5CCF"/>
    <w:rsid w:val="00EF68EB"/>
    <w:rsid w:val="00EF7EB5"/>
    <w:rsid w:val="00F00F1F"/>
    <w:rsid w:val="00F02046"/>
    <w:rsid w:val="00F04556"/>
    <w:rsid w:val="00F04A24"/>
    <w:rsid w:val="00F10605"/>
    <w:rsid w:val="00F10673"/>
    <w:rsid w:val="00F12CB7"/>
    <w:rsid w:val="00F1379F"/>
    <w:rsid w:val="00F15EF3"/>
    <w:rsid w:val="00F17175"/>
    <w:rsid w:val="00F21F27"/>
    <w:rsid w:val="00F242D5"/>
    <w:rsid w:val="00F25373"/>
    <w:rsid w:val="00F31811"/>
    <w:rsid w:val="00F36706"/>
    <w:rsid w:val="00F375F1"/>
    <w:rsid w:val="00F4049B"/>
    <w:rsid w:val="00F40604"/>
    <w:rsid w:val="00F42BFC"/>
    <w:rsid w:val="00F449D1"/>
    <w:rsid w:val="00F464A7"/>
    <w:rsid w:val="00F512AE"/>
    <w:rsid w:val="00F52004"/>
    <w:rsid w:val="00F53108"/>
    <w:rsid w:val="00F5474A"/>
    <w:rsid w:val="00F54A44"/>
    <w:rsid w:val="00F55E03"/>
    <w:rsid w:val="00F56734"/>
    <w:rsid w:val="00F60EDF"/>
    <w:rsid w:val="00F64B10"/>
    <w:rsid w:val="00F66091"/>
    <w:rsid w:val="00F670C6"/>
    <w:rsid w:val="00F705D7"/>
    <w:rsid w:val="00F7520C"/>
    <w:rsid w:val="00F75724"/>
    <w:rsid w:val="00F76294"/>
    <w:rsid w:val="00F77249"/>
    <w:rsid w:val="00F77978"/>
    <w:rsid w:val="00F81500"/>
    <w:rsid w:val="00F815ED"/>
    <w:rsid w:val="00F8194F"/>
    <w:rsid w:val="00F828D9"/>
    <w:rsid w:val="00F828EC"/>
    <w:rsid w:val="00F82DA9"/>
    <w:rsid w:val="00F8449F"/>
    <w:rsid w:val="00F85A74"/>
    <w:rsid w:val="00F87477"/>
    <w:rsid w:val="00F927E4"/>
    <w:rsid w:val="00F94B63"/>
    <w:rsid w:val="00F95519"/>
    <w:rsid w:val="00FA1BF3"/>
    <w:rsid w:val="00FA26D2"/>
    <w:rsid w:val="00FA362C"/>
    <w:rsid w:val="00FA52F1"/>
    <w:rsid w:val="00FA7DF2"/>
    <w:rsid w:val="00FA7E0B"/>
    <w:rsid w:val="00FB5427"/>
    <w:rsid w:val="00FB54DE"/>
    <w:rsid w:val="00FC141F"/>
    <w:rsid w:val="00FC1BDD"/>
    <w:rsid w:val="00FC282A"/>
    <w:rsid w:val="00FC2C4E"/>
    <w:rsid w:val="00FC2F9F"/>
    <w:rsid w:val="00FC3B65"/>
    <w:rsid w:val="00FC6D1D"/>
    <w:rsid w:val="00FD0CC4"/>
    <w:rsid w:val="00FD203E"/>
    <w:rsid w:val="00FD7309"/>
    <w:rsid w:val="00FD7584"/>
    <w:rsid w:val="00FD7DF4"/>
    <w:rsid w:val="00FD7FAC"/>
    <w:rsid w:val="00FE07A9"/>
    <w:rsid w:val="00FE6E92"/>
    <w:rsid w:val="00FF2176"/>
    <w:rsid w:val="00FF2838"/>
    <w:rsid w:val="00FF3440"/>
    <w:rsid w:val="00FF436A"/>
    <w:rsid w:val="00FF49C7"/>
    <w:rsid w:val="00FF65E7"/>
    <w:rsid w:val="00FF6700"/>
    <w:rsid w:val="00FF71AC"/>
    <w:rsid w:val="00FF772D"/>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366F10"/>
    <w:pPr>
      <w:tabs>
        <w:tab w:val="right" w:leader="dot" w:pos="9016"/>
      </w:tabs>
      <w:spacing w:after="100"/>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semiHidden/>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character" w:styleId="Emphasis">
    <w:name w:val="Emphasis"/>
    <w:basedOn w:val="DefaultParagraphFont"/>
    <w:uiPriority w:val="20"/>
    <w:qFormat/>
    <w:rsid w:val="002160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ngland.nhs.uk/wp-content/uploads/2020/08/Serious_Incident_framework_NHS_England_.pdf" TargetMode="External"/><Relationship Id="rId26" Type="http://schemas.openxmlformats.org/officeDocument/2006/relationships/hyperlink" Target="https://www.england.nhs.uk/publication/patient-safety-incident-response-framework-and-supporting-guidance" TargetMode="External"/><Relationship Id="rId21" Type="http://schemas.openxmlformats.org/officeDocument/2006/relationships/chart" Target="charts/chart2.xml"/><Relationship Id="rId34" Type="http://schemas.openxmlformats.org/officeDocument/2006/relationships/hyperlink" Target="https://scholar.google.com/scholar_lookup?journal=BMJ+Qual+Saf&amp;title=Work+system+design+for+patient+safety:+the+SEIPS+model&amp;author=P+Carayon&amp;author=AS+Hundt&amp;author=B-T+Karsch&amp;volume=15&amp;publication_year=2006&amp;pages=i50-i58&am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ngland.nhs.uk/2018/02/transfer-of-strategic-executive-information-system-steis/" TargetMode="External"/><Relationship Id="rId25" Type="http://schemas.openxmlformats.org/officeDocument/2006/relationships/hyperlink" Target="https://www.england.nhs.uk/publication/patient-safety-incident-response-framework-and-supporting-guidance" TargetMode="External"/><Relationship Id="rId33" Type="http://schemas.openxmlformats.org/officeDocument/2006/relationships/hyperlink" Target="https://pubmed.ncbi.nlm.nih.gov/1714261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gland.nhs.uk/publication/patient-safety-incident-response-framework-and-supporting-guidance" TargetMode="External"/><Relationship Id="rId20" Type="http://schemas.openxmlformats.org/officeDocument/2006/relationships/chart" Target="charts/chart1.xml"/><Relationship Id="rId29" Type="http://schemas.openxmlformats.org/officeDocument/2006/relationships/hyperlink" Target="https://www.england.nhs.uk/publication/patient-safety-incident-response-framework-and-supporting-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ngland.nhs.uk/about/equality/equality-hub/national-healthcare-inequalities-improvement-programme/core20plus5/" TargetMode="External"/><Relationship Id="rId32" Type="http://schemas.openxmlformats.org/officeDocument/2006/relationships/hyperlink" Target="https://www.ncbi.nlm.nih.gov/pmc/articles/PMC2464868/"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gland.nhs.uk/publication/patient-safety-incident-response-framework-and-supporting-guidance" TargetMode="External"/><Relationship Id="rId23" Type="http://schemas.openxmlformats.org/officeDocument/2006/relationships/image" Target="media/image4.png"/><Relationship Id="rId28" Type="http://schemas.openxmlformats.org/officeDocument/2006/relationships/footer" Target="footer1.xml"/><Relationship Id="rId36" Type="http://schemas.openxmlformats.org/officeDocument/2006/relationships/hyperlink" Target="https://www.england.nhs.uk/patient-safety/the-nhs-patient-safety-strategy/" TargetMode="External"/><Relationship Id="rId10" Type="http://schemas.openxmlformats.org/officeDocument/2006/relationships/endnotes" Target="endnotes.xml"/><Relationship Id="rId19" Type="http://schemas.openxmlformats.org/officeDocument/2006/relationships/hyperlink" Target="https://www.england.nhs.uk/publication/never-events/" TargetMode="External"/><Relationship Id="rId31" Type="http://schemas.openxmlformats.org/officeDocument/2006/relationships/hyperlink" Target="https://www.england.nhs.uk/publication/patient-safety-incident-response-framework-and-support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england.nhs.uk/wp-content/uploads/2022/08/B1465-SEIPS-quick-reference-and-work-system-explorer-v1-FINAL.pdf" TargetMode="External"/><Relationship Id="rId27" Type="http://schemas.openxmlformats.org/officeDocument/2006/relationships/hyperlink" Target="https://www.england.nhs.uk/wp-content/uploads/2022/08/B1465-3.-Guide-to-responding-proportionately-to-patient-safety-incidents-v1.1.pdf" TargetMode="External"/><Relationship Id="rId30" Type="http://schemas.openxmlformats.org/officeDocument/2006/relationships/hyperlink" Target="https://www.england.nhs.uk/publication/patient-safety-incident-response-framework-and-supporting-guidance" TargetMode="External"/><Relationship Id="rId35" Type="http://schemas.openxmlformats.org/officeDocument/2006/relationships/hyperlink" Target="https://www.england.nhs.uk/patient-safety/the-nhs-patient-safety-strateg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Patient</a:t>
            </a:r>
            <a:r>
              <a:rPr lang="en-GB" baseline="0"/>
              <a:t> safety incidents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April 21-March 22</c:v>
                </c:pt>
              </c:strCache>
            </c:strRef>
          </c:tx>
          <c:spPr>
            <a:solidFill>
              <a:schemeClr val="accent1"/>
            </a:solidFill>
            <a:ln>
              <a:noFill/>
            </a:ln>
            <a:effectLst/>
          </c:spPr>
          <c:invertIfNegative val="0"/>
          <c:cat>
            <c:strRef>
              <c:f>Sheet1!$A$2:$A$14</c:f>
              <c:strCache>
                <c:ptCount val="13"/>
                <c:pt idx="0">
                  <c:v>Clinical care</c:v>
                </c:pt>
                <c:pt idx="1">
                  <c:v>Medication/prescribing error</c:v>
                </c:pt>
                <c:pt idx="2">
                  <c:v>Pressure ulcer (New STEIS)</c:v>
                </c:pt>
                <c:pt idx="3">
                  <c:v>Failure to act on results</c:v>
                </c:pt>
                <c:pt idx="4">
                  <c:v>Missed home visit</c:v>
                </c:pt>
                <c:pt idx="5">
                  <c:v>Equipment related</c:v>
                </c:pt>
                <c:pt idx="6">
                  <c:v>Staffing issues</c:v>
                </c:pt>
                <c:pt idx="7">
                  <c:v>Missed opportunity to safeguard</c:v>
                </c:pt>
                <c:pt idx="8">
                  <c:v>Clinical systems/tasks</c:v>
                </c:pt>
                <c:pt idx="9">
                  <c:v>Information governance related</c:v>
                </c:pt>
                <c:pt idx="10">
                  <c:v>Referral errors (including 2ww)</c:v>
                </c:pt>
                <c:pt idx="11">
                  <c:v>Appointments</c:v>
                </c:pt>
                <c:pt idx="12">
                  <c:v>Communication</c:v>
                </c:pt>
              </c:strCache>
            </c:strRef>
          </c:cat>
          <c:val>
            <c:numRef>
              <c:f>Sheet1!$B$2:$B$14</c:f>
              <c:numCache>
                <c:formatCode>General</c:formatCode>
                <c:ptCount val="13"/>
                <c:pt idx="0">
                  <c:v>6</c:v>
                </c:pt>
                <c:pt idx="1">
                  <c:v>10</c:v>
                </c:pt>
                <c:pt idx="2">
                  <c:v>5</c:v>
                </c:pt>
                <c:pt idx="3">
                  <c:v>0</c:v>
                </c:pt>
                <c:pt idx="4">
                  <c:v>3</c:v>
                </c:pt>
                <c:pt idx="5">
                  <c:v>2</c:v>
                </c:pt>
                <c:pt idx="6">
                  <c:v>1</c:v>
                </c:pt>
                <c:pt idx="7">
                  <c:v>0</c:v>
                </c:pt>
                <c:pt idx="8">
                  <c:v>2</c:v>
                </c:pt>
                <c:pt idx="9">
                  <c:v>7</c:v>
                </c:pt>
                <c:pt idx="10">
                  <c:v>5</c:v>
                </c:pt>
                <c:pt idx="11">
                  <c:v>3</c:v>
                </c:pt>
                <c:pt idx="12">
                  <c:v>2</c:v>
                </c:pt>
              </c:numCache>
            </c:numRef>
          </c:val>
          <c:extLst>
            <c:ext xmlns:c16="http://schemas.microsoft.com/office/drawing/2014/chart" uri="{C3380CC4-5D6E-409C-BE32-E72D297353CC}">
              <c16:uniqueId val="{00000000-3938-454F-828B-1DC14D00785A}"/>
            </c:ext>
          </c:extLst>
        </c:ser>
        <c:ser>
          <c:idx val="1"/>
          <c:order val="1"/>
          <c:tx>
            <c:strRef>
              <c:f>Sheet1!$C$1</c:f>
              <c:strCache>
                <c:ptCount val="1"/>
                <c:pt idx="0">
                  <c:v>April 22-March 23</c:v>
                </c:pt>
              </c:strCache>
            </c:strRef>
          </c:tx>
          <c:spPr>
            <a:solidFill>
              <a:schemeClr val="accent2"/>
            </a:solidFill>
            <a:ln>
              <a:noFill/>
            </a:ln>
            <a:effectLst/>
          </c:spPr>
          <c:invertIfNegative val="0"/>
          <c:cat>
            <c:strRef>
              <c:f>Sheet1!$A$2:$A$14</c:f>
              <c:strCache>
                <c:ptCount val="13"/>
                <c:pt idx="0">
                  <c:v>Clinical care</c:v>
                </c:pt>
                <c:pt idx="1">
                  <c:v>Medication/prescribing error</c:v>
                </c:pt>
                <c:pt idx="2">
                  <c:v>Pressure ulcer (New STEIS)</c:v>
                </c:pt>
                <c:pt idx="3">
                  <c:v>Failure to act on results</c:v>
                </c:pt>
                <c:pt idx="4">
                  <c:v>Missed home visit</c:v>
                </c:pt>
                <c:pt idx="5">
                  <c:v>Equipment related</c:v>
                </c:pt>
                <c:pt idx="6">
                  <c:v>Staffing issues</c:v>
                </c:pt>
                <c:pt idx="7">
                  <c:v>Missed opportunity to safeguard</c:v>
                </c:pt>
                <c:pt idx="8">
                  <c:v>Clinical systems/tasks</c:v>
                </c:pt>
                <c:pt idx="9">
                  <c:v>Information governance related</c:v>
                </c:pt>
                <c:pt idx="10">
                  <c:v>Referral errors (including 2ww)</c:v>
                </c:pt>
                <c:pt idx="11">
                  <c:v>Appointments</c:v>
                </c:pt>
                <c:pt idx="12">
                  <c:v>Communication</c:v>
                </c:pt>
              </c:strCache>
            </c:strRef>
          </c:cat>
          <c:val>
            <c:numRef>
              <c:f>Sheet1!$C$2:$C$14</c:f>
              <c:numCache>
                <c:formatCode>General</c:formatCode>
                <c:ptCount val="13"/>
                <c:pt idx="0">
                  <c:v>9</c:v>
                </c:pt>
                <c:pt idx="1">
                  <c:v>4</c:v>
                </c:pt>
                <c:pt idx="2">
                  <c:v>1</c:v>
                </c:pt>
                <c:pt idx="3">
                  <c:v>2</c:v>
                </c:pt>
                <c:pt idx="4">
                  <c:v>4</c:v>
                </c:pt>
                <c:pt idx="5">
                  <c:v>2</c:v>
                </c:pt>
                <c:pt idx="6">
                  <c:v>2</c:v>
                </c:pt>
                <c:pt idx="7">
                  <c:v>1</c:v>
                </c:pt>
                <c:pt idx="8">
                  <c:v>3</c:v>
                </c:pt>
                <c:pt idx="9">
                  <c:v>9</c:v>
                </c:pt>
                <c:pt idx="10">
                  <c:v>4</c:v>
                </c:pt>
                <c:pt idx="11">
                  <c:v>0</c:v>
                </c:pt>
                <c:pt idx="12">
                  <c:v>0</c:v>
                </c:pt>
              </c:numCache>
            </c:numRef>
          </c:val>
          <c:extLst>
            <c:ext xmlns:c16="http://schemas.microsoft.com/office/drawing/2014/chart" uri="{C3380CC4-5D6E-409C-BE32-E72D297353CC}">
              <c16:uniqueId val="{00000001-3938-454F-828B-1DC14D00785A}"/>
            </c:ext>
          </c:extLst>
        </c:ser>
        <c:dLbls>
          <c:showLegendKey val="0"/>
          <c:showVal val="0"/>
          <c:showCatName val="0"/>
          <c:showSerName val="0"/>
          <c:showPercent val="0"/>
          <c:showBubbleSize val="0"/>
        </c:dLbls>
        <c:gapWidth val="219"/>
        <c:overlap val="-27"/>
        <c:axId val="1668804432"/>
        <c:axId val="1668810256"/>
      </c:barChart>
      <c:catAx>
        <c:axId val="166880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810256"/>
        <c:crosses val="autoZero"/>
        <c:auto val="1"/>
        <c:lblAlgn val="ctr"/>
        <c:lblOffset val="100"/>
        <c:noMultiLvlLbl val="0"/>
      </c:catAx>
      <c:valAx>
        <c:axId val="166881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80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23/24</c:v>
                </c:pt>
              </c:strCache>
            </c:strRef>
          </c:tx>
          <c:spPr>
            <a:solidFill>
              <a:schemeClr val="accent1"/>
            </a:solidFill>
            <a:ln>
              <a:noFill/>
            </a:ln>
            <a:effectLst/>
          </c:spPr>
          <c:invertIfNegative val="0"/>
          <c:cat>
            <c:strRef>
              <c:f>Sheet1!$A$2:$A$11</c:f>
              <c:strCache>
                <c:ptCount val="10"/>
                <c:pt idx="0">
                  <c:v>Clinical Care</c:v>
                </c:pt>
                <c:pt idx="1">
                  <c:v>Medication Delay/Error</c:v>
                </c:pt>
                <c:pt idx="2">
                  <c:v>Failure To Act On Results</c:v>
                </c:pt>
                <c:pt idx="3">
                  <c:v>Missed Visit</c:v>
                </c:pt>
                <c:pt idx="4">
                  <c:v>Equipment</c:v>
                </c:pt>
                <c:pt idx="5">
                  <c:v>Staffing</c:v>
                </c:pt>
                <c:pt idx="6">
                  <c:v>Clinical Systems/Tasks/Appts/Coding</c:v>
                </c:pt>
                <c:pt idx="7">
                  <c:v>Information Governance</c:v>
                </c:pt>
                <c:pt idx="8">
                  <c:v>Referral Error/Delay</c:v>
                </c:pt>
                <c:pt idx="9">
                  <c:v>Fall</c:v>
                </c:pt>
              </c:strCache>
            </c:strRef>
          </c:cat>
          <c:val>
            <c:numRef>
              <c:f>Sheet1!$B$2:$B$11</c:f>
              <c:numCache>
                <c:formatCode>General</c:formatCode>
                <c:ptCount val="10"/>
                <c:pt idx="0">
                  <c:v>1</c:v>
                </c:pt>
                <c:pt idx="1">
                  <c:v>13</c:v>
                </c:pt>
                <c:pt idx="2">
                  <c:v>1</c:v>
                </c:pt>
                <c:pt idx="3">
                  <c:v>3</c:v>
                </c:pt>
                <c:pt idx="4">
                  <c:v>3</c:v>
                </c:pt>
                <c:pt idx="5">
                  <c:v>1</c:v>
                </c:pt>
                <c:pt idx="6">
                  <c:v>7</c:v>
                </c:pt>
                <c:pt idx="7">
                  <c:v>1</c:v>
                </c:pt>
                <c:pt idx="8">
                  <c:v>15</c:v>
                </c:pt>
                <c:pt idx="9">
                  <c:v>0</c:v>
                </c:pt>
              </c:numCache>
            </c:numRef>
          </c:val>
          <c:extLst>
            <c:ext xmlns:c16="http://schemas.microsoft.com/office/drawing/2014/chart" uri="{C3380CC4-5D6E-409C-BE32-E72D297353CC}">
              <c16:uniqueId val="{00000000-59CE-42D9-A24B-57CCBAE4C46F}"/>
            </c:ext>
          </c:extLst>
        </c:ser>
        <c:ser>
          <c:idx val="1"/>
          <c:order val="1"/>
          <c:tx>
            <c:strRef>
              <c:f>Sheet1!$C$1</c:f>
              <c:strCache>
                <c:ptCount val="1"/>
                <c:pt idx="0">
                  <c:v>24.25</c:v>
                </c:pt>
              </c:strCache>
            </c:strRef>
          </c:tx>
          <c:spPr>
            <a:solidFill>
              <a:schemeClr val="accent2"/>
            </a:solidFill>
            <a:ln>
              <a:noFill/>
            </a:ln>
            <a:effectLst/>
          </c:spPr>
          <c:invertIfNegative val="0"/>
          <c:cat>
            <c:strRef>
              <c:f>Sheet1!$A$2:$A$11</c:f>
              <c:strCache>
                <c:ptCount val="10"/>
                <c:pt idx="0">
                  <c:v>Clinical Care</c:v>
                </c:pt>
                <c:pt idx="1">
                  <c:v>Medication Delay/Error</c:v>
                </c:pt>
                <c:pt idx="2">
                  <c:v>Failure To Act On Results</c:v>
                </c:pt>
                <c:pt idx="3">
                  <c:v>Missed Visit</c:v>
                </c:pt>
                <c:pt idx="4">
                  <c:v>Equipment</c:v>
                </c:pt>
                <c:pt idx="5">
                  <c:v>Staffing</c:v>
                </c:pt>
                <c:pt idx="6">
                  <c:v>Clinical Systems/Tasks/Appts/Coding</c:v>
                </c:pt>
                <c:pt idx="7">
                  <c:v>Information Governance</c:v>
                </c:pt>
                <c:pt idx="8">
                  <c:v>Referral Error/Delay</c:v>
                </c:pt>
                <c:pt idx="9">
                  <c:v>Fall</c:v>
                </c:pt>
              </c:strCache>
            </c:strRef>
          </c:cat>
          <c:val>
            <c:numRef>
              <c:f>Sheet1!$C$2:$C$11</c:f>
              <c:numCache>
                <c:formatCode>General</c:formatCode>
                <c:ptCount val="10"/>
                <c:pt idx="0">
                  <c:v>13</c:v>
                </c:pt>
                <c:pt idx="1">
                  <c:v>17</c:v>
                </c:pt>
                <c:pt idx="2">
                  <c:v>1</c:v>
                </c:pt>
                <c:pt idx="3">
                  <c:v>1</c:v>
                </c:pt>
                <c:pt idx="4">
                  <c:v>0</c:v>
                </c:pt>
                <c:pt idx="5">
                  <c:v>3</c:v>
                </c:pt>
                <c:pt idx="6">
                  <c:v>9</c:v>
                </c:pt>
                <c:pt idx="7">
                  <c:v>7</c:v>
                </c:pt>
                <c:pt idx="8">
                  <c:v>16</c:v>
                </c:pt>
                <c:pt idx="9">
                  <c:v>3</c:v>
                </c:pt>
              </c:numCache>
            </c:numRef>
          </c:val>
          <c:extLst>
            <c:ext xmlns:c16="http://schemas.microsoft.com/office/drawing/2014/chart" uri="{C3380CC4-5D6E-409C-BE32-E72D297353CC}">
              <c16:uniqueId val="{00000001-59CE-42D9-A24B-57CCBAE4C46F}"/>
            </c:ext>
          </c:extLst>
        </c:ser>
        <c:dLbls>
          <c:showLegendKey val="0"/>
          <c:showVal val="0"/>
          <c:showCatName val="0"/>
          <c:showSerName val="0"/>
          <c:showPercent val="0"/>
          <c:showBubbleSize val="0"/>
        </c:dLbls>
        <c:gapWidth val="219"/>
        <c:overlap val="-27"/>
        <c:axId val="1422182544"/>
        <c:axId val="1422180624"/>
      </c:barChart>
      <c:catAx>
        <c:axId val="142218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180624"/>
        <c:crosses val="autoZero"/>
        <c:auto val="1"/>
        <c:lblAlgn val="ctr"/>
        <c:lblOffset val="100"/>
        <c:noMultiLvlLbl val="0"/>
      </c:catAx>
      <c:valAx>
        <c:axId val="142218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18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8272ff-30e2-44e5-bc00-e42a8654cac1">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FAC06ADD7EA74395EB9E853C7AFA71" ma:contentTypeVersion="19" ma:contentTypeDescription="Create a new document." ma:contentTypeScope="" ma:versionID="deedae2f03c4dd2222cc19dd187d088e">
  <xsd:schema xmlns:xsd="http://www.w3.org/2001/XMLSchema" xmlns:xs="http://www.w3.org/2001/XMLSchema" xmlns:p="http://schemas.microsoft.com/office/2006/metadata/properties" xmlns:ns2="768272ff-30e2-44e5-bc00-e42a8654cac1" xmlns:ns3="cccaf3ac-2de9-44d4-aa31-54302fceb5f7" targetNamespace="http://schemas.microsoft.com/office/2006/metadata/properties" ma:root="true" ma:fieldsID="d3042bae77416b548e92cb0761bc0245" ns2:_="" ns3:_="">
    <xsd:import namespace="768272ff-30e2-44e5-bc00-e42a8654cac1"/>
    <xsd:import namespace="cccaf3ac-2de9-44d4-aa31-54302fceb5f7"/>
    <xsd:element name="properties">
      <xsd:complexType>
        <xsd:sequence>
          <xsd:element name="documentManagement">
            <xsd:complexType>
              <xsd:all>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272ff-30e2-44e5-bc00-e42a8654ca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6c0586-99a1-427c-ac2f-3e117a8f572b}"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customXml/itemProps2.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3.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768272ff-30e2-44e5-bc00-e42a8654cac1"/>
    <ds:schemaRef ds:uri="cccaf3ac-2de9-44d4-aa31-54302fceb5f7"/>
  </ds:schemaRefs>
</ds:datastoreItem>
</file>

<file path=customXml/itemProps4.xml><?xml version="1.0" encoding="utf-8"?>
<ds:datastoreItem xmlns:ds="http://schemas.openxmlformats.org/officeDocument/2006/customXml" ds:itemID="{B05650F9-7A1E-4D49-B3E1-D30D2FB1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272ff-30e2-44e5-bc00-e42a8654cac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ALDER, Emma (PRIMARY INTEGRATED COMMUNITY SERVICES LTD)</cp:lastModifiedBy>
  <cp:revision>26</cp:revision>
  <dcterms:created xsi:type="dcterms:W3CDTF">2023-12-21T08:43:00Z</dcterms:created>
  <dcterms:modified xsi:type="dcterms:W3CDTF">2025-06-27T08:29:00Z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0x010100E6FAC06ADD7EA74395EB9E853C7AFA71</vt:lpwstr>
  </property>
  <property fmtid="{D5CDD505-2E9C-101B-9397-08002B2CF9AE}" pid="3" name="MediaServiceImageTags">
    <vt:lpwstr/>
  </property>
</Properties>
</file>