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Infection Prevention &amp; Control</w:t>
      </w:r>
    </w:p>
    <w:p>
      <w:pPr>
        <w:pStyle w:val="Subtitle"/>
      </w:pPr>
      <w:r>
        <w:t xml:space="preserve">Annual Statement — November 2025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5EB8" w:sz="24"/>
              <w:left w:val="single" w:color="DDDDDD" w:sz="1"/>
              <w:bottom w:val="single" w:color="DDDDDD" w:sz="1"/>
              <w:right w:val="single" w:color="DDDDDD" w:sz="1"/>
            </w:tcBorders>
            <w:shd w:fill="E8F4F8" w:val="clear"/>
          </w:tcPr>
          <w:p>
            <w:pPr>
              <w:spacing w:before="150" w:after="150"/>
            </w:pPr>
            <w:r>
              <w:rPr>
                <w:color w:val="333333"/>
                <w:sz w:val="22"/>
                <w:szCs w:val="22"/>
              </w:rPr>
              <w:t xml:space="preserve">This Infection Prevention and Control (IPC) statement is produced annually in accordance with the Health and Social Care Act 2008. It details our commitment to preventing healthcare-associated infections and ensuring patient safety across our practice sites.</w:t>
            </w:r>
          </w:p>
        </w:tc>
      </w:tr>
    </w:tbl>
    <w:p>
      <w:pPr>
        <w:pStyle w:val="Heading1"/>
      </w:pPr>
      <w:r>
        <w:t xml:space="preserve">Infection Transmission Incidents</w:t>
      </w:r>
    </w:p>
    <w:p>
      <w:pPr>
        <w:pStyle w:val="BodyText"/>
      </w:pPr>
      <w:r>
        <w:t xml:space="preserve">During the reporting period, our practice recorded: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EB8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Significant Events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EB8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Cleanliness Complaints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005EB8"/>
                <w:sz w:val="44"/>
                <w:szCs w:val="44"/>
              </w:rPr>
              <w:t xml:space="preserve">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005EB8"/>
                <w:sz w:val="44"/>
                <w:szCs w:val="44"/>
              </w:rPr>
              <w:t xml:space="preserve">2</w:t>
            </w:r>
          </w:p>
        </w:tc>
      </w:tr>
    </w:tbl>
    <w:p>
      <w:pPr>
        <w:pStyle w:val="Heading2"/>
      </w:pPr>
      <w:r>
        <w:t xml:space="preserve">Actions Taken in Response to Complaints</w:t>
      </w:r>
    </w:p>
    <w:p>
      <w:pPr>
        <w:pStyle w:val="ListParagraph"/>
        <w:numPr>
          <w:ilvl w:val="0"/>
          <w:numId w:val="2"/>
        </w:numPr>
      </w:pPr>
      <w:r>
        <w:t xml:space="preserve">Waiting room chairs at TMC recovered with wipeable, infection-control compliant material</w:t>
      </w:r>
    </w:p>
    <w:p>
      <w:pPr>
        <w:pStyle w:val="ListParagraph"/>
        <w:numPr>
          <w:ilvl w:val="0"/>
          <w:numId w:val="2"/>
        </w:numPr>
      </w:pPr>
      <w:r>
        <w:t xml:space="preserve">Plan in place to repeat chair recovery at Paulerspury Surgery</w:t>
      </w:r>
    </w:p>
    <w:p>
      <w:pPr>
        <w:pStyle w:val="ListParagraph"/>
        <w:numPr>
          <w:ilvl w:val="0"/>
          <w:numId w:val="2"/>
        </w:numPr>
      </w:pPr>
      <w:r>
        <w:t xml:space="preserve">Deep clean completed on waiting room floor at Towcester Medical Centre</w:t>
      </w:r>
    </w:p>
    <w:p>
      <w:pPr>
        <w:pStyle w:val="Heading1"/>
      </w:pPr>
      <w:r>
        <w:t xml:space="preserve">Infection Prevention Audits</w:t>
      </w:r>
    </w:p>
    <w:p>
      <w:pPr>
        <w:pStyle w:val="BodyText"/>
      </w:pPr>
      <w:r>
        <w:t xml:space="preserve">Over the past 12 months, comprehensive audits have been completed in the following areas:</w:t>
      </w:r>
    </w:p>
    <w:p>
      <w:pPr>
        <w:pStyle w:val="ListParagraph"/>
        <w:numPr>
          <w:ilvl w:val="0"/>
          <w:numId w:val="3"/>
        </w:numPr>
      </w:pPr>
      <w:r>
        <w:t xml:space="preserve">Hand hygiene compliance</w:t>
      </w:r>
    </w:p>
    <w:p>
      <w:pPr>
        <w:pStyle w:val="ListParagraph"/>
        <w:numPr>
          <w:ilvl w:val="0"/>
          <w:numId w:val="3"/>
        </w:numPr>
      </w:pPr>
      <w:r>
        <w:t xml:space="preserve">Donning and doffing of personal protective equipment (PPE)</w:t>
      </w:r>
    </w:p>
    <w:p>
      <w:pPr>
        <w:pStyle w:val="ListParagraph"/>
        <w:numPr>
          <w:ilvl w:val="0"/>
          <w:numId w:val="3"/>
        </w:numPr>
      </w:pPr>
      <w:r>
        <w:t xml:space="preserve">Aseptic non-touch technique (ANTT)</w:t>
      </w:r>
    </w:p>
    <w:p>
      <w:pPr>
        <w:pStyle w:val="ListParagraph"/>
        <w:numPr>
          <w:ilvl w:val="0"/>
          <w:numId w:val="3"/>
        </w:numPr>
      </w:pPr>
      <w:r>
        <w:t xml:space="preserve">Respiratory and cough hygiene</w:t>
      </w:r>
    </w:p>
    <w:p>
      <w:pPr>
        <w:pStyle w:val="ListParagraph"/>
        <w:numPr>
          <w:ilvl w:val="0"/>
          <w:numId w:val="3"/>
        </w:numPr>
      </w:pPr>
      <w:r>
        <w:t xml:space="preserve">Standard infection control precautions</w:t>
      </w:r>
    </w:p>
    <w:p>
      <w:pPr>
        <w:pStyle w:val="ListParagraph"/>
        <w:numPr>
          <w:ilvl w:val="0"/>
          <w:numId w:val="3"/>
        </w:numPr>
      </w:pPr>
      <w:r>
        <w:t xml:space="preserve">Sharps disposal and management</w:t>
      </w:r>
    </w:p>
    <w:p>
      <w:pPr>
        <w:pStyle w:val="Heading2"/>
      </w:pPr>
      <w:r>
        <w:t xml:space="preserve">Improvements Implemented</w:t>
      </w:r>
    </w:p>
    <w:p>
      <w:pPr>
        <w:pStyle w:val="BodyText"/>
      </w:pPr>
      <w:r>
        <w:t xml:space="preserve">Following our audit findings, the following improvements have been made:</w:t>
      </w:r>
    </w:p>
    <w:p>
      <w:pPr>
        <w:pStyle w:val="ListParagraph"/>
        <w:numPr>
          <w:ilvl w:val="0"/>
          <w:numId w:val="4"/>
        </w:numPr>
      </w:pPr>
      <w:r>
        <w:t xml:space="preserve">Consultation room blinds replaced with wipeable, cleanable materials</w:t>
      </w:r>
    </w:p>
    <w:p>
      <w:pPr>
        <w:pStyle w:val="ListParagraph"/>
        <w:numPr>
          <w:ilvl w:val="0"/>
          <w:numId w:val="4"/>
        </w:numPr>
      </w:pPr>
      <w:r>
        <w:t xml:space="preserve">Clinical sample handling procedures updated — reception staff no longer handle patient samples</w:t>
      </w:r>
    </w:p>
    <w:p>
      <w:pPr>
        <w:pStyle w:val="ListParagraph"/>
        <w:numPr>
          <w:ilvl w:val="0"/>
          <w:numId w:val="4"/>
        </w:numPr>
      </w:pPr>
      <w:r>
        <w:t xml:space="preserve">All patient-facing areas now equipped with hands-free pedal bins</w:t>
      </w:r>
    </w:p>
    <w:p>
      <w:pPr>
        <w:pStyle w:val="ListParagraph"/>
        <w:numPr>
          <w:ilvl w:val="0"/>
          <w:numId w:val="4"/>
        </w:numPr>
      </w:pPr>
      <w:r>
        <w:t xml:space="preserve">Respiratory and cough hygiene signage displayed at surgery entrance and on waiting room screens</w:t>
      </w:r>
    </w:p>
    <w:p>
      <w:pPr>
        <w:pStyle w:val="Heading1"/>
      </w:pPr>
      <w:r>
        <w:t xml:space="preserve">Risk Assessments</w:t>
      </w:r>
    </w:p>
    <w:p>
      <w:pPr>
        <w:pStyle w:val="BodyText"/>
      </w:pPr>
      <w:r>
        <w:t xml:space="preserve">The following risk assessments were completed or reviewed during the reporting period: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</w:tcPr>
          <w:p>
            <w:pPr>
              <w:spacing w:before="100" w:after="100"/>
            </w:pPr>
            <w:r>
              <w:rPr>
                <w:b/>
                <w:bCs/>
                <w:color w:val="003087"/>
                <w:sz w:val="22"/>
                <w:szCs w:val="22"/>
              </w:rPr>
              <w:t xml:space="preserve">New Assessments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</w:tcPr>
          <w:p>
            <w:pPr>
              <w:spacing w:before="100" w:after="100"/>
            </w:pPr>
            <w:r>
              <w:rPr>
                <w:b/>
                <w:bCs/>
                <w:color w:val="003087"/>
                <w:sz w:val="22"/>
                <w:szCs w:val="22"/>
              </w:rPr>
              <w:t xml:space="preserve">Reviewed Assessments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t xml:space="preserve">Placement of hand sanitising gel in waiting rooms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100" w:after="100"/>
            </w:pPr>
            <w:r>
              <w:t xml:space="preserve">Measles outbreak preparedness</w:t>
            </w:r>
          </w:p>
        </w:tc>
      </w:tr>
    </w:tbl>
    <w:p>
      <w:pPr>
        <w:pStyle w:val="Heading1"/>
      </w:pPr>
      <w:r>
        <w:t xml:space="preserve">Staff Training</w:t>
      </w:r>
    </w:p>
    <w:p>
      <w:pPr>
        <w:pStyle w:val="BodyText"/>
      </w:pPr>
      <w:r>
        <w:t xml:space="preserve">We are committed to ensuring all staff maintain up-to-date IPC knowledge and skills. Our training programme includes:</w:t>
      </w:r>
    </w:p>
    <w:p>
      <w:pPr>
        <w:pStyle w:val="ListParagraph"/>
        <w:numPr>
          <w:ilvl w:val="0"/>
          <w:numId w:val="2"/>
        </w:numPr>
      </w:pPr>
      <w:r>
        <w:t xml:space="preserve">IPC training as part of new staff induction</w:t>
      </w:r>
    </w:p>
    <w:p>
      <w:pPr>
        <w:pStyle w:val="ListParagraph"/>
        <w:numPr>
          <w:ilvl w:val="0"/>
          <w:numId w:val="2"/>
        </w:numPr>
      </w:pPr>
      <w:r>
        <w:t xml:space="preserve">Annual refresher training for all clinical and non-clinical staff</w:t>
      </w:r>
    </w:p>
    <w:p>
      <w:pPr>
        <w:pStyle w:val="ListParagraph"/>
        <w:numPr>
          <w:ilvl w:val="0"/>
          <w:numId w:val="2"/>
        </w:numPr>
      </w:pPr>
      <w:r>
        <w:t xml:space="preserve">Staff involvement in risk assessments and significant event reviews</w:t>
      </w:r>
    </w:p>
    <w:p>
      <w:pPr>
        <w:pStyle w:val="ListParagraph"/>
        <w:numPr>
          <w:ilvl w:val="0"/>
          <w:numId w:val="2"/>
        </w:numPr>
      </w:pPr>
      <w:r>
        <w:t xml:space="preserve">Annual presentation by the IPC Lead reviewing audits and practice improvements</w:t>
      </w:r>
    </w:p>
    <w:p>
      <w:pPr>
        <w:pStyle w:val="Heading1"/>
      </w:pPr>
      <w:r>
        <w:t xml:space="preserve">Policies &amp; Procedures</w:t>
      </w:r>
    </w:p>
    <w:p>
      <w:pPr>
        <w:pStyle w:val="BodyText"/>
      </w:pPr>
      <w:r>
        <w:t xml:space="preserve">During the past year, we introduced a comprehensive IPC Handbook containing guidance and policies in the following areas: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EB8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Core Practices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EB8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Specific Infections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EB8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Environment &amp; Equipment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40"/>
            </w:pPr>
            <w:r>
              <w:rPr>
                <w:sz w:val="20"/>
                <w:szCs w:val="20"/>
              </w:rPr>
              <w:t xml:space="preserve">Hand hygiene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PPE usage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Aseptic technique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Respiratory hygiene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Standard precautions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Specimen collection</w:t>
            </w:r>
          </w:p>
          <w:p>
            <w:pPr>
              <w:spacing w:after="60"/>
            </w:pPr>
            <w:r>
              <w:rPr>
                <w:sz w:val="20"/>
                <w:szCs w:val="20"/>
              </w:rPr>
              <w:t xml:space="preserve">Venepuncture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40"/>
            </w:pPr>
            <w:r>
              <w:rPr>
                <w:sz w:val="20"/>
                <w:szCs w:val="20"/>
              </w:rPr>
              <w:t xml:space="preserve">Blood borne viruses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C. difficile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CJD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MRSA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PVL-SA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Scabies</w:t>
            </w:r>
          </w:p>
          <w:p>
            <w:pPr>
              <w:spacing w:after="60"/>
            </w:pPr>
            <w:r>
              <w:rPr>
                <w:sz w:val="20"/>
                <w:szCs w:val="20"/>
              </w:rPr>
              <w:t xml:space="preserve">Norovirus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40"/>
            </w:pPr>
            <w:r>
              <w:rPr>
                <w:sz w:val="20"/>
                <w:szCs w:val="20"/>
              </w:rPr>
              <w:t xml:space="preserve">Sharps management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Waste disposal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Care equipment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Care environment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Invasive devices</w:t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>Carpets &amp; furnishings</w:t>
            </w:r>
          </w:p>
          <w:p>
            <w:pPr>
              <w:spacing w:after="60"/>
            </w:pPr>
            <w:r>
              <w:rPr>
                <w:sz w:val="20"/>
                <w:szCs w:val="20"/>
              </w:rPr>
              <w:t xml:space="preserve">Body fluid spillages</w:t>
            </w:r>
          </w:p>
        </w:tc>
      </w:tr>
    </w:tbl>
    <w:p>
      <w:pPr>
        <w:pStyle w:val="BodyText"/>
        <w:spacing w:before="200"/>
      </w:pPr>
      <w:r>
        <w:rPr>
          <w:i/>
          <w:iCs/>
        </w:rPr>
        <w:t xml:space="preserve">The IPC Handbook is reviewed at least annually and updated in response to any changes in national guidance.</w:t>
      </w:r>
    </w:p>
    <w:p>
      <w:pPr>
        <w:pStyle w:val="Heading1"/>
      </w:pPr>
      <w:r>
        <w:t xml:space="preserve">Responsibilities</w:t>
      </w:r>
    </w:p>
    <w:p>
      <w:pPr>
        <w:pStyle w:val="BodyText"/>
      </w:pPr>
      <w:r>
        <w:t xml:space="preserve">All staff members at Towcester Medical Centre and Paulerspury Surgery are responsible for familiarising themselves with these policies and fulfilling their obligations under them.</w:t>
      </w:r>
    </w:p>
    <w:p>
      <w:pPr>
        <w:pStyle w:val="Heading1"/>
      </w:pPr>
      <w:r>
        <w:t xml:space="preserve">Review</w:t>
      </w:r>
    </w:p>
    <w:p>
      <w:pPr>
        <w:pStyle w:val="BodyText"/>
      </w:pPr>
      <w:r>
        <w:t xml:space="preserve">The IPC Lead and IPC Support are responsible for reviewing and producing this annual statement.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5EB8" w:sz="1"/>
              <w:left w:val="single" w:color="005EB8" w:sz="1"/>
              <w:bottom w:val="single" w:color="005EB8" w:sz="1"/>
              <w:right w:val="single" w:color="005EB8" w:sz="1"/>
            </w:tcBorders>
            <w:shd w:fill="E8F4F8" w:val="clear"/>
          </w:tcPr>
          <w:p>
            <w:pPr>
              <w:spacing w:before="150" w:after="150"/>
              <w:jc w:val="center"/>
            </w:pPr>
            <w:r>
              <w:rPr>
                <w:b/>
                <w:bCs/>
                <w:color w:val="003087"/>
                <w:sz w:val="24"/>
                <w:szCs w:val="24"/>
              </w:rPr>
              <w:t xml:space="preserve">Next Review Date: 28th February 2026</w:t>
            </w:r>
          </w:p>
        </w:tc>
      </w:tr>
    </w:tbl>
    <w:p>
      <w:pPr>
        <w:spacing w:before="600"/>
      </w:pPr>
    </w:p>
    <w:p>
      <w:pPr>
        <w:pStyle w:val="BodyText"/>
      </w:pPr>
      <w:r>
        <w:rPr>
          <w:b/>
          <w:bCs/>
        </w:rPr>
        <w:t xml:space="preserve">Signed:</w:t>
      </w:r>
    </w:p>
    <w:p>
      <w:pPr>
        <w:spacing w:before="300"/>
      </w:pPr>
    </w:p>
    <w:p>
      <w:pPr>
        <w:pStyle w:val="BodyText"/>
      </w:pPr>
      <w:r>
        <w:rPr>
          <w:b/>
          <w:bCs/>
          <w:sz w:val="24"/>
          <w:szCs w:val="24"/>
        </w:rPr>
        <w:t xml:space="preserve">Shelley Flanagan</w:t>
      </w:r>
    </w:p>
    <w:p>
      <w:pPr>
        <w:pStyle w:val="BodyText"/>
      </w:pPr>
      <w:r>
        <w:rPr>
          <w:i/>
          <w:iCs/>
        </w:rPr>
        <w:t xml:space="preserve">For and on behalf of Towcester Medical Centre and Paulerspury Surgery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200"/>
      <w:jc w:val="center"/>
    </w:pPr>
    <w:r>
      <w:rPr>
        <w:color w:val="425563"/>
        <w:sz w:val="18"/>
        <w:szCs w:val="18"/>
      </w:rPr>
      <w:t xml:space="preserve">Page </w:t>
    </w:r>
    <w:r>
      <w:rPr>
        <w:color w:val="425563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425563"/>
        <w:sz w:val="18"/>
        <w:szCs w:val="18"/>
      </w:rPr>
      <w:t xml:space="preserve"> of </w:t>
    </w:r>
    <w:r>
      <w:rPr>
        <w:color w:val="425563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005EB8"/>
        <w:sz w:val="18"/>
        <w:szCs w:val="18"/>
      </w:rPr>
      <w:t xml:space="preserve">Towcester Medical Centre &amp; Paulerspury Surgery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003087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005EB8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425563"/>
      <w:sz w:val="26"/>
      <w:szCs w:val="26"/>
    </w:rPr>
  </w:style>
  <w:style w:type="paragraph" w:styleId="BodyText">
    <w:name w:val="Body Text"/>
    <w:basedOn w:val="Normal"/>
    <w:pPr>
      <w:spacing w:after="120" w:line="276"/>
    </w:pPr>
    <w:rPr>
      <w:rFonts w:ascii="Arial" w:cs="Arial" w:eastAsia="Arial" w:hAnsi="Arial"/>
      <w:color w:val="333333"/>
      <w:sz w:val="22"/>
      <w:szCs w:val="22"/>
    </w:rPr>
  </w:style>
  <w:style w:type="paragraph" w:styleId="Subtitle">
    <w:name w:val="Subtitle"/>
    <w:basedOn w:val="Normal"/>
    <w:pPr>
      <w:spacing w:after="400"/>
      <w:jc w:val="center"/>
    </w:pPr>
    <w:rPr>
      <w:rFonts w:ascii="Arial" w:cs="Arial" w:eastAsia="Arial" w:hAnsi="Arial"/>
      <w:color w:val="42556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2025-12-03T10:55:10.865Z</dcterms:created>
  <dcterms:modified xsi:type="dcterms:W3CDTF">2025-12-03T10:55:10.866Z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