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ADF2" w14:textId="11326781" w:rsidR="00B5047D" w:rsidRPr="00535669" w:rsidRDefault="00B5047D" w:rsidP="00B5047D">
      <w:pPr>
        <w:pStyle w:val="Default"/>
        <w:jc w:val="center"/>
        <w:rPr>
          <w:rFonts w:ascii="Arial" w:hAnsi="Arial" w:cs="Arial"/>
        </w:rPr>
      </w:pPr>
      <w:r w:rsidRPr="00535669">
        <w:rPr>
          <w:rFonts w:ascii="Arial" w:hAnsi="Arial" w:cs="Arial"/>
          <w:b/>
          <w:bCs/>
        </w:rPr>
        <w:t>Interim Policy Statement:</w:t>
      </w:r>
    </w:p>
    <w:p w14:paraId="1CEE18EC" w14:textId="00F527AC" w:rsidR="00B5047D" w:rsidRPr="00535669" w:rsidRDefault="05547E3A" w:rsidP="00B5047D">
      <w:pPr>
        <w:pStyle w:val="Default"/>
        <w:jc w:val="center"/>
        <w:rPr>
          <w:rFonts w:ascii="Arial" w:hAnsi="Arial" w:cs="Arial"/>
        </w:rPr>
      </w:pPr>
      <w:r w:rsidRPr="4365C0D5">
        <w:rPr>
          <w:rFonts w:ascii="Arial" w:hAnsi="Arial" w:cs="Arial"/>
          <w:b/>
          <w:bCs/>
        </w:rPr>
        <w:t>Access to</w:t>
      </w:r>
      <w:r w:rsidR="00B5047D" w:rsidRPr="4365C0D5">
        <w:rPr>
          <w:rFonts w:ascii="Arial" w:hAnsi="Arial" w:cs="Arial"/>
          <w:b/>
          <w:bCs/>
        </w:rPr>
        <w:t xml:space="preserve"> </w:t>
      </w:r>
      <w:proofErr w:type="spellStart"/>
      <w:r w:rsidR="00B5047D" w:rsidRPr="4365C0D5">
        <w:rPr>
          <w:rFonts w:ascii="Arial" w:hAnsi="Arial" w:cs="Arial"/>
          <w:b/>
          <w:bCs/>
        </w:rPr>
        <w:t>Wegovy</w:t>
      </w:r>
      <w:proofErr w:type="spellEnd"/>
      <w:r w:rsidR="00B5047D" w:rsidRPr="4365C0D5">
        <w:rPr>
          <w:rFonts w:ascii="Arial" w:hAnsi="Arial" w:cs="Arial"/>
          <w:b/>
          <w:bCs/>
        </w:rPr>
        <w:t xml:space="preserve">® and </w:t>
      </w:r>
      <w:proofErr w:type="spellStart"/>
      <w:r w:rsidR="00B5047D" w:rsidRPr="4365C0D5">
        <w:rPr>
          <w:rFonts w:ascii="Arial" w:hAnsi="Arial" w:cs="Arial"/>
          <w:b/>
          <w:bCs/>
        </w:rPr>
        <w:t>Mounjaro</w:t>
      </w:r>
      <w:proofErr w:type="spellEnd"/>
      <w:r w:rsidR="00B5047D" w:rsidRPr="4365C0D5">
        <w:rPr>
          <w:rFonts w:ascii="Arial" w:hAnsi="Arial" w:cs="Arial"/>
          <w:b/>
          <w:bCs/>
        </w:rPr>
        <w:t>® for Weight Management on the NHS in North East London</w:t>
      </w:r>
    </w:p>
    <w:p w14:paraId="753EE0CF" w14:textId="77777777" w:rsidR="00B5047D" w:rsidRPr="00535669" w:rsidRDefault="00B5047D" w:rsidP="00B5047D">
      <w:pPr>
        <w:pStyle w:val="Default"/>
        <w:rPr>
          <w:rFonts w:ascii="Arial" w:hAnsi="Arial" w:cs="Arial"/>
          <w:sz w:val="22"/>
          <w:szCs w:val="22"/>
        </w:rPr>
      </w:pPr>
    </w:p>
    <w:p w14:paraId="0843658E" w14:textId="52DE2C86" w:rsidR="00B5047D" w:rsidRPr="00535669" w:rsidRDefault="00B5047D" w:rsidP="00B5047D">
      <w:pPr>
        <w:pStyle w:val="Default"/>
        <w:rPr>
          <w:rFonts w:ascii="Arial" w:hAnsi="Arial" w:cs="Arial"/>
          <w:sz w:val="22"/>
          <w:szCs w:val="22"/>
        </w:rPr>
      </w:pPr>
      <w:r w:rsidRPr="00535669">
        <w:rPr>
          <w:rFonts w:ascii="Arial" w:hAnsi="Arial" w:cs="Arial"/>
          <w:sz w:val="22"/>
          <w:szCs w:val="22"/>
        </w:rPr>
        <w:t xml:space="preserve">This interim policy statement outlines North East London’s (NEL) criteria for access to National Institute of Health and Care Excellence (NICE) approved weight management medications </w:t>
      </w:r>
      <w:hyperlink r:id="rId8">
        <w:proofErr w:type="spellStart"/>
        <w:r w:rsidRPr="00535669">
          <w:rPr>
            <w:rStyle w:val="Hyperlink"/>
            <w:rFonts w:ascii="Arial" w:hAnsi="Arial" w:cs="Arial"/>
            <w:sz w:val="22"/>
            <w:szCs w:val="22"/>
          </w:rPr>
          <w:t>semaglutide</w:t>
        </w:r>
        <w:proofErr w:type="spellEnd"/>
        <w:r w:rsidRPr="00535669">
          <w:rPr>
            <w:rStyle w:val="Hyperlink"/>
            <w:rFonts w:ascii="Arial" w:hAnsi="Arial" w:cs="Arial"/>
            <w:sz w:val="22"/>
            <w:szCs w:val="22"/>
          </w:rPr>
          <w:t xml:space="preserve"> (</w:t>
        </w:r>
        <w:proofErr w:type="spellStart"/>
        <w:r w:rsidRPr="00535669">
          <w:rPr>
            <w:rStyle w:val="Hyperlink"/>
            <w:rFonts w:ascii="Arial" w:hAnsi="Arial" w:cs="Arial"/>
            <w:sz w:val="22"/>
            <w:szCs w:val="22"/>
          </w:rPr>
          <w:t>Wegovy</w:t>
        </w:r>
        <w:proofErr w:type="spellEnd"/>
        <w:r w:rsidRPr="00535669">
          <w:rPr>
            <w:rStyle w:val="Hyperlink"/>
            <w:rFonts w:ascii="Arial" w:hAnsi="Arial" w:cs="Arial"/>
            <w:sz w:val="23"/>
            <w:szCs w:val="23"/>
          </w:rPr>
          <w:t>®)</w:t>
        </w:r>
      </w:hyperlink>
      <w:r w:rsidRPr="00535669">
        <w:rPr>
          <w:rFonts w:ascii="Arial" w:hAnsi="Arial" w:cs="Arial"/>
          <w:sz w:val="22"/>
          <w:szCs w:val="22"/>
        </w:rPr>
        <w:t xml:space="preserve"> and </w:t>
      </w:r>
      <w:hyperlink r:id="rId9">
        <w:proofErr w:type="spellStart"/>
        <w:r w:rsidRPr="00535669">
          <w:rPr>
            <w:rStyle w:val="Hyperlink"/>
            <w:rFonts w:ascii="Arial" w:hAnsi="Arial" w:cs="Arial"/>
            <w:sz w:val="22"/>
            <w:szCs w:val="22"/>
          </w:rPr>
          <w:t>tirzepatide</w:t>
        </w:r>
        <w:proofErr w:type="spellEnd"/>
        <w:r w:rsidRPr="00535669">
          <w:rPr>
            <w:rStyle w:val="Hyperlink"/>
            <w:rFonts w:ascii="Arial" w:hAnsi="Arial" w:cs="Arial"/>
            <w:sz w:val="22"/>
            <w:szCs w:val="22"/>
          </w:rPr>
          <w:t xml:space="preserve"> (</w:t>
        </w:r>
        <w:proofErr w:type="spellStart"/>
        <w:r w:rsidRPr="00535669">
          <w:rPr>
            <w:rStyle w:val="Hyperlink"/>
            <w:rFonts w:ascii="Arial" w:hAnsi="Arial" w:cs="Arial"/>
            <w:sz w:val="22"/>
            <w:szCs w:val="22"/>
          </w:rPr>
          <w:t>Mounjaro</w:t>
        </w:r>
        <w:proofErr w:type="spellEnd"/>
        <w:r w:rsidRPr="00535669">
          <w:rPr>
            <w:rStyle w:val="Hyperlink"/>
            <w:rFonts w:ascii="Arial" w:hAnsi="Arial" w:cs="Arial"/>
            <w:sz w:val="22"/>
            <w:szCs w:val="22"/>
          </w:rPr>
          <w:t>)®</w:t>
        </w:r>
      </w:hyperlink>
      <w:r w:rsidRPr="00535669">
        <w:rPr>
          <w:rFonts w:ascii="Arial" w:hAnsi="Arial" w:cs="Arial"/>
          <w:sz w:val="22"/>
          <w:szCs w:val="22"/>
        </w:rPr>
        <w:t xml:space="preserve"> on the NHS. It has been produced in line with </w:t>
      </w:r>
      <w:hyperlink r:id="rId10">
        <w:r w:rsidRPr="00535669">
          <w:rPr>
            <w:rStyle w:val="Hyperlink"/>
            <w:rFonts w:ascii="Arial" w:hAnsi="Arial" w:cs="Arial"/>
            <w:sz w:val="22"/>
            <w:szCs w:val="22"/>
          </w:rPr>
          <w:t>NHS England Interim Commissioning Guidance</w:t>
        </w:r>
      </w:hyperlink>
      <w:r w:rsidRPr="00535669">
        <w:rPr>
          <w:rFonts w:ascii="Arial" w:hAnsi="Arial" w:cs="Arial"/>
          <w:sz w:val="22"/>
          <w:szCs w:val="22"/>
        </w:rPr>
        <w:t xml:space="preserve"> working alongside our clinical experts and weight management services in North East London. </w:t>
      </w:r>
    </w:p>
    <w:p w14:paraId="769CA27B" w14:textId="77777777" w:rsidR="00FE50E4" w:rsidRPr="00535669" w:rsidRDefault="00FE50E4" w:rsidP="00B5047D">
      <w:pPr>
        <w:pStyle w:val="Default"/>
        <w:rPr>
          <w:rFonts w:ascii="Arial" w:hAnsi="Arial" w:cs="Arial"/>
          <w:sz w:val="22"/>
          <w:szCs w:val="22"/>
        </w:rPr>
      </w:pPr>
    </w:p>
    <w:p w14:paraId="1A5E4161" w14:textId="0D0CCC9C" w:rsidR="00FE50E4" w:rsidRPr="00535669" w:rsidRDefault="008E11DE" w:rsidP="00FE50E4">
      <w:pPr>
        <w:pStyle w:val="Default"/>
        <w:rPr>
          <w:rFonts w:ascii="Arial" w:hAnsi="Arial" w:cs="Arial"/>
          <w:sz w:val="22"/>
          <w:szCs w:val="22"/>
        </w:rPr>
      </w:pPr>
      <w:r w:rsidRPr="00535669">
        <w:rPr>
          <w:rFonts w:ascii="Arial" w:hAnsi="Arial" w:cs="Arial"/>
          <w:sz w:val="22"/>
          <w:szCs w:val="22"/>
        </w:rPr>
        <w:t xml:space="preserve">We are currently in the process of establishing </w:t>
      </w:r>
      <w:r w:rsidR="4D1F05DF" w:rsidRPr="00535669">
        <w:rPr>
          <w:rFonts w:ascii="Arial" w:hAnsi="Arial" w:cs="Arial"/>
          <w:sz w:val="22"/>
          <w:szCs w:val="22"/>
        </w:rPr>
        <w:t xml:space="preserve">new </w:t>
      </w:r>
      <w:r w:rsidRPr="00535669">
        <w:rPr>
          <w:rFonts w:ascii="Arial" w:hAnsi="Arial" w:cs="Arial"/>
          <w:sz w:val="22"/>
          <w:szCs w:val="22"/>
        </w:rPr>
        <w:t>weight management services in NEL</w:t>
      </w:r>
      <w:r w:rsidR="4C8E1980" w:rsidRPr="00535669">
        <w:rPr>
          <w:rFonts w:ascii="Arial" w:hAnsi="Arial" w:cs="Arial"/>
          <w:sz w:val="22"/>
          <w:szCs w:val="22"/>
        </w:rPr>
        <w:t>, in a phased approach</w:t>
      </w:r>
      <w:r w:rsidR="4AFA98C3" w:rsidRPr="005356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4AFA98C3" w:rsidRPr="00535669">
        <w:rPr>
          <w:rFonts w:ascii="Arial" w:hAnsi="Arial" w:cs="Arial"/>
          <w:sz w:val="22"/>
          <w:szCs w:val="22"/>
        </w:rPr>
        <w:t>Tirzepatide</w:t>
      </w:r>
      <w:proofErr w:type="spellEnd"/>
      <w:r w:rsidR="4AFA98C3" w:rsidRPr="00535669">
        <w:rPr>
          <w:rFonts w:ascii="Arial" w:hAnsi="Arial" w:cs="Arial"/>
          <w:sz w:val="22"/>
          <w:szCs w:val="22"/>
        </w:rPr>
        <w:t xml:space="preserve"> will be made available </w:t>
      </w:r>
      <w:r w:rsidRPr="00535669">
        <w:rPr>
          <w:rFonts w:ascii="Arial" w:hAnsi="Arial" w:cs="Arial"/>
          <w:sz w:val="22"/>
          <w:szCs w:val="22"/>
        </w:rPr>
        <w:t>on behalf of primary care</w:t>
      </w:r>
      <w:r w:rsidR="56DCAA7F" w:rsidRPr="00535669">
        <w:rPr>
          <w:rFonts w:ascii="Arial" w:hAnsi="Arial" w:cs="Arial"/>
          <w:sz w:val="22"/>
          <w:szCs w:val="22"/>
        </w:rPr>
        <w:t xml:space="preserve"> as part of these services. </w:t>
      </w:r>
      <w:r w:rsidRPr="00535669">
        <w:rPr>
          <w:rFonts w:ascii="Arial" w:hAnsi="Arial" w:cs="Arial"/>
          <w:sz w:val="22"/>
          <w:szCs w:val="22"/>
        </w:rPr>
        <w:t xml:space="preserve"> We are working as quickly as possible to make these services available across North East London</w:t>
      </w:r>
      <w:r w:rsidR="0517E077" w:rsidRPr="00535669">
        <w:rPr>
          <w:rFonts w:ascii="Arial" w:hAnsi="Arial" w:cs="Arial"/>
          <w:sz w:val="22"/>
          <w:szCs w:val="22"/>
        </w:rPr>
        <w:t>, over the next few months.</w:t>
      </w:r>
    </w:p>
    <w:p w14:paraId="2CFEEC4C" w14:textId="77777777" w:rsidR="00FE50E4" w:rsidRPr="00535669" w:rsidRDefault="00FE50E4" w:rsidP="00FE50E4">
      <w:pPr>
        <w:pStyle w:val="Default"/>
        <w:rPr>
          <w:rFonts w:ascii="Arial" w:hAnsi="Arial" w:cs="Arial"/>
          <w:sz w:val="22"/>
          <w:szCs w:val="22"/>
        </w:rPr>
      </w:pPr>
    </w:p>
    <w:p w14:paraId="4ABBF314" w14:textId="37F76AB3" w:rsidR="00FE50E4" w:rsidRPr="00535669" w:rsidRDefault="00FE50E4" w:rsidP="00FE50E4">
      <w:pPr>
        <w:pStyle w:val="Default"/>
        <w:rPr>
          <w:rFonts w:ascii="Arial" w:hAnsi="Arial" w:cs="Arial"/>
          <w:sz w:val="22"/>
          <w:szCs w:val="22"/>
        </w:rPr>
      </w:pPr>
      <w:r w:rsidRPr="00535669">
        <w:rPr>
          <w:rFonts w:ascii="Arial" w:hAnsi="Arial" w:cs="Arial"/>
          <w:sz w:val="22"/>
          <w:szCs w:val="22"/>
        </w:rPr>
        <w:t xml:space="preserve">We will continue to update this policy statement and share information with local partners as we </w:t>
      </w:r>
      <w:r w:rsidR="298E4410" w:rsidRPr="00535669">
        <w:rPr>
          <w:rFonts w:ascii="Arial" w:hAnsi="Arial" w:cs="Arial"/>
          <w:sz w:val="22"/>
          <w:szCs w:val="22"/>
        </w:rPr>
        <w:t>finalise</w:t>
      </w:r>
      <w:r w:rsidRPr="00535669">
        <w:rPr>
          <w:rFonts w:ascii="Arial" w:hAnsi="Arial" w:cs="Arial"/>
          <w:sz w:val="22"/>
          <w:szCs w:val="22"/>
        </w:rPr>
        <w:t xml:space="preserve"> our approach.</w:t>
      </w:r>
    </w:p>
    <w:p w14:paraId="27692D72" w14:textId="77777777" w:rsidR="00FE50E4" w:rsidRPr="00535669" w:rsidRDefault="00FE50E4" w:rsidP="00FE50E4">
      <w:pPr>
        <w:pStyle w:val="Default"/>
        <w:rPr>
          <w:rFonts w:ascii="Arial" w:hAnsi="Arial" w:cs="Arial"/>
          <w:sz w:val="22"/>
          <w:szCs w:val="22"/>
        </w:rPr>
      </w:pPr>
    </w:p>
    <w:p w14:paraId="59F2EE4C" w14:textId="15ADC745" w:rsidR="00FE50E4" w:rsidRPr="00535669" w:rsidRDefault="00FE50E4" w:rsidP="00FE50E4">
      <w:pPr>
        <w:pStyle w:val="Default"/>
        <w:rPr>
          <w:rFonts w:ascii="Arial" w:hAnsi="Arial" w:cs="Arial"/>
          <w:sz w:val="22"/>
          <w:szCs w:val="22"/>
        </w:rPr>
      </w:pPr>
      <w:r w:rsidRPr="00535669">
        <w:rPr>
          <w:rFonts w:ascii="Arial" w:hAnsi="Arial" w:cs="Arial"/>
          <w:sz w:val="22"/>
          <w:szCs w:val="22"/>
        </w:rPr>
        <w:t xml:space="preserve">Further information about </w:t>
      </w:r>
      <w:proofErr w:type="spellStart"/>
      <w:r w:rsidRPr="00535669">
        <w:rPr>
          <w:rFonts w:ascii="Arial" w:hAnsi="Arial" w:cs="Arial"/>
          <w:sz w:val="22"/>
          <w:szCs w:val="22"/>
        </w:rPr>
        <w:t>tirzepatide</w:t>
      </w:r>
      <w:proofErr w:type="spellEnd"/>
      <w:r w:rsidRPr="00535669">
        <w:rPr>
          <w:rFonts w:ascii="Arial" w:hAnsi="Arial" w:cs="Arial"/>
          <w:sz w:val="22"/>
          <w:szCs w:val="22"/>
        </w:rPr>
        <w:t xml:space="preserve"> is available on the </w:t>
      </w:r>
      <w:hyperlink r:id="rId11" w:history="1">
        <w:r w:rsidRPr="00535669">
          <w:rPr>
            <w:rStyle w:val="Hyperlink"/>
            <w:rFonts w:ascii="Arial" w:hAnsi="Arial" w:cs="Arial"/>
            <w:sz w:val="22"/>
            <w:szCs w:val="22"/>
          </w:rPr>
          <w:t>NHS England website</w:t>
        </w:r>
      </w:hyperlink>
      <w:r w:rsidRPr="00535669">
        <w:rPr>
          <w:rFonts w:ascii="Arial" w:hAnsi="Arial" w:cs="Arial"/>
          <w:sz w:val="22"/>
          <w:szCs w:val="22"/>
        </w:rPr>
        <w:t xml:space="preserve"> and the </w:t>
      </w:r>
      <w:hyperlink r:id="rId12" w:history="1">
        <w:r w:rsidRPr="00535669">
          <w:rPr>
            <w:rStyle w:val="Hyperlink"/>
            <w:rFonts w:ascii="Arial" w:hAnsi="Arial" w:cs="Arial"/>
            <w:sz w:val="22"/>
            <w:szCs w:val="22"/>
          </w:rPr>
          <w:t>National Clinical Institute for Excellence website</w:t>
        </w:r>
      </w:hyperlink>
      <w:r w:rsidRPr="00535669">
        <w:rPr>
          <w:rFonts w:ascii="Arial" w:hAnsi="Arial" w:cs="Arial"/>
          <w:sz w:val="22"/>
          <w:szCs w:val="22"/>
        </w:rPr>
        <w:t>.</w:t>
      </w:r>
    </w:p>
    <w:p w14:paraId="27EB8EEF" w14:textId="77777777" w:rsidR="00B5047D" w:rsidRPr="00535669" w:rsidRDefault="00B5047D" w:rsidP="00B5047D">
      <w:pPr>
        <w:pStyle w:val="Default"/>
        <w:rPr>
          <w:rFonts w:ascii="Arial" w:hAnsi="Arial" w:cs="Arial"/>
          <w:sz w:val="22"/>
          <w:szCs w:val="22"/>
        </w:rPr>
      </w:pPr>
    </w:p>
    <w:p w14:paraId="6E32483B" w14:textId="0DD1272E" w:rsidR="00B5047D" w:rsidRPr="00535669" w:rsidRDefault="00B5047D" w:rsidP="00B5047D">
      <w:pPr>
        <w:pStyle w:val="Default"/>
        <w:rPr>
          <w:rFonts w:ascii="Arial" w:hAnsi="Arial" w:cs="Arial"/>
        </w:rPr>
      </w:pPr>
      <w:r w:rsidRPr="00535669">
        <w:rPr>
          <w:rFonts w:ascii="Arial" w:hAnsi="Arial" w:cs="Arial"/>
          <w:b/>
          <w:bCs/>
        </w:rPr>
        <w:t xml:space="preserve">Principles for Prescribing </w:t>
      </w:r>
      <w:proofErr w:type="spellStart"/>
      <w:r w:rsidRPr="00535669">
        <w:rPr>
          <w:rFonts w:ascii="Arial" w:hAnsi="Arial" w:cs="Arial"/>
          <w:b/>
          <w:bCs/>
        </w:rPr>
        <w:t>Wegovy</w:t>
      </w:r>
      <w:proofErr w:type="spellEnd"/>
      <w:r w:rsidRPr="00535669">
        <w:rPr>
          <w:rFonts w:ascii="Arial" w:hAnsi="Arial" w:cs="Arial"/>
          <w:b/>
          <w:bCs/>
        </w:rPr>
        <w:t xml:space="preserve">® and </w:t>
      </w:r>
      <w:proofErr w:type="spellStart"/>
      <w:r w:rsidRPr="00535669">
        <w:rPr>
          <w:rFonts w:ascii="Arial" w:hAnsi="Arial" w:cs="Arial"/>
          <w:b/>
          <w:bCs/>
        </w:rPr>
        <w:t>Mounjaro</w:t>
      </w:r>
      <w:proofErr w:type="spellEnd"/>
      <w:r w:rsidRPr="00535669">
        <w:rPr>
          <w:rFonts w:ascii="Arial" w:hAnsi="Arial" w:cs="Arial"/>
          <w:b/>
          <w:bCs/>
        </w:rPr>
        <w:t xml:space="preserve">® for Weight Management in NEL </w:t>
      </w:r>
    </w:p>
    <w:p w14:paraId="37B9039C" w14:textId="77777777" w:rsidR="00B5047D" w:rsidRPr="00535669" w:rsidRDefault="00B5047D" w:rsidP="00B5047D">
      <w:pPr>
        <w:pStyle w:val="Default"/>
        <w:spacing w:after="121"/>
        <w:rPr>
          <w:rFonts w:ascii="Arial" w:hAnsi="Arial" w:cs="Arial"/>
          <w:b/>
          <w:bCs/>
          <w:sz w:val="22"/>
          <w:szCs w:val="22"/>
        </w:rPr>
      </w:pPr>
    </w:p>
    <w:p w14:paraId="564FC4E9" w14:textId="0F29039F" w:rsidR="0055318B" w:rsidRPr="00535669" w:rsidRDefault="00B5047D" w:rsidP="0055318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535669">
        <w:rPr>
          <w:rFonts w:ascii="Arial" w:hAnsi="Arial" w:cs="Arial"/>
          <w:b/>
          <w:bCs/>
        </w:rPr>
        <w:t>Equal Access</w:t>
      </w:r>
      <w:r w:rsidRPr="00535669">
        <w:rPr>
          <w:rFonts w:ascii="Arial" w:hAnsi="Arial" w:cs="Arial"/>
        </w:rPr>
        <w:t xml:space="preserve">: </w:t>
      </w:r>
      <w:r w:rsidR="0055318B" w:rsidRPr="00535669">
        <w:rPr>
          <w:rFonts w:ascii="Arial" w:hAnsi="Arial" w:cs="Arial"/>
          <w:color w:val="000000"/>
          <w14:ligatures w14:val="standardContextual"/>
        </w:rPr>
        <w:t>People who are living with obesity who are eligible for weight loss medications in line with this North East London Interim Policy Statement should have equitable access to these</w:t>
      </w:r>
      <w:r w:rsidR="51CD384A" w:rsidRPr="00535669">
        <w:rPr>
          <w:rFonts w:ascii="Arial" w:hAnsi="Arial" w:cs="Arial"/>
          <w:color w:val="000000"/>
          <w14:ligatures w14:val="standardContextual"/>
        </w:rPr>
        <w:t xml:space="preserve"> medicines</w:t>
      </w:r>
      <w:r w:rsidR="0055318B" w:rsidRPr="00535669">
        <w:rPr>
          <w:rFonts w:ascii="Arial" w:hAnsi="Arial" w:cs="Arial"/>
          <w:color w:val="000000"/>
          <w14:ligatures w14:val="standardContextual"/>
        </w:rPr>
        <w:t xml:space="preserve"> </w:t>
      </w:r>
    </w:p>
    <w:p w14:paraId="0D393B09" w14:textId="7B6DF92B" w:rsidR="00B5047D" w:rsidRPr="00535669" w:rsidRDefault="00B5047D" w:rsidP="00AA32A8">
      <w:pPr>
        <w:pStyle w:val="Default"/>
        <w:numPr>
          <w:ilvl w:val="0"/>
          <w:numId w:val="4"/>
        </w:numPr>
        <w:spacing w:after="121"/>
        <w:rPr>
          <w:rFonts w:ascii="Arial" w:hAnsi="Arial" w:cs="Arial"/>
          <w:sz w:val="22"/>
          <w:szCs w:val="22"/>
        </w:rPr>
      </w:pPr>
      <w:r w:rsidRPr="00535669">
        <w:rPr>
          <w:rFonts w:ascii="Arial" w:hAnsi="Arial" w:cs="Arial"/>
          <w:b/>
          <w:bCs/>
          <w:sz w:val="22"/>
          <w:szCs w:val="22"/>
        </w:rPr>
        <w:t>Proactive Care</w:t>
      </w:r>
      <w:r w:rsidRPr="00535669">
        <w:rPr>
          <w:rFonts w:ascii="Arial" w:hAnsi="Arial" w:cs="Arial"/>
          <w:sz w:val="22"/>
          <w:szCs w:val="22"/>
        </w:rPr>
        <w:t>: Weight management services will identify people living with obesity who are eligible for medication in line with this policy</w:t>
      </w:r>
    </w:p>
    <w:p w14:paraId="679A870F" w14:textId="77777777" w:rsidR="00B5047D" w:rsidRPr="00535669" w:rsidRDefault="00B5047D" w:rsidP="00B5047D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5669">
        <w:rPr>
          <w:rFonts w:ascii="Arial" w:hAnsi="Arial" w:cs="Arial"/>
          <w:b/>
          <w:bCs/>
          <w:sz w:val="22"/>
          <w:szCs w:val="22"/>
        </w:rPr>
        <w:t>Financial Stewardship</w:t>
      </w:r>
      <w:r w:rsidRPr="00535669">
        <w:rPr>
          <w:rFonts w:ascii="Arial" w:hAnsi="Arial" w:cs="Arial"/>
          <w:sz w:val="22"/>
          <w:szCs w:val="22"/>
        </w:rPr>
        <w:t xml:space="preserve">: We have a duty to live within our financial means, so prescribing and service costs must be managed within allocated budgets </w:t>
      </w:r>
    </w:p>
    <w:p w14:paraId="01D4A9B0" w14:textId="77777777" w:rsidR="0055318B" w:rsidRPr="00535669" w:rsidRDefault="0055318B" w:rsidP="0055318B">
      <w:pPr>
        <w:pStyle w:val="Default"/>
        <w:rPr>
          <w:rFonts w:ascii="Arial" w:hAnsi="Arial" w:cs="Arial"/>
          <w:sz w:val="22"/>
          <w:szCs w:val="22"/>
        </w:rPr>
      </w:pPr>
    </w:p>
    <w:p w14:paraId="6801A872" w14:textId="0A848E16" w:rsidR="0055318B" w:rsidRPr="00535669" w:rsidRDefault="0055318B" w:rsidP="3D6C7C77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Who </w:t>
      </w:r>
      <w:r w:rsidR="007B260D"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will be </w:t>
      </w:r>
      <w:r w:rsidR="582756EB" w:rsidRPr="00535669">
        <w:rPr>
          <w:rFonts w:ascii="Arial" w:eastAsiaTheme="minorEastAsia" w:hAnsi="Arial" w:cs="Arial"/>
          <w:b/>
          <w:bCs/>
          <w:sz w:val="24"/>
          <w:szCs w:val="24"/>
        </w:rPr>
        <w:t>e</w:t>
      </w:r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ligible for </w:t>
      </w:r>
      <w:proofErr w:type="spellStart"/>
      <w:r w:rsidRPr="00535669">
        <w:rPr>
          <w:rFonts w:ascii="Arial" w:eastAsiaTheme="minorEastAsia" w:hAnsi="Arial" w:cs="Arial"/>
          <w:b/>
          <w:bCs/>
          <w:sz w:val="24"/>
          <w:szCs w:val="24"/>
        </w:rPr>
        <w:t>Wegovy</w:t>
      </w:r>
      <w:proofErr w:type="spellEnd"/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® or </w:t>
      </w:r>
      <w:proofErr w:type="spellStart"/>
      <w:r w:rsidRPr="00535669">
        <w:rPr>
          <w:rFonts w:ascii="Arial" w:eastAsiaTheme="minorEastAsia" w:hAnsi="Arial" w:cs="Arial"/>
          <w:b/>
          <w:bCs/>
          <w:sz w:val="24"/>
          <w:szCs w:val="24"/>
        </w:rPr>
        <w:t>Mounjaro</w:t>
      </w:r>
      <w:proofErr w:type="spellEnd"/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® on the NHS in </w:t>
      </w:r>
      <w:r w:rsidR="004D12B0" w:rsidRPr="00535669">
        <w:rPr>
          <w:rFonts w:ascii="Arial" w:eastAsiaTheme="minorEastAsia" w:hAnsi="Arial" w:cs="Arial"/>
          <w:b/>
          <w:bCs/>
          <w:sz w:val="24"/>
          <w:szCs w:val="24"/>
        </w:rPr>
        <w:t>North</w:t>
      </w:r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 East London? </w:t>
      </w:r>
    </w:p>
    <w:p w14:paraId="22A7FC33" w14:textId="45D21B21" w:rsidR="0055318B" w:rsidRPr="00535669" w:rsidRDefault="0055318B" w:rsidP="0055318B">
      <w:pPr>
        <w:spacing w:after="0" w:line="240" w:lineRule="auto"/>
        <w:jc w:val="both"/>
        <w:rPr>
          <w:rFonts w:ascii="Arial" w:eastAsiaTheme="minorEastAsia" w:hAnsi="Arial" w:cs="Arial"/>
          <w:sz w:val="16"/>
          <w:szCs w:val="16"/>
          <w:lang w:val="en-US"/>
        </w:rPr>
      </w:pP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10560"/>
      </w:tblGrid>
      <w:tr w:rsidR="0055318B" w:rsidRPr="00535669" w14:paraId="17FC558B" w14:textId="77777777" w:rsidTr="00FE6944">
        <w:trPr>
          <w:trHeight w:val="300"/>
        </w:trPr>
        <w:tc>
          <w:tcPr>
            <w:tcW w:w="10560" w:type="dxa"/>
            <w:shd w:val="clear" w:color="auto" w:fill="DEEAF6" w:themeFill="accent5" w:themeFillTint="33"/>
          </w:tcPr>
          <w:p w14:paraId="0E10F787" w14:textId="77777777" w:rsidR="0055318B" w:rsidRPr="00535669" w:rsidRDefault="0055318B" w:rsidP="00377D61">
            <w:pPr>
              <w:spacing w:line="240" w:lineRule="auto"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>Those with a body mass index (BMI) greater than or equal to 40kg/m</w:t>
            </w:r>
            <w:r w:rsidRPr="00535669">
              <w:rPr>
                <w:rFonts w:ascii="Arial" w:eastAsiaTheme="minorEastAsia" w:hAnsi="Arial" w:cs="Arial"/>
                <w:vertAlign w:val="superscript"/>
                <w:lang w:val="en-US"/>
              </w:rPr>
              <w:t xml:space="preserve">2 </w:t>
            </w:r>
            <w:r w:rsidRPr="00535669">
              <w:rPr>
                <w:rFonts w:ascii="Arial" w:eastAsiaTheme="minorEastAsia" w:hAnsi="Arial" w:cs="Arial"/>
                <w:lang w:val="en-US"/>
              </w:rPr>
              <w:t xml:space="preserve">* </w:t>
            </w:r>
            <w:r w:rsidRPr="00535669">
              <w:rPr>
                <w:rFonts w:ascii="Arial" w:eastAsiaTheme="minorEastAsia" w:hAnsi="Arial" w:cs="Arial"/>
                <w:b/>
                <w:bCs/>
                <w:lang w:val="en-US"/>
              </w:rPr>
              <w:t>and</w:t>
            </w:r>
            <w:r w:rsidRPr="00535669">
              <w:rPr>
                <w:rFonts w:ascii="Arial" w:eastAsiaTheme="minorEastAsia" w:hAnsi="Arial" w:cs="Arial"/>
                <w:lang w:val="en-US"/>
              </w:rPr>
              <w:t xml:space="preserve"> 4 or more qualifying co-morbidities.</w:t>
            </w:r>
          </w:p>
          <w:p w14:paraId="67E6F20D" w14:textId="77777777" w:rsidR="0055318B" w:rsidRPr="00535669" w:rsidRDefault="0055318B" w:rsidP="00377D61">
            <w:pPr>
              <w:numPr>
                <w:ilvl w:val="0"/>
                <w:numId w:val="6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 xml:space="preserve">Qualifying co-morbidities (see </w:t>
            </w:r>
            <w:hyperlink r:id="rId13" w:history="1">
              <w:r w:rsidRPr="00535669">
                <w:rPr>
                  <w:rFonts w:ascii="Arial" w:eastAsiaTheme="minorEastAsia" w:hAnsi="Arial" w:cs="Arial"/>
                  <w:color w:val="0563C1" w:themeColor="hyperlink"/>
                  <w:u w:val="single"/>
                </w:rPr>
                <w:t>details of definitions</w:t>
              </w:r>
            </w:hyperlink>
            <w:r w:rsidRPr="00535669">
              <w:rPr>
                <w:rFonts w:ascii="Arial" w:eastAsiaTheme="minorEastAsia" w:hAnsi="Arial" w:cs="Arial"/>
              </w:rPr>
              <w:t xml:space="preserve"> and overleaf)</w:t>
            </w:r>
            <w:r w:rsidRPr="00535669">
              <w:rPr>
                <w:rFonts w:ascii="Arial" w:eastAsiaTheme="minorEastAsia" w:hAnsi="Arial" w:cs="Arial"/>
                <w:lang w:val="en-US"/>
              </w:rPr>
              <w:t xml:space="preserve"> are</w:t>
            </w:r>
          </w:p>
          <w:p w14:paraId="5F344F80" w14:textId="77777777" w:rsidR="0055318B" w:rsidRPr="00535669" w:rsidRDefault="0055318B" w:rsidP="00377D61">
            <w:pPr>
              <w:numPr>
                <w:ilvl w:val="1"/>
                <w:numId w:val="6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>Cardiovascular disease</w:t>
            </w:r>
          </w:p>
          <w:p w14:paraId="27CAE049" w14:textId="77777777" w:rsidR="0055318B" w:rsidRPr="00535669" w:rsidRDefault="0055318B" w:rsidP="00377D61">
            <w:pPr>
              <w:numPr>
                <w:ilvl w:val="1"/>
                <w:numId w:val="6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 xml:space="preserve">Hypertension </w:t>
            </w:r>
          </w:p>
          <w:p w14:paraId="662C8D29" w14:textId="77777777" w:rsidR="0055318B" w:rsidRPr="00535669" w:rsidRDefault="0055318B" w:rsidP="00377D61">
            <w:pPr>
              <w:numPr>
                <w:ilvl w:val="1"/>
                <w:numId w:val="6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535669">
              <w:rPr>
                <w:rFonts w:ascii="Arial" w:eastAsiaTheme="minorEastAsia" w:hAnsi="Arial" w:cs="Arial"/>
                <w:lang w:val="en-US"/>
              </w:rPr>
              <w:t>Dyslipidaemia</w:t>
            </w:r>
            <w:proofErr w:type="spellEnd"/>
          </w:p>
          <w:p w14:paraId="5B67A893" w14:textId="77777777" w:rsidR="0055318B" w:rsidRPr="00535669" w:rsidRDefault="0055318B" w:rsidP="00377D61">
            <w:pPr>
              <w:numPr>
                <w:ilvl w:val="1"/>
                <w:numId w:val="6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 xml:space="preserve">Obstructive sleep </w:t>
            </w:r>
            <w:proofErr w:type="spellStart"/>
            <w:r w:rsidRPr="00535669">
              <w:rPr>
                <w:rFonts w:ascii="Arial" w:eastAsiaTheme="minorEastAsia" w:hAnsi="Arial" w:cs="Arial"/>
                <w:lang w:val="en-US"/>
              </w:rPr>
              <w:t>apnoea</w:t>
            </w:r>
            <w:proofErr w:type="spellEnd"/>
          </w:p>
          <w:p w14:paraId="3E387C10" w14:textId="7A7A0EAF" w:rsidR="0055318B" w:rsidRPr="00535669" w:rsidRDefault="0055318B" w:rsidP="00377D61">
            <w:pPr>
              <w:numPr>
                <w:ilvl w:val="1"/>
                <w:numId w:val="6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>Type 2 diabetes mellitus</w:t>
            </w:r>
          </w:p>
        </w:tc>
      </w:tr>
      <w:tr w:rsidR="0055318B" w:rsidRPr="00535669" w14:paraId="5A08FEBD" w14:textId="77777777" w:rsidTr="00FE6944">
        <w:trPr>
          <w:trHeight w:val="300"/>
        </w:trPr>
        <w:tc>
          <w:tcPr>
            <w:tcW w:w="10560" w:type="dxa"/>
            <w:shd w:val="clear" w:color="auto" w:fill="BDD6EE" w:themeFill="accent5" w:themeFillTint="66"/>
          </w:tcPr>
          <w:p w14:paraId="7EBF7371" w14:textId="77777777" w:rsidR="0055318B" w:rsidRPr="00535669" w:rsidRDefault="0055318B" w:rsidP="0055318B">
            <w:pPr>
              <w:spacing w:line="240" w:lineRule="auto"/>
              <w:jc w:val="both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  <w:lang w:val="en-US"/>
              </w:rPr>
              <w:t>Those with a body mass index (BMI) greater than or equal to 35kg/m</w:t>
            </w:r>
            <w:r w:rsidRPr="00535669">
              <w:rPr>
                <w:rFonts w:ascii="Arial" w:eastAsiaTheme="minorEastAsia" w:hAnsi="Arial" w:cs="Arial"/>
                <w:vertAlign w:val="superscript"/>
                <w:lang w:val="en-US"/>
              </w:rPr>
              <w:t xml:space="preserve">2 </w:t>
            </w:r>
            <w:r w:rsidRPr="00535669">
              <w:rPr>
                <w:rFonts w:ascii="Arial" w:eastAsiaTheme="minorEastAsia" w:hAnsi="Arial" w:cs="Arial"/>
                <w:lang w:val="en-US"/>
              </w:rPr>
              <w:t xml:space="preserve">* </w:t>
            </w:r>
            <w:r w:rsidRPr="00535669">
              <w:rPr>
                <w:rFonts w:ascii="Arial" w:eastAsiaTheme="minorEastAsia" w:hAnsi="Arial" w:cs="Arial"/>
                <w:b/>
                <w:bCs/>
                <w:lang w:val="en-US"/>
              </w:rPr>
              <w:t>and</w:t>
            </w:r>
            <w:r w:rsidRPr="00535669">
              <w:rPr>
                <w:rFonts w:ascii="Arial" w:eastAsiaTheme="minorEastAsia" w:hAnsi="Arial" w:cs="Arial"/>
                <w:lang w:val="en-US"/>
              </w:rPr>
              <w:t xml:space="preserve"> 1 weight related co-morbidity (not restricted to qualifying co-morbidities) </w:t>
            </w:r>
            <w:r w:rsidRPr="00535669">
              <w:rPr>
                <w:rFonts w:ascii="Arial" w:eastAsiaTheme="minorEastAsia" w:hAnsi="Arial" w:cs="Arial"/>
                <w:b/>
                <w:bCs/>
                <w:lang w:val="en-US"/>
              </w:rPr>
              <w:t>and</w:t>
            </w:r>
            <w:r w:rsidRPr="00535669">
              <w:rPr>
                <w:rFonts w:ascii="Arial" w:eastAsiaTheme="minorEastAsia" w:hAnsi="Arial" w:cs="Arial"/>
                <w:lang w:val="en-US"/>
              </w:rPr>
              <w:t> one of the below criteria:</w:t>
            </w:r>
            <w:r w:rsidRPr="00535669">
              <w:rPr>
                <w:rFonts w:ascii="Arial" w:eastAsiaTheme="minorEastAsia" w:hAnsi="Arial" w:cs="Arial"/>
              </w:rPr>
              <w:t>​</w:t>
            </w:r>
          </w:p>
          <w:p w14:paraId="11BCBA74" w14:textId="77777777" w:rsidR="0055318B" w:rsidRPr="00535669" w:rsidRDefault="0055318B" w:rsidP="0055318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>Active malignancy and need for urgent weight loss for planned therapy e.g. radiotherapy or surgery</w:t>
            </w:r>
            <w:r w:rsidRPr="00535669">
              <w:rPr>
                <w:rFonts w:ascii="Arial" w:eastAsiaTheme="minorEastAsia" w:hAnsi="Arial" w:cs="Arial"/>
                <w:lang w:val="en-US"/>
              </w:rPr>
              <w:t>​</w:t>
            </w:r>
          </w:p>
          <w:p w14:paraId="1049A61F" w14:textId="77777777" w:rsidR="0055318B" w:rsidRPr="00535669" w:rsidRDefault="0055318B" w:rsidP="0055318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Urgent weight loss needed for organ transplant​</w:t>
            </w:r>
          </w:p>
          <w:p w14:paraId="7476ACA7" w14:textId="77777777" w:rsidR="0055318B" w:rsidRPr="00535669" w:rsidRDefault="0055318B" w:rsidP="0055318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Idiopathic intracranial hypertension (IIH), needing frequent lumbar punctures and/or visual compromise​</w:t>
            </w:r>
          </w:p>
          <w:p w14:paraId="07CA881E" w14:textId="77777777" w:rsidR="0055318B" w:rsidRPr="00535669" w:rsidRDefault="0055318B" w:rsidP="0055318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Undergoing planned</w:t>
            </w:r>
            <w:r w:rsidRPr="00535669">
              <w:rPr>
                <w:rFonts w:ascii="Arial" w:eastAsiaTheme="minorEastAsia" w:hAnsi="Arial" w:cs="Arial"/>
                <w:b/>
                <w:bCs/>
              </w:rPr>
              <w:t xml:space="preserve"> time-sensitive </w:t>
            </w:r>
            <w:r w:rsidRPr="00535669">
              <w:rPr>
                <w:rFonts w:ascii="Arial" w:eastAsiaTheme="minorEastAsia" w:hAnsi="Arial" w:cs="Arial"/>
              </w:rPr>
              <w:t xml:space="preserve">surgery for </w:t>
            </w:r>
            <w:r w:rsidRPr="00535669">
              <w:rPr>
                <w:rFonts w:ascii="Arial" w:eastAsiaTheme="minorEastAsia" w:hAnsi="Arial" w:cs="Arial"/>
                <w:b/>
                <w:bCs/>
              </w:rPr>
              <w:t>life-limiting conditions</w:t>
            </w:r>
            <w:r w:rsidRPr="00535669">
              <w:rPr>
                <w:rFonts w:ascii="Arial" w:eastAsiaTheme="minorEastAsia" w:hAnsi="Arial" w:cs="Arial"/>
              </w:rPr>
              <w:t>, where a high BMI is the main barrier to surgery.​</w:t>
            </w:r>
          </w:p>
          <w:p w14:paraId="6AD07442" w14:textId="2025773D" w:rsidR="0055318B" w:rsidRPr="00535669" w:rsidRDefault="0055318B" w:rsidP="0055318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>Obesity hypoventilation syndrome (OHS)</w:t>
            </w:r>
          </w:p>
        </w:tc>
      </w:tr>
    </w:tbl>
    <w:p w14:paraId="1224AB2B" w14:textId="2867889F" w:rsidR="0055318B" w:rsidRPr="00535669" w:rsidRDefault="0055318B" w:rsidP="0055318B">
      <w:pPr>
        <w:spacing w:after="0" w:line="240" w:lineRule="auto"/>
        <w:ind w:left="1080"/>
        <w:contextualSpacing/>
        <w:jc w:val="both"/>
        <w:rPr>
          <w:rFonts w:ascii="Arial" w:eastAsiaTheme="minorEastAsia" w:hAnsi="Arial" w:cs="Arial"/>
          <w:sz w:val="8"/>
          <w:szCs w:val="8"/>
          <w:lang w:val="en-US"/>
        </w:rPr>
      </w:pPr>
    </w:p>
    <w:p w14:paraId="4E0C2534" w14:textId="703194A2" w:rsidR="0055318B" w:rsidRPr="00535669" w:rsidRDefault="0055318B" w:rsidP="00BA1FDC">
      <w:pPr>
        <w:tabs>
          <w:tab w:val="left" w:pos="851"/>
        </w:tabs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</w:rPr>
      </w:pPr>
      <w:r w:rsidRPr="00535669">
        <w:rPr>
          <w:rFonts w:ascii="Arial" w:eastAsiaTheme="minorEastAsia" w:hAnsi="Arial" w:cs="Arial"/>
          <w:sz w:val="18"/>
          <w:szCs w:val="18"/>
        </w:rPr>
        <w:t xml:space="preserve">* A lower </w:t>
      </w:r>
      <w:r w:rsidRPr="00535669">
        <w:rPr>
          <w:rFonts w:ascii="Arial" w:eastAsiaTheme="minorEastAsia" w:hAnsi="Arial" w:cs="Arial"/>
          <w:sz w:val="18"/>
          <w:szCs w:val="18"/>
          <w:lang w:val="en-US"/>
        </w:rPr>
        <w:t>body mass index</w:t>
      </w:r>
      <w:r w:rsidRPr="00535669">
        <w:rPr>
          <w:rFonts w:ascii="Arial" w:eastAsiaTheme="minorEastAsia" w:hAnsi="Arial" w:cs="Arial"/>
          <w:lang w:val="en-US"/>
        </w:rPr>
        <w:t xml:space="preserve"> </w:t>
      </w:r>
      <w:r w:rsidRPr="00535669">
        <w:rPr>
          <w:rFonts w:ascii="Arial" w:eastAsiaTheme="minorEastAsia" w:hAnsi="Arial" w:cs="Arial"/>
          <w:sz w:val="18"/>
          <w:szCs w:val="18"/>
        </w:rPr>
        <w:t>threshold should be used (usually reduced by 2.5 kg/m</w:t>
      </w:r>
      <w:r w:rsidRPr="00535669">
        <w:rPr>
          <w:rFonts w:ascii="Arial" w:eastAsiaTheme="minorEastAsia" w:hAnsi="Arial" w:cs="Arial"/>
          <w:sz w:val="18"/>
          <w:szCs w:val="18"/>
          <w:vertAlign w:val="superscript"/>
        </w:rPr>
        <w:t>2</w:t>
      </w:r>
      <w:r w:rsidRPr="00535669">
        <w:rPr>
          <w:rFonts w:ascii="Arial" w:eastAsiaTheme="minorEastAsia" w:hAnsi="Arial" w:cs="Arial"/>
          <w:sz w:val="18"/>
          <w:szCs w:val="18"/>
        </w:rPr>
        <w:t>) for people from South Asian, Chinese, other Asian, Middle Eastern, Black African or African-Caribbean ethnic background</w:t>
      </w:r>
    </w:p>
    <w:p w14:paraId="49D73014" w14:textId="77777777" w:rsidR="0055318B" w:rsidRPr="00535669" w:rsidRDefault="0055318B" w:rsidP="0055318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FE6D320" w14:textId="77777777" w:rsidR="00FE6944" w:rsidRPr="00535669" w:rsidRDefault="00FE6944">
      <w:pPr>
        <w:spacing w:line="259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535669">
        <w:rPr>
          <w:rFonts w:ascii="Arial" w:eastAsiaTheme="minorEastAsia" w:hAnsi="Arial" w:cs="Arial"/>
          <w:b/>
          <w:bCs/>
          <w:sz w:val="24"/>
          <w:szCs w:val="24"/>
        </w:rPr>
        <w:br w:type="page"/>
      </w:r>
    </w:p>
    <w:p w14:paraId="42FC150E" w14:textId="5CED8A7D" w:rsidR="0055318B" w:rsidRPr="00535669" w:rsidRDefault="0055318B" w:rsidP="3D6C7C77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535669">
        <w:rPr>
          <w:rFonts w:ascii="Arial" w:eastAsiaTheme="minorEastAsia" w:hAnsi="Arial" w:cs="Arial"/>
          <w:b/>
          <w:bCs/>
          <w:sz w:val="24"/>
          <w:szCs w:val="24"/>
        </w:rPr>
        <w:lastRenderedPageBreak/>
        <w:t xml:space="preserve">How </w:t>
      </w:r>
      <w:r w:rsidR="00C14765"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will </w:t>
      </w:r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eligible people access </w:t>
      </w:r>
      <w:proofErr w:type="spellStart"/>
      <w:r w:rsidRPr="00535669">
        <w:rPr>
          <w:rFonts w:ascii="Arial" w:eastAsiaTheme="minorEastAsia" w:hAnsi="Arial" w:cs="Arial"/>
          <w:b/>
          <w:bCs/>
          <w:sz w:val="24"/>
          <w:szCs w:val="24"/>
        </w:rPr>
        <w:t>Wegovy</w:t>
      </w:r>
      <w:proofErr w:type="spellEnd"/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® or </w:t>
      </w:r>
      <w:proofErr w:type="spellStart"/>
      <w:r w:rsidRPr="00535669">
        <w:rPr>
          <w:rFonts w:ascii="Arial" w:eastAsiaTheme="minorEastAsia" w:hAnsi="Arial" w:cs="Arial"/>
          <w:b/>
          <w:bCs/>
          <w:sz w:val="24"/>
          <w:szCs w:val="24"/>
        </w:rPr>
        <w:t>Mounjaro</w:t>
      </w:r>
      <w:proofErr w:type="spellEnd"/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® on the NHS in </w:t>
      </w:r>
      <w:r w:rsidR="004D12B0" w:rsidRPr="00535669">
        <w:rPr>
          <w:rFonts w:ascii="Arial" w:eastAsiaTheme="minorEastAsia" w:hAnsi="Arial" w:cs="Arial"/>
          <w:b/>
          <w:bCs/>
          <w:sz w:val="24"/>
          <w:szCs w:val="24"/>
        </w:rPr>
        <w:t>North</w:t>
      </w:r>
      <w:r w:rsidRPr="00535669">
        <w:rPr>
          <w:rFonts w:ascii="Arial" w:eastAsiaTheme="minorEastAsia" w:hAnsi="Arial" w:cs="Arial"/>
          <w:b/>
          <w:bCs/>
          <w:sz w:val="24"/>
          <w:szCs w:val="24"/>
        </w:rPr>
        <w:t xml:space="preserve"> East London?</w:t>
      </w:r>
    </w:p>
    <w:p w14:paraId="5BC099C5" w14:textId="77777777" w:rsidR="0055318B" w:rsidRPr="00535669" w:rsidRDefault="0055318B" w:rsidP="0055318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2"/>
          <w:szCs w:val="12"/>
        </w:rPr>
      </w:pPr>
    </w:p>
    <w:p w14:paraId="674039D4" w14:textId="77777777" w:rsidR="00FE50E4" w:rsidRPr="00535669" w:rsidRDefault="00FE50E4" w:rsidP="00FE50E4">
      <w:pPr>
        <w:pStyle w:val="ListParagraph"/>
        <w:rPr>
          <w:rFonts w:ascii="Arial" w:hAnsi="Arial" w:cs="Arial"/>
          <w:color w:val="000000"/>
          <w14:ligatures w14:val="standardContextual"/>
        </w:rPr>
      </w:pPr>
    </w:p>
    <w:p w14:paraId="67B850E9" w14:textId="775A038C" w:rsidR="0055318B" w:rsidRPr="00535669" w:rsidRDefault="00FE50E4" w:rsidP="3D6C7C7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35669">
        <w:rPr>
          <w:rFonts w:ascii="Arial" w:hAnsi="Arial" w:cs="Arial"/>
          <w:color w:val="000000"/>
          <w14:ligatures w14:val="standardContextual"/>
        </w:rPr>
        <w:t xml:space="preserve">In the next few months, </w:t>
      </w:r>
      <w:r w:rsidR="0055318B" w:rsidRPr="00535669">
        <w:rPr>
          <w:rFonts w:ascii="Arial" w:hAnsi="Arial" w:cs="Arial"/>
          <w:color w:val="000000"/>
          <w14:ligatures w14:val="standardContextual"/>
        </w:rPr>
        <w:t xml:space="preserve">GPs </w:t>
      </w:r>
      <w:r w:rsidRPr="00535669">
        <w:rPr>
          <w:rFonts w:ascii="Arial" w:hAnsi="Arial" w:cs="Arial"/>
          <w:color w:val="000000"/>
          <w14:ligatures w14:val="standardContextual"/>
        </w:rPr>
        <w:t xml:space="preserve">will be able to </w:t>
      </w:r>
      <w:r w:rsidR="0055318B" w:rsidRPr="00535669">
        <w:rPr>
          <w:rFonts w:ascii="Arial" w:hAnsi="Arial" w:cs="Arial"/>
          <w:color w:val="000000"/>
          <w14:ligatures w14:val="standardContextual"/>
        </w:rPr>
        <w:t>refer eligible people who meet the criteria above</w:t>
      </w:r>
      <w:r w:rsidR="09FD81D0" w:rsidRPr="00535669">
        <w:rPr>
          <w:rFonts w:ascii="Arial" w:hAnsi="Arial" w:cs="Arial"/>
          <w:color w:val="000000"/>
          <w14:ligatures w14:val="standardContextual"/>
        </w:rPr>
        <w:t xml:space="preserve"> to </w:t>
      </w:r>
      <w:r w:rsidR="3EF4E785" w:rsidRPr="00535669">
        <w:rPr>
          <w:rFonts w:ascii="Arial" w:hAnsi="Arial" w:cs="Arial"/>
          <w:color w:val="000000"/>
          <w14:ligatures w14:val="standardContextual"/>
        </w:rPr>
        <w:t xml:space="preserve">a </w:t>
      </w:r>
      <w:r w:rsidR="7099E96E" w:rsidRPr="00535669">
        <w:rPr>
          <w:rFonts w:ascii="Arial" w:hAnsi="Arial" w:cs="Arial"/>
          <w:color w:val="000000"/>
          <w14:ligatures w14:val="standardContextual"/>
        </w:rPr>
        <w:t>locally-</w:t>
      </w:r>
      <w:r w:rsidR="64CBCD0C" w:rsidRPr="00535669">
        <w:rPr>
          <w:rFonts w:ascii="Arial" w:hAnsi="Arial" w:cs="Arial"/>
          <w:color w:val="000000"/>
          <w14:ligatures w14:val="standardContextual"/>
        </w:rPr>
        <w:t>commissioned</w:t>
      </w:r>
      <w:r w:rsidR="3EF4E785" w:rsidRPr="00535669">
        <w:rPr>
          <w:rFonts w:ascii="Arial" w:hAnsi="Arial" w:cs="Arial"/>
          <w:color w:val="000000"/>
          <w14:ligatures w14:val="standardContextual"/>
        </w:rPr>
        <w:t xml:space="preserve"> </w:t>
      </w:r>
      <w:r w:rsidR="2F21AA79" w:rsidRPr="00535669">
        <w:rPr>
          <w:rFonts w:ascii="Arial" w:hAnsi="Arial" w:cs="Arial"/>
          <w:color w:val="000000"/>
          <w14:ligatures w14:val="standardContextual"/>
        </w:rPr>
        <w:t xml:space="preserve">specialist </w:t>
      </w:r>
      <w:r w:rsidR="64519576" w:rsidRPr="00535669">
        <w:rPr>
          <w:rFonts w:ascii="Arial" w:hAnsi="Arial" w:cs="Arial"/>
          <w:color w:val="000000" w:themeColor="text1"/>
        </w:rPr>
        <w:t>service</w:t>
      </w:r>
      <w:r w:rsidR="0055318B" w:rsidRPr="00535669">
        <w:rPr>
          <w:rFonts w:ascii="Arial" w:hAnsi="Arial" w:cs="Arial"/>
          <w:color w:val="000000"/>
          <w14:ligatures w14:val="standardContextual"/>
        </w:rPr>
        <w:t xml:space="preserve"> to access weight management medicines</w:t>
      </w:r>
      <w:r w:rsidR="58585A1B" w:rsidRPr="00535669">
        <w:rPr>
          <w:rFonts w:ascii="Arial" w:hAnsi="Arial" w:cs="Arial"/>
          <w:color w:val="000000"/>
          <w14:ligatures w14:val="standardContextual"/>
        </w:rPr>
        <w:t xml:space="preserve"> on behalf of primary care.</w:t>
      </w:r>
      <w:r w:rsidR="0055318B" w:rsidRPr="00535669">
        <w:rPr>
          <w:rFonts w:ascii="Arial" w:hAnsi="Arial" w:cs="Arial"/>
          <w:color w:val="000000"/>
          <w14:ligatures w14:val="standardContextual"/>
        </w:rPr>
        <w:t xml:space="preserve">  </w:t>
      </w:r>
      <w:r w:rsidR="7DF215DA" w:rsidRPr="00535669">
        <w:rPr>
          <w:rFonts w:ascii="Arial" w:hAnsi="Arial" w:cs="Arial"/>
          <w:color w:val="000000"/>
          <w14:ligatures w14:val="standardContextual"/>
        </w:rPr>
        <w:t xml:space="preserve">Referral criteria will be finalised </w:t>
      </w:r>
      <w:r w:rsidR="309D5AAA" w:rsidRPr="00535669">
        <w:rPr>
          <w:rFonts w:ascii="Arial" w:hAnsi="Arial" w:cs="Arial"/>
          <w:color w:val="000000"/>
          <w14:ligatures w14:val="standardContextual"/>
        </w:rPr>
        <w:t xml:space="preserve">in the next few weeks </w:t>
      </w:r>
      <w:r w:rsidR="42899441" w:rsidRPr="00535669">
        <w:rPr>
          <w:rFonts w:ascii="Arial" w:hAnsi="Arial" w:cs="Arial"/>
          <w:color w:val="000000"/>
          <w14:ligatures w14:val="standardContextual"/>
        </w:rPr>
        <w:t>and communicated to primary care.</w:t>
      </w:r>
    </w:p>
    <w:p w14:paraId="06D7F2B0" w14:textId="5AFE20C0" w:rsidR="0055318B" w:rsidRPr="00535669" w:rsidRDefault="0055318B" w:rsidP="3D6C7C7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35669">
        <w:rPr>
          <w:rFonts w:ascii="Arial" w:hAnsi="Arial" w:cs="Arial"/>
          <w:color w:val="000000"/>
          <w14:ligatures w14:val="standardContextual"/>
        </w:rPr>
        <w:t xml:space="preserve">All weight management services providing access to weight management medicines on the NHS to patients registered with a GP in </w:t>
      </w:r>
      <w:bookmarkStart w:id="0" w:name="_Hlk201581249"/>
      <w:r w:rsidR="00DD0B69" w:rsidRPr="00535669">
        <w:rPr>
          <w:rFonts w:ascii="Arial" w:hAnsi="Arial" w:cs="Arial"/>
          <w:color w:val="000000"/>
          <w14:ligatures w14:val="standardContextual"/>
        </w:rPr>
        <w:t>North</w:t>
      </w:r>
      <w:r w:rsidRPr="00535669">
        <w:rPr>
          <w:rFonts w:ascii="Arial" w:hAnsi="Arial" w:cs="Arial"/>
          <w:color w:val="000000"/>
          <w14:ligatures w14:val="standardContextual"/>
        </w:rPr>
        <w:t xml:space="preserve"> East London </w:t>
      </w:r>
      <w:bookmarkEnd w:id="0"/>
      <w:r w:rsidR="00171806" w:rsidRPr="00535669">
        <w:rPr>
          <w:rFonts w:ascii="Arial" w:hAnsi="Arial" w:cs="Arial"/>
          <w:color w:val="000000"/>
          <w14:ligatures w14:val="standardContextual"/>
        </w:rPr>
        <w:t>will</w:t>
      </w:r>
      <w:r w:rsidRPr="00535669">
        <w:rPr>
          <w:rFonts w:ascii="Arial" w:hAnsi="Arial" w:cs="Arial"/>
          <w:color w:val="000000"/>
          <w14:ligatures w14:val="standardContextual"/>
        </w:rPr>
        <w:t xml:space="preserve"> comply with the eligibility </w:t>
      </w:r>
      <w:r w:rsidR="5E8D4DCB" w:rsidRPr="00535669">
        <w:rPr>
          <w:rFonts w:ascii="Arial" w:hAnsi="Arial" w:cs="Arial"/>
          <w:color w:val="000000"/>
          <w14:ligatures w14:val="standardContextual"/>
        </w:rPr>
        <w:t xml:space="preserve">and referral </w:t>
      </w:r>
      <w:r w:rsidRPr="00535669">
        <w:rPr>
          <w:rFonts w:ascii="Arial" w:hAnsi="Arial" w:cs="Arial"/>
          <w:color w:val="000000"/>
          <w14:ligatures w14:val="standardContextual"/>
        </w:rPr>
        <w:t>criteria for medicines</w:t>
      </w:r>
      <w:r w:rsidR="00171806" w:rsidRPr="00535669">
        <w:rPr>
          <w:rFonts w:ascii="Arial" w:hAnsi="Arial" w:cs="Arial"/>
          <w:color w:val="000000" w:themeColor="text1"/>
        </w:rPr>
        <w:t xml:space="preserve"> as set out in this policy.</w:t>
      </w:r>
      <w:r w:rsidR="2307C9E5" w:rsidRPr="00535669">
        <w:rPr>
          <w:rFonts w:ascii="Arial" w:hAnsi="Arial" w:cs="Arial"/>
          <w:color w:val="000000" w:themeColor="text1"/>
        </w:rPr>
        <w:t xml:space="preserve"> This includes</w:t>
      </w:r>
      <w:r w:rsidR="5A087CBB" w:rsidRPr="00535669">
        <w:rPr>
          <w:rFonts w:ascii="Arial" w:hAnsi="Arial" w:cs="Arial"/>
          <w:color w:val="000000"/>
          <w14:ligatures w14:val="standardContextual"/>
        </w:rPr>
        <w:t xml:space="preserve"> private providers with an NHS contract.</w:t>
      </w:r>
    </w:p>
    <w:p w14:paraId="2BAECE13" w14:textId="6E308C9F" w:rsidR="5A087CBB" w:rsidRPr="00535669" w:rsidRDefault="5A087CBB" w:rsidP="3D6C7C7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35669">
        <w:rPr>
          <w:rFonts w:ascii="Arial" w:hAnsi="Arial" w:cs="Arial"/>
          <w:color w:val="000000" w:themeColor="text1"/>
        </w:rPr>
        <w:t xml:space="preserve">For the locally-commissioned </w:t>
      </w:r>
      <w:r w:rsidR="2408F156" w:rsidRPr="00535669">
        <w:rPr>
          <w:rFonts w:ascii="Arial" w:hAnsi="Arial" w:cs="Arial"/>
          <w:color w:val="000000" w:themeColor="text1"/>
        </w:rPr>
        <w:t xml:space="preserve">specialist </w:t>
      </w:r>
      <w:r w:rsidRPr="00535669">
        <w:rPr>
          <w:rFonts w:ascii="Arial" w:hAnsi="Arial" w:cs="Arial"/>
          <w:color w:val="000000" w:themeColor="text1"/>
        </w:rPr>
        <w:t>service, i</w:t>
      </w:r>
      <w:r w:rsidR="5696DF52" w:rsidRPr="00535669">
        <w:rPr>
          <w:rFonts w:ascii="Arial" w:hAnsi="Arial" w:cs="Arial"/>
          <w:color w:val="000000" w:themeColor="text1"/>
        </w:rPr>
        <w:t>nitiation and ongoing prescribing and monitoring will be made available for primary care</w:t>
      </w:r>
      <w:r w:rsidR="0B064137" w:rsidRPr="00535669">
        <w:rPr>
          <w:rFonts w:ascii="Arial" w:hAnsi="Arial" w:cs="Arial"/>
          <w:color w:val="000000" w:themeColor="text1"/>
        </w:rPr>
        <w:t>.</w:t>
      </w:r>
    </w:p>
    <w:p w14:paraId="7A2BE678" w14:textId="0DC215E1" w:rsidR="0055318B" w:rsidRPr="00535669" w:rsidRDefault="00DD0B69" w:rsidP="400EEC40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35669">
        <w:rPr>
          <w:rFonts w:ascii="Arial" w:hAnsi="Arial" w:cs="Arial"/>
          <w:color w:val="000000"/>
          <w14:ligatures w14:val="standardContextual"/>
        </w:rPr>
        <w:t>Initiation of</w:t>
      </w:r>
      <w:r w:rsidR="0055318B" w:rsidRPr="00535669">
        <w:rPr>
          <w:rFonts w:ascii="Arial" w:hAnsi="Arial" w:cs="Arial"/>
          <w:color w:val="000000"/>
          <w14:ligatures w14:val="standardContextual"/>
        </w:rPr>
        <w:t xml:space="preserve"> weight management medicines</w:t>
      </w:r>
      <w:r w:rsidRPr="00535669">
        <w:rPr>
          <w:rFonts w:ascii="Arial" w:hAnsi="Arial" w:cs="Arial"/>
          <w:color w:val="000000"/>
          <w14:ligatures w14:val="standardContextual"/>
        </w:rPr>
        <w:t xml:space="preserve"> and ongoing monitoring </w:t>
      </w:r>
      <w:r w:rsidR="00EC0258" w:rsidRPr="00535669">
        <w:rPr>
          <w:rFonts w:ascii="Arial" w:hAnsi="Arial" w:cs="Arial"/>
          <w:color w:val="000000"/>
          <w14:ligatures w14:val="standardContextual"/>
        </w:rPr>
        <w:t xml:space="preserve">and prescribing </w:t>
      </w:r>
      <w:r w:rsidR="00FE50E4" w:rsidRPr="00535669">
        <w:rPr>
          <w:rFonts w:ascii="Arial" w:hAnsi="Arial" w:cs="Arial"/>
          <w:color w:val="000000"/>
          <w14:ligatures w14:val="standardContextual"/>
        </w:rPr>
        <w:t>will be</w:t>
      </w:r>
      <w:r w:rsidR="07716C9A" w:rsidRPr="00535669">
        <w:rPr>
          <w:rFonts w:ascii="Arial" w:hAnsi="Arial" w:cs="Arial"/>
          <w:color w:val="000000"/>
          <w14:ligatures w14:val="standardContextual"/>
        </w:rPr>
        <w:t xml:space="preserve"> made</w:t>
      </w:r>
      <w:r w:rsidRPr="00535669">
        <w:rPr>
          <w:rFonts w:ascii="Arial" w:hAnsi="Arial" w:cs="Arial"/>
          <w:color w:val="000000"/>
          <w14:ligatures w14:val="standardContextual"/>
        </w:rPr>
        <w:t xml:space="preserve"> available through </w:t>
      </w:r>
      <w:bookmarkStart w:id="1" w:name="_Hlk201581208"/>
      <w:r w:rsidRPr="00535669">
        <w:rPr>
          <w:rFonts w:ascii="Arial" w:hAnsi="Arial" w:cs="Arial"/>
          <w:color w:val="000000"/>
          <w14:ligatures w14:val="standardContextual"/>
        </w:rPr>
        <w:t>specialist weight management services in NEL</w:t>
      </w:r>
      <w:r w:rsidR="00EC0258" w:rsidRPr="00535669">
        <w:rPr>
          <w:rFonts w:ascii="Arial" w:hAnsi="Arial" w:cs="Arial"/>
          <w:color w:val="000000"/>
          <w14:ligatures w14:val="standardContextual"/>
        </w:rPr>
        <w:t xml:space="preserve"> on behalf of primary care </w:t>
      </w:r>
      <w:bookmarkEnd w:id="1"/>
      <w:r w:rsidR="0055318B" w:rsidRPr="00535669">
        <w:rPr>
          <w:rFonts w:ascii="Arial" w:hAnsi="Arial" w:cs="Arial"/>
          <w:color w:val="000000"/>
          <w14:ligatures w14:val="standardContextual"/>
        </w:rPr>
        <w:t xml:space="preserve">for people who are eligible in line with </w:t>
      </w:r>
      <w:r w:rsidR="7746A6CE" w:rsidRPr="00535669">
        <w:rPr>
          <w:rFonts w:ascii="Arial" w:hAnsi="Arial" w:cs="Arial"/>
          <w:color w:val="000000" w:themeColor="text1"/>
        </w:rPr>
        <w:t>the criteria in this policy.</w:t>
      </w:r>
    </w:p>
    <w:p w14:paraId="4E9EB802" w14:textId="1E18B70C" w:rsidR="0055318B" w:rsidRPr="00535669" w:rsidRDefault="0055318B" w:rsidP="006007CA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5669">
        <w:rPr>
          <w:rFonts w:ascii="Arial" w:eastAsiaTheme="minorEastAsia" w:hAnsi="Arial" w:cs="Arial"/>
          <w:color w:val="auto"/>
          <w:sz w:val="22"/>
          <w:szCs w:val="22"/>
          <w14:ligatures w14:val="none"/>
        </w:rPr>
        <w:t>People who are not yet eligible for weight management medicines on the NHS can access a wide range of other weight management services for support.</w:t>
      </w:r>
      <w:r w:rsidRPr="00535669">
        <w:rPr>
          <w:rFonts w:ascii="Arial" w:eastAsiaTheme="minorEastAsia" w:hAnsi="Arial" w:cs="Arial"/>
          <w:color w:val="auto"/>
          <w14:ligatures w14:val="none"/>
        </w:rPr>
        <w:t xml:space="preserve"> </w:t>
      </w:r>
      <w:r w:rsidRPr="00535669">
        <w:rPr>
          <w:rFonts w:ascii="Arial" w:eastAsiaTheme="minorEastAsia" w:hAnsi="Arial" w:cs="Arial"/>
          <w:color w:val="auto"/>
          <w:sz w:val="22"/>
          <w:szCs w:val="22"/>
          <w14:ligatures w14:val="none"/>
        </w:rPr>
        <w:t xml:space="preserve">We know there will be many people who do not qualify for the weight loss medications which may cause disappointment and / or exacerbate new and existing mental health and wellbeing issues. People may find </w:t>
      </w:r>
      <w:hyperlink r:id="rId14" w:history="1">
        <w:r w:rsidRPr="00535669">
          <w:rPr>
            <w:rFonts w:ascii="Arial" w:eastAsiaTheme="minorEastAsia" w:hAnsi="Arial" w:cs="Arial"/>
            <w:color w:val="0563C1" w:themeColor="hyperlink"/>
            <w:sz w:val="22"/>
            <w:szCs w:val="22"/>
            <w:u w:val="single"/>
            <w14:ligatures w14:val="none"/>
          </w:rPr>
          <w:t>NHS talking therapies</w:t>
        </w:r>
      </w:hyperlink>
      <w:r w:rsidRPr="00535669">
        <w:rPr>
          <w:rFonts w:ascii="Arial" w:eastAsiaTheme="minorEastAsia" w:hAnsi="Arial" w:cs="Arial"/>
          <w:color w:val="auto"/>
          <w:sz w:val="22"/>
          <w:szCs w:val="22"/>
          <w14:ligatures w14:val="none"/>
        </w:rPr>
        <w:t xml:space="preserve"> a helpful source of support. For more information please see: </w:t>
      </w:r>
      <w:hyperlink r:id="rId15" w:history="1">
        <w:r w:rsidRPr="00535669">
          <w:rPr>
            <w:rFonts w:ascii="Arial" w:eastAsiaTheme="minorEastAsia" w:hAnsi="Arial" w:cs="Arial"/>
            <w:color w:val="0563C1" w:themeColor="hyperlink"/>
            <w:sz w:val="22"/>
            <w:szCs w:val="22"/>
            <w:u w:val="single"/>
            <w14:ligatures w14:val="none"/>
          </w:rPr>
          <w:t>Obesity - Treatment - NHS</w:t>
        </w:r>
      </w:hyperlink>
    </w:p>
    <w:p w14:paraId="62C7FA3E" w14:textId="77777777" w:rsidR="00B5047D" w:rsidRPr="00535669" w:rsidRDefault="00B5047D" w:rsidP="00B5047D">
      <w:pPr>
        <w:pStyle w:val="Default"/>
        <w:rPr>
          <w:rFonts w:ascii="Arial" w:hAnsi="Arial" w:cs="Arial"/>
          <w:sz w:val="22"/>
          <w:szCs w:val="22"/>
        </w:rPr>
      </w:pPr>
    </w:p>
    <w:p w14:paraId="2B07A403" w14:textId="77777777" w:rsidR="001346D6" w:rsidRPr="00535669" w:rsidRDefault="001346D6" w:rsidP="00C01B09">
      <w:pPr>
        <w:rPr>
          <w:rFonts w:ascii="Arial" w:hAnsi="Arial" w:cs="Arial"/>
        </w:rPr>
      </w:pPr>
    </w:p>
    <w:p w14:paraId="0B2514C4" w14:textId="753E33CF" w:rsidR="006007CA" w:rsidRPr="00535669" w:rsidRDefault="006007CA" w:rsidP="006007CA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 w:rsidRPr="00535669">
        <w:rPr>
          <w:rFonts w:ascii="Arial" w:eastAsiaTheme="minorEastAsia" w:hAnsi="Arial" w:cs="Arial"/>
          <w:b/>
          <w:bCs/>
          <w:sz w:val="24"/>
          <w:szCs w:val="24"/>
          <w:u w:val="single"/>
          <w:lang w:val="en-US"/>
        </w:rPr>
        <w:t xml:space="preserve">Qualifying co-morbidities (see </w:t>
      </w:r>
      <w:hyperlink r:id="rId16" w:history="1">
        <w:r w:rsidRPr="00535669">
          <w:rPr>
            <w:rFonts w:ascii="Arial" w:eastAsiaTheme="minorEastAsia" w:hAnsi="Arial" w:cs="Arial"/>
            <w:b/>
            <w:bCs/>
            <w:color w:val="0563C1" w:themeColor="hyperlink"/>
            <w:sz w:val="24"/>
            <w:szCs w:val="24"/>
            <w:u w:val="single"/>
          </w:rPr>
          <w:t>details of definitions</w:t>
        </w:r>
      </w:hyperlink>
      <w:r w:rsidRPr="00535669">
        <w:rPr>
          <w:rFonts w:ascii="Arial" w:eastAsiaTheme="minorEastAsia" w:hAnsi="Arial" w:cs="Arial"/>
          <w:b/>
          <w:bCs/>
          <w:sz w:val="24"/>
          <w:szCs w:val="24"/>
          <w:u w:val="single"/>
        </w:rPr>
        <w:t>)</w:t>
      </w:r>
    </w:p>
    <w:p w14:paraId="289A62AB" w14:textId="77777777" w:rsidR="006007CA" w:rsidRPr="00535669" w:rsidRDefault="006007CA" w:rsidP="006007CA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4248"/>
        <w:gridCol w:w="6315"/>
      </w:tblGrid>
      <w:tr w:rsidR="006007CA" w:rsidRPr="00535669" w14:paraId="5E04FD71" w14:textId="77777777" w:rsidTr="00FE6944">
        <w:trPr>
          <w:trHeight w:val="300"/>
        </w:trPr>
        <w:tc>
          <w:tcPr>
            <w:tcW w:w="4248" w:type="dxa"/>
          </w:tcPr>
          <w:p w14:paraId="45C80E31" w14:textId="77777777" w:rsidR="006007CA" w:rsidRPr="00535669" w:rsidRDefault="006007CA" w:rsidP="006007CA">
            <w:pPr>
              <w:spacing w:line="240" w:lineRule="auto"/>
              <w:jc w:val="both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535669">
              <w:rPr>
                <w:rFonts w:ascii="Arial" w:eastAsiaTheme="minorEastAsia" w:hAnsi="Arial" w:cs="Arial"/>
                <w:b/>
                <w:bCs/>
                <w:lang w:val="en-US"/>
              </w:rPr>
              <w:t>Qualifying co-morbidities</w:t>
            </w:r>
          </w:p>
        </w:tc>
        <w:tc>
          <w:tcPr>
            <w:tcW w:w="6315" w:type="dxa"/>
          </w:tcPr>
          <w:p w14:paraId="26D54000" w14:textId="77777777" w:rsidR="006007CA" w:rsidRPr="00535669" w:rsidRDefault="006007CA" w:rsidP="006007CA">
            <w:pPr>
              <w:spacing w:line="240" w:lineRule="auto"/>
              <w:jc w:val="both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535669">
              <w:rPr>
                <w:rFonts w:ascii="Arial" w:eastAsiaTheme="minorEastAsia" w:hAnsi="Arial" w:cs="Arial"/>
                <w:b/>
                <w:bCs/>
                <w:lang w:val="en-US"/>
              </w:rPr>
              <w:t>Definition</w:t>
            </w:r>
          </w:p>
        </w:tc>
      </w:tr>
      <w:tr w:rsidR="006007CA" w:rsidRPr="00535669" w14:paraId="6E251AE0" w14:textId="77777777" w:rsidTr="00FE6944">
        <w:trPr>
          <w:trHeight w:val="300"/>
        </w:trPr>
        <w:tc>
          <w:tcPr>
            <w:tcW w:w="4248" w:type="dxa"/>
          </w:tcPr>
          <w:p w14:paraId="007BAFCC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>Atherosclerotic cardiovascular disease (ASCVD)</w:t>
            </w:r>
          </w:p>
        </w:tc>
        <w:tc>
          <w:tcPr>
            <w:tcW w:w="6315" w:type="dxa"/>
          </w:tcPr>
          <w:p w14:paraId="2413CD20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Established atherosclerotic CVD (ischaemic heart disease, cerebrovascular disease, peripheral vascular disease, heart failure)</w:t>
            </w:r>
          </w:p>
          <w:p w14:paraId="26B0F7F4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  <w:sz w:val="8"/>
                <w:szCs w:val="8"/>
                <w:lang w:val="en-US"/>
              </w:rPr>
            </w:pPr>
          </w:p>
        </w:tc>
      </w:tr>
      <w:tr w:rsidR="006007CA" w:rsidRPr="00535669" w14:paraId="6F1EF93D" w14:textId="77777777" w:rsidTr="00FE6944">
        <w:trPr>
          <w:trHeight w:val="300"/>
        </w:trPr>
        <w:tc>
          <w:tcPr>
            <w:tcW w:w="4248" w:type="dxa"/>
          </w:tcPr>
          <w:p w14:paraId="2084F3A8" w14:textId="77777777" w:rsidR="006007CA" w:rsidRPr="00535669" w:rsidRDefault="006007CA" w:rsidP="006007CA">
            <w:pPr>
              <w:spacing w:line="240" w:lineRule="auto"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>Hypertension</w:t>
            </w:r>
          </w:p>
        </w:tc>
        <w:tc>
          <w:tcPr>
            <w:tcW w:w="6315" w:type="dxa"/>
          </w:tcPr>
          <w:p w14:paraId="27844209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 xml:space="preserve">Established diagnosis of hypertension </w:t>
            </w:r>
            <w:r w:rsidRPr="00535669">
              <w:rPr>
                <w:rFonts w:ascii="Arial" w:eastAsiaTheme="minorEastAsia" w:hAnsi="Arial" w:cs="Arial"/>
                <w:b/>
                <w:bCs/>
              </w:rPr>
              <w:t xml:space="preserve">and </w:t>
            </w:r>
            <w:r w:rsidRPr="00535669">
              <w:rPr>
                <w:rFonts w:ascii="Arial" w:eastAsiaTheme="minorEastAsia" w:hAnsi="Arial" w:cs="Arial"/>
              </w:rPr>
              <w:t>requiring blood pressure lowering therapy</w:t>
            </w:r>
          </w:p>
          <w:p w14:paraId="17E60A1F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  <w:sz w:val="8"/>
                <w:szCs w:val="8"/>
              </w:rPr>
            </w:pPr>
          </w:p>
        </w:tc>
      </w:tr>
      <w:tr w:rsidR="006007CA" w:rsidRPr="00535669" w14:paraId="798244F9" w14:textId="77777777" w:rsidTr="00FE6944">
        <w:trPr>
          <w:trHeight w:val="300"/>
        </w:trPr>
        <w:tc>
          <w:tcPr>
            <w:tcW w:w="4248" w:type="dxa"/>
          </w:tcPr>
          <w:p w14:paraId="124C78EC" w14:textId="77777777" w:rsidR="006007CA" w:rsidRPr="00535669" w:rsidRDefault="006007CA" w:rsidP="006007CA">
            <w:pPr>
              <w:spacing w:line="240" w:lineRule="auto"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>Dyslipidaemia</w:t>
            </w:r>
          </w:p>
        </w:tc>
        <w:tc>
          <w:tcPr>
            <w:tcW w:w="6315" w:type="dxa"/>
          </w:tcPr>
          <w:p w14:paraId="1AC7AE9C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  <w:sz w:val="8"/>
                <w:szCs w:val="8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 xml:space="preserve">Treated with lipid-lowering therapy, </w:t>
            </w:r>
            <w:r w:rsidRPr="00535669">
              <w:rPr>
                <w:rFonts w:ascii="Arial" w:eastAsiaTheme="minorEastAsia" w:hAnsi="Arial" w:cs="Arial"/>
                <w:b/>
                <w:bCs/>
              </w:rPr>
              <w:t>or</w:t>
            </w:r>
            <w:r w:rsidRPr="00535669">
              <w:rPr>
                <w:rFonts w:ascii="Arial" w:eastAsiaTheme="minorEastAsia" w:hAnsi="Arial" w:cs="Arial"/>
              </w:rPr>
              <w:t xml:space="preserve"> with low-density lipoprotein (LDL) equal-to-or-greater than 4.1 mmol/L, </w:t>
            </w:r>
            <w:r w:rsidRPr="00535669">
              <w:rPr>
                <w:rFonts w:ascii="Arial" w:eastAsiaTheme="minorEastAsia" w:hAnsi="Arial" w:cs="Arial"/>
                <w:b/>
                <w:bCs/>
              </w:rPr>
              <w:t>or</w:t>
            </w:r>
            <w:r w:rsidRPr="00535669">
              <w:rPr>
                <w:rFonts w:ascii="Arial" w:eastAsiaTheme="minorEastAsia" w:hAnsi="Arial" w:cs="Arial"/>
              </w:rPr>
              <w:t xml:space="preserve"> high-density lipoprotein (HDL) less than 1.0mmol/L for men or less than 1.3mmol/L for women </w:t>
            </w:r>
            <w:r w:rsidRPr="00535669">
              <w:rPr>
                <w:rFonts w:ascii="Arial" w:eastAsiaTheme="minorEastAsia" w:hAnsi="Arial" w:cs="Arial"/>
                <w:b/>
                <w:bCs/>
              </w:rPr>
              <w:t>or</w:t>
            </w:r>
            <w:r w:rsidRPr="00535669">
              <w:rPr>
                <w:rFonts w:ascii="Arial" w:eastAsiaTheme="minorEastAsia" w:hAnsi="Arial" w:cs="Arial"/>
              </w:rPr>
              <w:t xml:space="preserve"> fasting (where possible) triglycerides equal-to-or-greater-than 1.7 mmol/L</w:t>
            </w:r>
          </w:p>
        </w:tc>
      </w:tr>
      <w:tr w:rsidR="006007CA" w:rsidRPr="00535669" w14:paraId="4C347F27" w14:textId="77777777" w:rsidTr="00FE6944">
        <w:trPr>
          <w:trHeight w:val="300"/>
        </w:trPr>
        <w:tc>
          <w:tcPr>
            <w:tcW w:w="4248" w:type="dxa"/>
          </w:tcPr>
          <w:p w14:paraId="159D0E67" w14:textId="77777777" w:rsidR="006007CA" w:rsidRPr="00535669" w:rsidRDefault="006007CA" w:rsidP="006007CA">
            <w:pPr>
              <w:spacing w:line="240" w:lineRule="auto"/>
              <w:jc w:val="both"/>
              <w:rPr>
                <w:rFonts w:ascii="Arial" w:eastAsiaTheme="minorEastAsia" w:hAnsi="Arial" w:cs="Arial"/>
                <w:lang w:val="en-US"/>
              </w:rPr>
            </w:pPr>
            <w:r w:rsidRPr="00535669">
              <w:rPr>
                <w:rFonts w:ascii="Arial" w:eastAsiaTheme="minorEastAsia" w:hAnsi="Arial" w:cs="Arial"/>
              </w:rPr>
              <w:t>Obstructive Sleep Apnoea (OSA)</w:t>
            </w:r>
          </w:p>
        </w:tc>
        <w:tc>
          <w:tcPr>
            <w:tcW w:w="6315" w:type="dxa"/>
          </w:tcPr>
          <w:p w14:paraId="453E4854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Established diagnosis of OSA (sleep clinic confirmation via sleep study) and treatment indicated i.e. meets criteria for continuous positive airway pressure (CPAP) or equivalent</w:t>
            </w:r>
          </w:p>
          <w:p w14:paraId="0169A03A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  <w:sz w:val="8"/>
                <w:szCs w:val="8"/>
              </w:rPr>
            </w:pPr>
          </w:p>
        </w:tc>
      </w:tr>
      <w:tr w:rsidR="006007CA" w:rsidRPr="00535669" w14:paraId="7AE18FB2" w14:textId="77777777" w:rsidTr="00FE6944">
        <w:trPr>
          <w:trHeight w:val="300"/>
        </w:trPr>
        <w:tc>
          <w:tcPr>
            <w:tcW w:w="4248" w:type="dxa"/>
          </w:tcPr>
          <w:p w14:paraId="14FEC9D9" w14:textId="77777777" w:rsidR="006007CA" w:rsidRPr="00535669" w:rsidRDefault="006007CA" w:rsidP="006007CA">
            <w:pPr>
              <w:spacing w:line="240" w:lineRule="auto"/>
              <w:jc w:val="both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Type 2 diabetes mellitus</w:t>
            </w:r>
          </w:p>
        </w:tc>
        <w:tc>
          <w:tcPr>
            <w:tcW w:w="6315" w:type="dxa"/>
          </w:tcPr>
          <w:p w14:paraId="0D923E23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</w:rPr>
            </w:pPr>
            <w:r w:rsidRPr="00535669">
              <w:rPr>
                <w:rFonts w:ascii="Arial" w:eastAsiaTheme="minorEastAsia" w:hAnsi="Arial" w:cs="Arial"/>
              </w:rPr>
              <w:t>Established type 2 diabetes mellitus</w:t>
            </w:r>
          </w:p>
          <w:p w14:paraId="3E666FF3" w14:textId="77777777" w:rsidR="006007CA" w:rsidRPr="00535669" w:rsidRDefault="006007CA" w:rsidP="006007CA">
            <w:pPr>
              <w:spacing w:line="240" w:lineRule="auto"/>
              <w:rPr>
                <w:rFonts w:ascii="Arial" w:eastAsiaTheme="minorEastAsia" w:hAnsi="Arial" w:cs="Arial"/>
                <w:lang w:val="en-US"/>
              </w:rPr>
            </w:pPr>
          </w:p>
        </w:tc>
      </w:tr>
    </w:tbl>
    <w:p w14:paraId="44713A57" w14:textId="77777777" w:rsidR="0055318B" w:rsidRPr="00535669" w:rsidRDefault="0055318B" w:rsidP="00C01B09">
      <w:pPr>
        <w:rPr>
          <w:rFonts w:ascii="Arial" w:hAnsi="Arial" w:cs="Arial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7345"/>
      </w:tblGrid>
      <w:tr w:rsidR="0055318B" w:rsidRPr="00535669" w14:paraId="732C2EC4" w14:textId="77777777" w:rsidTr="4365C0D5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EB8"/>
            <w:hideMark/>
          </w:tcPr>
          <w:p w14:paraId="2390557C" w14:textId="77777777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6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Document control</w:t>
            </w:r>
            <w:r w:rsidRPr="00535669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GB"/>
              </w:rPr>
              <w:t> </w:t>
            </w:r>
          </w:p>
        </w:tc>
      </w:tr>
      <w:tr w:rsidR="0055318B" w:rsidRPr="00535669" w14:paraId="7ECAA969" w14:textId="77777777" w:rsidTr="4365C0D5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B024E" w14:textId="77777777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Title</w:t>
            </w:r>
            <w:r w:rsidRPr="0053566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4096F" w14:textId="6EB35CA3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Access to weight loss medications</w:t>
            </w:r>
            <w:r w:rsidR="109EA53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109EA53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Wegovy</w:t>
            </w:r>
            <w:proofErr w:type="spellEnd"/>
            <w:r w:rsidR="109EA53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® and </w:t>
            </w:r>
            <w:proofErr w:type="spellStart"/>
            <w:r w:rsidR="109EA53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Mounjaro</w:t>
            </w:r>
            <w:proofErr w:type="spellEnd"/>
            <w:r w:rsidR="109EA53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®)</w:t>
            </w:r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on the NHS in North East London</w:t>
            </w:r>
          </w:p>
        </w:tc>
      </w:tr>
      <w:tr w:rsidR="0055318B" w:rsidRPr="00535669" w14:paraId="6E674F2A" w14:textId="77777777" w:rsidTr="4365C0D5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20E6E" w14:textId="77777777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Version</w:t>
            </w:r>
            <w:r w:rsidRPr="0053566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055C5" w14:textId="77777777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66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1.0</w:t>
            </w:r>
          </w:p>
        </w:tc>
      </w:tr>
      <w:tr w:rsidR="0055318B" w:rsidRPr="00535669" w14:paraId="27F75573" w14:textId="77777777" w:rsidTr="4365C0D5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4EDFB" w14:textId="77777777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Ratified by</w:t>
            </w:r>
            <w:r w:rsidRPr="0053566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A6311" w14:textId="6B6E8185" w:rsidR="0055318B" w:rsidRPr="00535669" w:rsidRDefault="501CBD24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Dr.Paul</w:t>
            </w:r>
            <w:proofErr w:type="spellEnd"/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Gilluley</w:t>
            </w:r>
            <w:proofErr w:type="spellEnd"/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Dr. Raliat </w:t>
            </w:r>
            <w:proofErr w:type="spellStart"/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Onatade</w:t>
            </w:r>
            <w:proofErr w:type="spellEnd"/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on behalf of </w:t>
            </w:r>
            <w:r w:rsidR="0055318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East London System Prescribing and Medicines Optimisation Board (</w:t>
            </w:r>
            <w:proofErr w:type="spellStart"/>
            <w:r w:rsidR="0055318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SyPMO</w:t>
            </w:r>
            <w:proofErr w:type="spellEnd"/>
            <w:r w:rsidR="3137DE0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Board</w:t>
            </w:r>
            <w:r w:rsidR="0055318B"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 </w:t>
            </w:r>
          </w:p>
        </w:tc>
      </w:tr>
      <w:tr w:rsidR="0055318B" w:rsidRPr="00535669" w14:paraId="6BDD8832" w14:textId="77777777" w:rsidTr="4365C0D5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5E130" w14:textId="77777777" w:rsidR="0055318B" w:rsidRPr="00535669" w:rsidRDefault="0055318B" w:rsidP="00BF3F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 ratified</w:t>
            </w:r>
            <w:r w:rsidRPr="0053566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CC20F" w14:textId="3317B663" w:rsidR="0055318B" w:rsidRPr="00535669" w:rsidRDefault="0C66F08A" w:rsidP="4365C0D5">
            <w:pPr>
              <w:spacing w:after="0" w:line="240" w:lineRule="auto"/>
            </w:pPr>
            <w:r w:rsidRPr="4365C0D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June 2025</w:t>
            </w:r>
          </w:p>
        </w:tc>
      </w:tr>
    </w:tbl>
    <w:p w14:paraId="67EED989" w14:textId="77777777" w:rsidR="0055318B" w:rsidRPr="00C01B09" w:rsidRDefault="0055318B" w:rsidP="00C01B09"/>
    <w:sectPr w:rsidR="0055318B" w:rsidRPr="00C01B09" w:rsidSect="00B5047D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C1B5" w14:textId="77777777" w:rsidR="00631830" w:rsidRDefault="00631830" w:rsidP="00535FA2">
      <w:pPr>
        <w:spacing w:after="0" w:line="240" w:lineRule="auto"/>
      </w:pPr>
      <w:r>
        <w:separator/>
      </w:r>
    </w:p>
  </w:endnote>
  <w:endnote w:type="continuationSeparator" w:id="0">
    <w:p w14:paraId="211E7495" w14:textId="77777777" w:rsidR="00631830" w:rsidRDefault="00631830" w:rsidP="0053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C115" w14:textId="77777777" w:rsidR="00631830" w:rsidRDefault="00631830" w:rsidP="00535FA2">
      <w:pPr>
        <w:spacing w:after="0" w:line="240" w:lineRule="auto"/>
      </w:pPr>
      <w:r>
        <w:separator/>
      </w:r>
    </w:p>
  </w:footnote>
  <w:footnote w:type="continuationSeparator" w:id="0">
    <w:p w14:paraId="6EE965F4" w14:textId="77777777" w:rsidR="00631830" w:rsidRDefault="00631830" w:rsidP="0053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8F6A" w14:textId="144BF24E" w:rsidR="00535FA2" w:rsidRDefault="00744619" w:rsidP="00596CE1">
    <w:pPr>
      <w:pStyle w:val="Header"/>
      <w:jc w:val="right"/>
    </w:pPr>
    <w:r>
      <w:rPr>
        <w:noProof/>
      </w:rPr>
      <w:drawing>
        <wp:inline distT="0" distB="0" distL="0" distR="0" wp14:anchorId="409B4BA4" wp14:editId="20B199FD">
          <wp:extent cx="1676400" cy="781050"/>
          <wp:effectExtent l="0" t="0" r="0" b="0"/>
          <wp:docPr id="1070355651" name="Picture 1" descr="NEL-CCG-Logo-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L-CCG-Logo-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A6C"/>
    <w:multiLevelType w:val="hybridMultilevel"/>
    <w:tmpl w:val="FDF2E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3888"/>
    <w:multiLevelType w:val="hybridMultilevel"/>
    <w:tmpl w:val="0CBCD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7D5024"/>
    <w:multiLevelType w:val="hybridMultilevel"/>
    <w:tmpl w:val="8F08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834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C260E5"/>
    <w:multiLevelType w:val="hybridMultilevel"/>
    <w:tmpl w:val="4E8CB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510FFA"/>
    <w:multiLevelType w:val="multilevel"/>
    <w:tmpl w:val="3A0A08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2117707">
    <w:abstractNumId w:val="2"/>
  </w:num>
  <w:num w:numId="2" w16cid:durableId="1160465245">
    <w:abstractNumId w:val="5"/>
  </w:num>
  <w:num w:numId="3" w16cid:durableId="1032076885">
    <w:abstractNumId w:val="3"/>
  </w:num>
  <w:num w:numId="4" w16cid:durableId="1284074416">
    <w:abstractNumId w:val="0"/>
  </w:num>
  <w:num w:numId="5" w16cid:durableId="716440441">
    <w:abstractNumId w:val="4"/>
  </w:num>
  <w:num w:numId="6" w16cid:durableId="176665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2"/>
    <w:rsid w:val="0009049E"/>
    <w:rsid w:val="00130D5D"/>
    <w:rsid w:val="001346D6"/>
    <w:rsid w:val="00134958"/>
    <w:rsid w:val="00171806"/>
    <w:rsid w:val="001A0D05"/>
    <w:rsid w:val="00281167"/>
    <w:rsid w:val="00285BDF"/>
    <w:rsid w:val="002A4624"/>
    <w:rsid w:val="002C33C7"/>
    <w:rsid w:val="003203D6"/>
    <w:rsid w:val="003234F9"/>
    <w:rsid w:val="003554B4"/>
    <w:rsid w:val="003739BE"/>
    <w:rsid w:val="00391ACC"/>
    <w:rsid w:val="003C7ACE"/>
    <w:rsid w:val="00400027"/>
    <w:rsid w:val="0040168E"/>
    <w:rsid w:val="00423427"/>
    <w:rsid w:val="0047610B"/>
    <w:rsid w:val="0049082E"/>
    <w:rsid w:val="004D12B0"/>
    <w:rsid w:val="00504B2B"/>
    <w:rsid w:val="00523E47"/>
    <w:rsid w:val="00531AEB"/>
    <w:rsid w:val="00535669"/>
    <w:rsid w:val="00535FA2"/>
    <w:rsid w:val="0055318B"/>
    <w:rsid w:val="005839A1"/>
    <w:rsid w:val="00596CE1"/>
    <w:rsid w:val="005C0D42"/>
    <w:rsid w:val="006007CA"/>
    <w:rsid w:val="00624398"/>
    <w:rsid w:val="00631830"/>
    <w:rsid w:val="006E0E65"/>
    <w:rsid w:val="00744619"/>
    <w:rsid w:val="007B260D"/>
    <w:rsid w:val="007E61AC"/>
    <w:rsid w:val="007F042F"/>
    <w:rsid w:val="00800C02"/>
    <w:rsid w:val="008064D2"/>
    <w:rsid w:val="00846729"/>
    <w:rsid w:val="008E11DE"/>
    <w:rsid w:val="008F0C3D"/>
    <w:rsid w:val="00A1544D"/>
    <w:rsid w:val="00A21067"/>
    <w:rsid w:val="00A72731"/>
    <w:rsid w:val="00AA6F19"/>
    <w:rsid w:val="00AB033E"/>
    <w:rsid w:val="00AE195C"/>
    <w:rsid w:val="00B34C8D"/>
    <w:rsid w:val="00B5047D"/>
    <w:rsid w:val="00B91577"/>
    <w:rsid w:val="00B93CDC"/>
    <w:rsid w:val="00BA1FDC"/>
    <w:rsid w:val="00BC2303"/>
    <w:rsid w:val="00C01B09"/>
    <w:rsid w:val="00C02974"/>
    <w:rsid w:val="00C14765"/>
    <w:rsid w:val="00C620E3"/>
    <w:rsid w:val="00CA25BA"/>
    <w:rsid w:val="00CC417D"/>
    <w:rsid w:val="00CE0BEB"/>
    <w:rsid w:val="00D15353"/>
    <w:rsid w:val="00D253AE"/>
    <w:rsid w:val="00D323F7"/>
    <w:rsid w:val="00DD0B69"/>
    <w:rsid w:val="00EC0258"/>
    <w:rsid w:val="00F110D1"/>
    <w:rsid w:val="00FA3382"/>
    <w:rsid w:val="00FA5B33"/>
    <w:rsid w:val="00FE50E4"/>
    <w:rsid w:val="00FE6944"/>
    <w:rsid w:val="04420E9B"/>
    <w:rsid w:val="0517E077"/>
    <w:rsid w:val="05547E3A"/>
    <w:rsid w:val="06D1EB5F"/>
    <w:rsid w:val="07716C9A"/>
    <w:rsid w:val="099FA706"/>
    <w:rsid w:val="09FD81D0"/>
    <w:rsid w:val="0A5A0C89"/>
    <w:rsid w:val="0A85C9D9"/>
    <w:rsid w:val="0B064137"/>
    <w:rsid w:val="0C66F08A"/>
    <w:rsid w:val="101A5B0E"/>
    <w:rsid w:val="109EA53B"/>
    <w:rsid w:val="17366D1B"/>
    <w:rsid w:val="17E906AF"/>
    <w:rsid w:val="19A4DF3A"/>
    <w:rsid w:val="1AA7EEB8"/>
    <w:rsid w:val="1E489265"/>
    <w:rsid w:val="1EC11A67"/>
    <w:rsid w:val="2307C9E5"/>
    <w:rsid w:val="2408F156"/>
    <w:rsid w:val="281091C9"/>
    <w:rsid w:val="298E4410"/>
    <w:rsid w:val="2A07FF8A"/>
    <w:rsid w:val="2B210CA4"/>
    <w:rsid w:val="2B4730F1"/>
    <w:rsid w:val="2F21AA79"/>
    <w:rsid w:val="309D5AAA"/>
    <w:rsid w:val="3137DE0B"/>
    <w:rsid w:val="33A8398E"/>
    <w:rsid w:val="33D73FB3"/>
    <w:rsid w:val="3A1B9146"/>
    <w:rsid w:val="3B69641E"/>
    <w:rsid w:val="3C0881E6"/>
    <w:rsid w:val="3D6C7C77"/>
    <w:rsid w:val="3EF4E785"/>
    <w:rsid w:val="400EEC40"/>
    <w:rsid w:val="42899441"/>
    <w:rsid w:val="4365C0D5"/>
    <w:rsid w:val="4846E299"/>
    <w:rsid w:val="4AFA98C3"/>
    <w:rsid w:val="4B157B9D"/>
    <w:rsid w:val="4C8E1980"/>
    <w:rsid w:val="4D1F05DF"/>
    <w:rsid w:val="4F0EFF05"/>
    <w:rsid w:val="50085E76"/>
    <w:rsid w:val="501CBD24"/>
    <w:rsid w:val="51CD384A"/>
    <w:rsid w:val="522B779B"/>
    <w:rsid w:val="5696DF52"/>
    <w:rsid w:val="56CD5109"/>
    <w:rsid w:val="56DCAA7F"/>
    <w:rsid w:val="5751D83E"/>
    <w:rsid w:val="582756EB"/>
    <w:rsid w:val="58585A1B"/>
    <w:rsid w:val="59511E03"/>
    <w:rsid w:val="5A087CBB"/>
    <w:rsid w:val="5A57D075"/>
    <w:rsid w:val="5B93AB19"/>
    <w:rsid w:val="5E8D4DCB"/>
    <w:rsid w:val="61B4652C"/>
    <w:rsid w:val="624CE128"/>
    <w:rsid w:val="6354A337"/>
    <w:rsid w:val="64519576"/>
    <w:rsid w:val="64CBCD0C"/>
    <w:rsid w:val="65586DE7"/>
    <w:rsid w:val="67614213"/>
    <w:rsid w:val="6916EB08"/>
    <w:rsid w:val="6A1C018E"/>
    <w:rsid w:val="6A29F70F"/>
    <w:rsid w:val="6D54C5D2"/>
    <w:rsid w:val="7099E96E"/>
    <w:rsid w:val="71031B26"/>
    <w:rsid w:val="71EDCA47"/>
    <w:rsid w:val="754D15D7"/>
    <w:rsid w:val="765473DB"/>
    <w:rsid w:val="7746A6CE"/>
    <w:rsid w:val="793903F7"/>
    <w:rsid w:val="7A828C8F"/>
    <w:rsid w:val="7DF215DA"/>
    <w:rsid w:val="7E61A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6F46"/>
  <w15:chartTrackingRefBased/>
  <w15:docId w15:val="{D15FFA98-F28F-4FCE-9CDE-23498AAA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02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Char,Dot pt Char,F5 List Paragraph Char,List Paragraph1 Char,Numbered Para 1 Char,No Spacing1 Char,List Paragraph Char Char Char Char,Indicator Text Char,Bullet Points Char,MAIN CONTENT Char,Bullet 1 Char,List Paragraph12 Char"/>
    <w:basedOn w:val="DefaultParagraphFont"/>
    <w:link w:val="ListParagraph"/>
    <w:uiPriority w:val="34"/>
    <w:locked/>
    <w:rsid w:val="00800C02"/>
  </w:style>
  <w:style w:type="paragraph" w:styleId="ListParagraph">
    <w:name w:val="List Paragraph"/>
    <w:aliases w:val="Body,Dot pt,F5 List Paragraph,List Paragraph1,Numbered Para 1,No Spacing1,List Paragraph Char Char Char,Indicator Text,Bullet Points,MAIN CONTENT,Bullet 1,Colorful List - Accent 11,List Paragraph12,Bullet Style,Normal numbered"/>
    <w:basedOn w:val="Normal"/>
    <w:link w:val="ListParagraphChar"/>
    <w:uiPriority w:val="34"/>
    <w:qFormat/>
    <w:rsid w:val="00800C02"/>
    <w:pPr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3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A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A2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A0D05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B504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50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4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0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25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258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50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875" TargetMode="External"/><Relationship Id="rId13" Type="http://schemas.openxmlformats.org/officeDocument/2006/relationships/hyperlink" Target="https://www.england.nhs.uk/wp-content/uploads/2025/03/PRN01879-interim-commissioning-guidance-implementation-of-the-nice-technology-appraisal-ta1026-and-the-NICE-fu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10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ngland.nhs.uk/wp-content/uploads/2025/03/PRN01879-interim-commissioning-guidance-implementation-of-the-nice-technology-appraisal-ta1026-and-the-NICE-fu.pdf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ourwork/prevention/obesity/medicines-for-obesity/weight-management-injec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conditions/obesity/treatment/" TargetMode="External"/><Relationship Id="rId10" Type="http://schemas.openxmlformats.org/officeDocument/2006/relationships/hyperlink" Target="https://www.england.nhs.uk/wp-content/uploads/2025/03/PRN01879-interim-commissioning-guidance-implementation-of-the-nice-technology-appraisal-ta1026-and-the-NICE-f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1026/chapter/1-Recommendations" TargetMode="External"/><Relationship Id="rId14" Type="http://schemas.openxmlformats.org/officeDocument/2006/relationships/hyperlink" Target="https://www.nhs.uk/mental-health/talking-therapies-medicine-treatments/talking-therapies-and-counselling/nhs-talking-therapies/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DC5ABB010A3409C1B0BC61D57ADCA" ma:contentTypeVersion="21" ma:contentTypeDescription="Create a new document." ma:contentTypeScope="" ma:versionID="de4d9e4f8b9850937ee9781a07304dd1">
  <xsd:schema xmlns:xsd="http://www.w3.org/2001/XMLSchema" xmlns:xs="http://www.w3.org/2001/XMLSchema" xmlns:p="http://schemas.microsoft.com/office/2006/metadata/properties" xmlns:ns1="http://schemas.microsoft.com/sharepoint/v3" xmlns:ns2="3569846d-3f8b-41c8-820d-2ff9739a3570" xmlns:ns3="bc5f7bc9-01bf-408b-9c3e-f1a9958c1e1c" targetNamespace="http://schemas.microsoft.com/office/2006/metadata/properties" ma:root="true" ma:fieldsID="2093666930cf5327de00b9881393ac92" ns1:_="" ns2:_="" ns3:_="">
    <xsd:import namespace="http://schemas.microsoft.com/sharepoint/v3"/>
    <xsd:import namespace="3569846d-3f8b-41c8-820d-2ff9739a3570"/>
    <xsd:import namespace="bc5f7bc9-01bf-408b-9c3e-f1a9958c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DocumentOwner" minOccurs="0"/>
                <xsd:element ref="ns2:Context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846d-3f8b-41c8-820d-2ff9739a3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DocumentOwner" ma:index="23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xt" ma:index="24" nillable="true" ma:displayName="Context" ma:format="Dropdown" ma:internalName="Contex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7bc9-01bf-408b-9c3e-f1a9958c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2fe2ea-da89-4a5f-8144-cdef18776a3a}" ma:internalName="TaxCatchAll" ma:showField="CatchAllData" ma:web="bc5f7bc9-01bf-408b-9c3e-f1a9958c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ocumentOwner xmlns="3569846d-3f8b-41c8-820d-2ff9739a3570">
      <UserInfo>
        <DisplayName/>
        <AccountId xsi:nil="true"/>
        <AccountType/>
      </UserInfo>
    </DocumentOwner>
    <Context xmlns="3569846d-3f8b-41c8-820d-2ff9739a3570" xsi:nil="true"/>
    <TaxCatchAll xmlns="bc5f7bc9-01bf-408b-9c3e-f1a9958c1e1c" xsi:nil="true"/>
    <lcf76f155ced4ddcb4097134ff3c332f xmlns="3569846d-3f8b-41c8-820d-2ff9739a3570">
      <Terms xmlns="http://schemas.microsoft.com/office/infopath/2007/PartnerControls"/>
    </lcf76f155ced4ddcb4097134ff3c332f>
    <_ip_UnifiedCompliancePolicyProperties xmlns="http://schemas.microsoft.com/sharepoint/v3" xsi:nil="true"/>
    <_Flow_SignoffStatus xmlns="3569846d-3f8b-41c8-820d-2ff9739a3570" xsi:nil="true"/>
  </documentManagement>
</p:properties>
</file>

<file path=customXml/itemProps1.xml><?xml version="1.0" encoding="utf-8"?>
<ds:datastoreItem xmlns:ds="http://schemas.openxmlformats.org/officeDocument/2006/customXml" ds:itemID="{BB33F9B7-A020-4174-ADAF-844FCB094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047D8-61C2-4897-A1E7-EADC1A92EFAB}"/>
</file>

<file path=customXml/itemProps3.xml><?xml version="1.0" encoding="utf-8"?>
<ds:datastoreItem xmlns:ds="http://schemas.openxmlformats.org/officeDocument/2006/customXml" ds:itemID="{C55A9743-2457-4C3A-B661-0B9814B71388}"/>
</file>

<file path=customXml/itemProps4.xml><?xml version="1.0" encoding="utf-8"?>
<ds:datastoreItem xmlns:ds="http://schemas.openxmlformats.org/officeDocument/2006/customXml" ds:itemID="{2E6802BF-6609-44E8-A943-083F679266FD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5727</Characters>
  <Application>Microsoft Office Word</Application>
  <DocSecurity>0</DocSecurity>
  <Lines>47</Lines>
  <Paragraphs>13</Paragraphs>
  <ScaleCrop>false</ScaleCrop>
  <Company>Guy's and St. Thomas' NHS Foundation Trust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Stephen(Diabetes)</dc:creator>
  <cp:keywords/>
  <dc:description/>
  <cp:lastModifiedBy>KONG, Vicki (NHS NORTH EAST LONDON ICB - A3A8R)</cp:lastModifiedBy>
  <cp:revision>4</cp:revision>
  <cp:lastPrinted>2025-06-23T13:35:00Z</cp:lastPrinted>
  <dcterms:created xsi:type="dcterms:W3CDTF">2025-06-24T08:37:00Z</dcterms:created>
  <dcterms:modified xsi:type="dcterms:W3CDTF">2025-06-24T08:38:00Z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0x010100FA3DC5ABB010A3409C1B0BC61D57ADCA</vt:lpwstr>
  </property>
</Properties>
</file>