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1DE5" w14:textId="67A60031" w:rsidR="00E96A7C" w:rsidRPr="00675305" w:rsidRDefault="00E96A7C" w:rsidP="00E96A7C">
      <w:pPr>
        <w:pStyle w:val="Heading1"/>
        <w:pBdr>
          <w:bottom w:val="single" w:sz="4" w:space="1" w:color="595959" w:themeColor="text1" w:themeTint="A6"/>
        </w:pBdr>
        <w:spacing w:before="0" w:after="160" w:line="259" w:lineRule="auto"/>
        <w:ind w:left="432" w:hanging="432"/>
        <w:rPr>
          <w:rFonts w:ascii="Aptos" w:hAnsi="Aptos"/>
          <w:smallCaps/>
        </w:rPr>
      </w:pPr>
      <w:bookmarkStart w:id="0" w:name="_Toc170200941"/>
      <w:bookmarkStart w:id="1" w:name="_Toc192772905"/>
      <w:r w:rsidRPr="00675305">
        <w:rPr>
          <w:rFonts w:ascii="Aptos" w:hAnsi="Aptos"/>
          <w:sz w:val="28"/>
          <w:szCs w:val="28"/>
        </w:rPr>
        <w:t>Practice privacy notice</w:t>
      </w:r>
      <w:bookmarkEnd w:id="0"/>
      <w:bookmarkEnd w:id="1"/>
    </w:p>
    <w:p w14:paraId="0493A400" w14:textId="77777777" w:rsidR="00E96A7C" w:rsidRPr="00675305" w:rsidRDefault="00E96A7C" w:rsidP="00E96A7C">
      <w:pPr>
        <w:rPr>
          <w:rFonts w:ascii="Aptos" w:hAnsi="Aptos" w:cs="Arial"/>
          <w:bCs/>
          <w:color w:val="002060"/>
          <w:sz w:val="22"/>
          <w:szCs w:val="22"/>
        </w:rPr>
      </w:pPr>
    </w:p>
    <w:p w14:paraId="2F074441" w14:textId="77777777" w:rsidR="00E96A7C" w:rsidRPr="00675305" w:rsidRDefault="00E96A7C" w:rsidP="00E96A7C">
      <w:pPr>
        <w:rPr>
          <w:rFonts w:ascii="Aptos" w:hAnsi="Aptos" w:cs="Arial"/>
          <w:b/>
          <w:color w:val="000000" w:themeColor="text1"/>
        </w:rPr>
      </w:pPr>
      <w:r w:rsidRPr="00675305">
        <w:rPr>
          <w:rFonts w:ascii="Aptos" w:hAnsi="Aptos" w:cs="Arial"/>
          <w:b/>
          <w:color w:val="000000" w:themeColor="text1"/>
        </w:rPr>
        <w:t>Introduction</w:t>
      </w:r>
    </w:p>
    <w:p w14:paraId="44D24A8E" w14:textId="77777777" w:rsidR="00E96A7C" w:rsidRPr="00675305" w:rsidRDefault="00E96A7C" w:rsidP="00E96A7C">
      <w:pPr>
        <w:rPr>
          <w:rFonts w:ascii="Aptos" w:hAnsi="Aptos" w:cs="Arial"/>
          <w:b/>
          <w:color w:val="501549" w:themeColor="accent5" w:themeShade="80"/>
          <w:sz w:val="22"/>
          <w:szCs w:val="22"/>
        </w:rPr>
      </w:pPr>
    </w:p>
    <w:p w14:paraId="5282F45D" w14:textId="77777777" w:rsidR="00E96A7C" w:rsidRPr="00675305" w:rsidRDefault="00E96A7C" w:rsidP="00E96A7C">
      <w:pPr>
        <w:rPr>
          <w:rFonts w:ascii="Aptos" w:eastAsia="Arial" w:hAnsi="Aptos" w:cs="Arial"/>
          <w:color w:val="000000"/>
          <w:sz w:val="22"/>
          <w:szCs w:val="22"/>
        </w:rPr>
      </w:pPr>
      <w:r w:rsidRPr="00675305">
        <w:rPr>
          <w:rFonts w:ascii="Aptos" w:eastAsia="Arial" w:hAnsi="Aptos" w:cs="Arial"/>
          <w:color w:val="000000"/>
          <w:sz w:val="22"/>
          <w:szCs w:val="22"/>
        </w:rPr>
        <w:t xml:space="preserve">At </w:t>
      </w:r>
      <w:r>
        <w:rPr>
          <w:rFonts w:ascii="Aptos" w:eastAsia="Arial" w:hAnsi="Aptos" w:cs="Arial"/>
          <w:color w:val="000000"/>
          <w:sz w:val="22"/>
          <w:szCs w:val="22"/>
        </w:rPr>
        <w:t>Woodbrook Medical Centre</w:t>
      </w:r>
      <w:r w:rsidRPr="00675305">
        <w:rPr>
          <w:rFonts w:ascii="Aptos" w:eastAsia="Arial" w:hAnsi="Aptos" w:cs="Arial"/>
          <w:color w:val="000000"/>
          <w:sz w:val="22"/>
          <w:szCs w:val="22"/>
        </w:rPr>
        <w:t xml:space="preserve"> we have a legal duty to explain how we use any personal information we collect about you at Woodbrook Medical Centre. This is in both electronic and paper format.  </w:t>
      </w:r>
    </w:p>
    <w:p w14:paraId="04E57845" w14:textId="77777777" w:rsidR="00E96A7C" w:rsidRPr="00675305" w:rsidRDefault="00E96A7C" w:rsidP="00E96A7C">
      <w:pPr>
        <w:rPr>
          <w:rFonts w:ascii="Aptos" w:hAnsi="Aptos" w:cs="Arial"/>
          <w:bCs/>
          <w:color w:val="FF0000"/>
          <w:sz w:val="22"/>
          <w:szCs w:val="22"/>
        </w:rPr>
      </w:pPr>
    </w:p>
    <w:p w14:paraId="7243926E" w14:textId="77777777" w:rsidR="00E96A7C" w:rsidRPr="00675305" w:rsidRDefault="00E96A7C" w:rsidP="00E96A7C">
      <w:pPr>
        <w:rPr>
          <w:rFonts w:ascii="Aptos" w:hAnsi="Aptos" w:cs="Arial"/>
          <w:b/>
          <w:color w:val="000000" w:themeColor="text1"/>
        </w:rPr>
      </w:pPr>
      <w:r w:rsidRPr="00675305">
        <w:rPr>
          <w:rFonts w:ascii="Aptos" w:hAnsi="Aptos" w:cs="Arial"/>
          <w:b/>
          <w:color w:val="000000" w:themeColor="text1"/>
        </w:rPr>
        <w:t>Why do we have to provide this privacy notice?</w:t>
      </w:r>
    </w:p>
    <w:p w14:paraId="25557BFA" w14:textId="77777777" w:rsidR="00E96A7C" w:rsidRPr="00675305" w:rsidRDefault="00E96A7C" w:rsidP="00E96A7C">
      <w:pPr>
        <w:rPr>
          <w:rFonts w:ascii="Aptos" w:hAnsi="Aptos" w:cs="Arial"/>
          <w:bCs/>
          <w:color w:val="501549" w:themeColor="accent5" w:themeShade="80"/>
          <w:sz w:val="22"/>
          <w:szCs w:val="22"/>
        </w:rPr>
      </w:pPr>
    </w:p>
    <w:p w14:paraId="5B81DC97" w14:textId="77777777" w:rsidR="00E96A7C" w:rsidRPr="00675305" w:rsidRDefault="00E96A7C" w:rsidP="00E96A7C">
      <w:pPr>
        <w:rPr>
          <w:rFonts w:ascii="Aptos" w:eastAsia="Arial" w:hAnsi="Aptos" w:cs="Arial"/>
          <w:color w:val="000000"/>
          <w:sz w:val="22"/>
          <w:szCs w:val="22"/>
        </w:rPr>
      </w:pPr>
      <w:r w:rsidRPr="00675305">
        <w:rPr>
          <w:rFonts w:ascii="Aptos" w:eastAsia="Arial" w:hAnsi="Aptos" w:cs="Arial"/>
          <w:color w:val="000000"/>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Pr>
          <w:rFonts w:ascii="Aptos" w:eastAsia="Arial" w:hAnsi="Aptos" w:cs="Arial"/>
          <w:color w:val="000000"/>
          <w:sz w:val="22"/>
          <w:szCs w:val="22"/>
        </w:rPr>
        <w:t xml:space="preserve">, Umar Sabat, IG-Health </w:t>
      </w:r>
      <w:hyperlink r:id="rId5" w:history="1">
        <w:r w:rsidRPr="00446E17">
          <w:rPr>
            <w:rStyle w:val="Hyperlink"/>
            <w:rFonts w:ascii="Aptos" w:eastAsia="Arial" w:hAnsi="Aptos" w:cs="Arial"/>
            <w:sz w:val="22"/>
            <w:szCs w:val="22"/>
          </w:rPr>
          <w:t>www.ig-health.co.uk</w:t>
        </w:r>
      </w:hyperlink>
    </w:p>
    <w:p w14:paraId="1FF88498" w14:textId="77777777" w:rsidR="00E96A7C" w:rsidRPr="00675305" w:rsidRDefault="00E96A7C" w:rsidP="00E96A7C">
      <w:pPr>
        <w:rPr>
          <w:rFonts w:ascii="Aptos" w:eastAsia="Arial" w:hAnsi="Aptos" w:cs="Arial"/>
          <w:color w:val="000000"/>
          <w:sz w:val="22"/>
          <w:szCs w:val="22"/>
        </w:rPr>
      </w:pPr>
    </w:p>
    <w:p w14:paraId="1C0378BD" w14:textId="77777777" w:rsidR="00E96A7C" w:rsidRPr="00675305" w:rsidRDefault="00E96A7C" w:rsidP="00E96A7C">
      <w:pPr>
        <w:rPr>
          <w:rFonts w:ascii="Aptos" w:eastAsia="Arial" w:hAnsi="Aptos" w:cs="Arial"/>
          <w:color w:val="000000"/>
          <w:sz w:val="22"/>
          <w:szCs w:val="22"/>
        </w:rPr>
      </w:pPr>
      <w:r w:rsidRPr="00675305">
        <w:rPr>
          <w:rFonts w:ascii="Aptos" w:eastAsia="Arial" w:hAnsi="Aptos" w:cs="Arial"/>
          <w:color w:val="000000"/>
          <w:sz w:val="22"/>
          <w:szCs w:val="22"/>
        </w:rPr>
        <w:t>The main things the law says we must tell you about what we do with your personal data are:</w:t>
      </w:r>
    </w:p>
    <w:p w14:paraId="4C3BA301" w14:textId="77777777" w:rsidR="00E96A7C" w:rsidRPr="00675305" w:rsidRDefault="00E96A7C" w:rsidP="00E96A7C">
      <w:pPr>
        <w:rPr>
          <w:rFonts w:ascii="Aptos" w:eastAsia="Arial" w:hAnsi="Aptos" w:cs="Arial"/>
          <w:color w:val="000000"/>
          <w:sz w:val="22"/>
          <w:szCs w:val="22"/>
        </w:rPr>
      </w:pPr>
    </w:p>
    <w:p w14:paraId="26E94DFB" w14:textId="77777777" w:rsidR="00E96A7C" w:rsidRPr="00675305" w:rsidRDefault="00E96A7C" w:rsidP="00E96A7C">
      <w:pPr>
        <w:numPr>
          <w:ilvl w:val="0"/>
          <w:numId w:val="1"/>
        </w:numPr>
        <w:pBdr>
          <w:top w:val="nil"/>
          <w:left w:val="nil"/>
          <w:bottom w:val="nil"/>
          <w:right w:val="nil"/>
          <w:between w:val="nil"/>
        </w:pBdr>
        <w:rPr>
          <w:rFonts w:ascii="Aptos" w:eastAsia="Arial" w:hAnsi="Aptos" w:cs="Arial"/>
          <w:color w:val="000000"/>
          <w:sz w:val="22"/>
          <w:szCs w:val="22"/>
        </w:rPr>
      </w:pPr>
      <w:r w:rsidRPr="00675305">
        <w:rPr>
          <w:rFonts w:ascii="Aptos" w:eastAsia="Arial" w:hAnsi="Aptos" w:cs="Arial"/>
          <w:color w:val="000000"/>
          <w:sz w:val="22"/>
          <w:szCs w:val="22"/>
        </w:rPr>
        <w:t>We must let you know why we collect personal and healthcare information about you</w:t>
      </w:r>
    </w:p>
    <w:p w14:paraId="5F61703F" w14:textId="77777777" w:rsidR="00E96A7C" w:rsidRPr="00675305" w:rsidRDefault="00E96A7C" w:rsidP="00E96A7C">
      <w:pPr>
        <w:numPr>
          <w:ilvl w:val="0"/>
          <w:numId w:val="1"/>
        </w:numPr>
        <w:pBdr>
          <w:top w:val="nil"/>
          <w:left w:val="nil"/>
          <w:bottom w:val="nil"/>
          <w:right w:val="nil"/>
          <w:between w:val="nil"/>
        </w:pBdr>
        <w:rPr>
          <w:rFonts w:ascii="Aptos" w:eastAsia="Arial" w:hAnsi="Aptos" w:cs="Arial"/>
          <w:color w:val="000000"/>
          <w:sz w:val="22"/>
          <w:szCs w:val="22"/>
        </w:rPr>
      </w:pPr>
      <w:r w:rsidRPr="00675305">
        <w:rPr>
          <w:rFonts w:ascii="Aptos" w:eastAsia="Arial" w:hAnsi="Aptos" w:cs="Arial"/>
          <w:color w:val="000000"/>
          <w:sz w:val="22"/>
          <w:szCs w:val="22"/>
        </w:rPr>
        <w:t>We must let you know how we use any personal and/or healthcare information we hold about you</w:t>
      </w:r>
    </w:p>
    <w:p w14:paraId="381C0777" w14:textId="77777777" w:rsidR="00E96A7C" w:rsidRPr="00675305" w:rsidRDefault="00E96A7C" w:rsidP="00E96A7C">
      <w:pPr>
        <w:numPr>
          <w:ilvl w:val="0"/>
          <w:numId w:val="1"/>
        </w:numPr>
        <w:pBdr>
          <w:top w:val="nil"/>
          <w:left w:val="nil"/>
          <w:bottom w:val="nil"/>
          <w:right w:val="nil"/>
          <w:between w:val="nil"/>
        </w:pBdr>
        <w:rPr>
          <w:rFonts w:ascii="Aptos" w:eastAsia="Arial" w:hAnsi="Aptos" w:cs="Arial"/>
          <w:color w:val="000000"/>
          <w:sz w:val="22"/>
          <w:szCs w:val="22"/>
        </w:rPr>
      </w:pPr>
      <w:r w:rsidRPr="00675305">
        <w:rPr>
          <w:rFonts w:ascii="Aptos" w:eastAsia="Arial" w:hAnsi="Aptos" w:cs="Arial"/>
          <w:color w:val="000000"/>
          <w:sz w:val="22"/>
          <w:szCs w:val="22"/>
        </w:rPr>
        <w:t>We need to inform you in respect of what we do with it</w:t>
      </w:r>
    </w:p>
    <w:p w14:paraId="26572D42" w14:textId="77777777" w:rsidR="00E96A7C" w:rsidRPr="00675305" w:rsidRDefault="00E96A7C" w:rsidP="00E96A7C">
      <w:pPr>
        <w:numPr>
          <w:ilvl w:val="0"/>
          <w:numId w:val="1"/>
        </w:numPr>
        <w:pBdr>
          <w:top w:val="nil"/>
          <w:left w:val="nil"/>
          <w:bottom w:val="nil"/>
          <w:right w:val="nil"/>
          <w:between w:val="nil"/>
        </w:pBdr>
        <w:rPr>
          <w:rFonts w:ascii="Aptos" w:eastAsia="Arial" w:hAnsi="Aptos" w:cs="Arial"/>
          <w:color w:val="000000"/>
          <w:sz w:val="22"/>
          <w:szCs w:val="22"/>
        </w:rPr>
      </w:pPr>
      <w:r w:rsidRPr="00675305">
        <w:rPr>
          <w:rFonts w:ascii="Aptos" w:eastAsia="Arial" w:hAnsi="Aptos" w:cs="Arial"/>
          <w:color w:val="000000"/>
          <w:sz w:val="22"/>
          <w:szCs w:val="22"/>
        </w:rPr>
        <w:t>We need to tell you about who we share it with or pass it on to and why</w:t>
      </w:r>
    </w:p>
    <w:p w14:paraId="79700C53" w14:textId="77777777" w:rsidR="00E96A7C" w:rsidRPr="00675305" w:rsidRDefault="00E96A7C" w:rsidP="00E96A7C">
      <w:pPr>
        <w:numPr>
          <w:ilvl w:val="0"/>
          <w:numId w:val="1"/>
        </w:numPr>
        <w:pBdr>
          <w:top w:val="nil"/>
          <w:left w:val="nil"/>
          <w:bottom w:val="nil"/>
          <w:right w:val="nil"/>
          <w:between w:val="nil"/>
        </w:pBdr>
        <w:rPr>
          <w:rFonts w:ascii="Aptos" w:eastAsia="Arial" w:hAnsi="Aptos" w:cs="Arial"/>
          <w:color w:val="000000"/>
        </w:rPr>
      </w:pPr>
      <w:r w:rsidRPr="00675305">
        <w:rPr>
          <w:rFonts w:ascii="Aptos" w:eastAsia="Arial" w:hAnsi="Aptos" w:cs="Arial"/>
          <w:color w:val="000000"/>
          <w:sz w:val="22"/>
          <w:szCs w:val="22"/>
        </w:rPr>
        <w:t>We need to let you know how long we can keep it for</w:t>
      </w:r>
    </w:p>
    <w:p w14:paraId="5A95B3B4" w14:textId="77777777" w:rsidR="00E96A7C" w:rsidRPr="00675305" w:rsidRDefault="00E96A7C" w:rsidP="00E96A7C">
      <w:pPr>
        <w:pBdr>
          <w:top w:val="nil"/>
          <w:left w:val="nil"/>
          <w:bottom w:val="nil"/>
          <w:right w:val="nil"/>
          <w:between w:val="nil"/>
        </w:pBdr>
        <w:rPr>
          <w:rFonts w:ascii="Aptos" w:eastAsia="Arial" w:hAnsi="Aptos" w:cs="Arial"/>
          <w:sz w:val="22"/>
          <w:szCs w:val="22"/>
        </w:rPr>
      </w:pPr>
    </w:p>
    <w:p w14:paraId="3C1BDB6E" w14:textId="77777777" w:rsidR="00E96A7C" w:rsidRPr="00675305" w:rsidRDefault="00E96A7C" w:rsidP="00E96A7C">
      <w:pPr>
        <w:rPr>
          <w:rFonts w:ascii="Aptos" w:hAnsi="Aptos" w:cs="Arial"/>
          <w:bCs/>
          <w:sz w:val="22"/>
          <w:szCs w:val="22"/>
        </w:rPr>
      </w:pPr>
      <w:r w:rsidRPr="00675305">
        <w:rPr>
          <w:rFonts w:ascii="Aptos" w:hAnsi="Aptos"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6" w:history="1">
        <w:r w:rsidRPr="00675305">
          <w:rPr>
            <w:rStyle w:val="Hyperlink"/>
            <w:rFonts w:ascii="Aptos" w:hAnsi="Aptos" w:cs="Arial"/>
            <w:bCs/>
            <w:sz w:val="22"/>
            <w:szCs w:val="22"/>
          </w:rPr>
          <w:t>Data Protection Act 2018 (DPA18)</w:t>
        </w:r>
      </w:hyperlink>
      <w:r w:rsidRPr="00675305">
        <w:rPr>
          <w:rFonts w:ascii="Aptos" w:hAnsi="Aptos" w:cs="Arial"/>
          <w:bCs/>
          <w:color w:val="501549" w:themeColor="accent5" w:themeShade="80"/>
          <w:sz w:val="22"/>
          <w:szCs w:val="22"/>
        </w:rPr>
        <w:t xml:space="preserve"> </w:t>
      </w:r>
      <w:r w:rsidRPr="00675305">
        <w:rPr>
          <w:rFonts w:ascii="Aptos" w:hAnsi="Aptos" w:cs="Arial"/>
          <w:bCs/>
          <w:sz w:val="22"/>
          <w:szCs w:val="22"/>
        </w:rPr>
        <w:t>at Part 2, Chapter 2 titled The UK GDPR.</w:t>
      </w:r>
    </w:p>
    <w:p w14:paraId="13BDD90A" w14:textId="77777777" w:rsidR="00E96A7C" w:rsidRPr="00675305" w:rsidRDefault="00E96A7C" w:rsidP="00E96A7C">
      <w:pPr>
        <w:rPr>
          <w:rFonts w:ascii="Aptos" w:hAnsi="Aptos" w:cs="Arial"/>
          <w:bCs/>
          <w:sz w:val="22"/>
          <w:szCs w:val="22"/>
        </w:rPr>
      </w:pPr>
    </w:p>
    <w:p w14:paraId="753C1272" w14:textId="77777777" w:rsidR="00E96A7C" w:rsidRPr="00675305" w:rsidRDefault="00E96A7C" w:rsidP="00E96A7C">
      <w:pPr>
        <w:rPr>
          <w:rFonts w:ascii="Aptos" w:hAnsi="Aptos" w:cs="Arial"/>
          <w:bCs/>
          <w:sz w:val="22"/>
          <w:szCs w:val="22"/>
        </w:rPr>
      </w:pPr>
      <w:proofErr w:type="gramStart"/>
      <w:r w:rsidRPr="00675305">
        <w:rPr>
          <w:rFonts w:ascii="Aptos" w:hAnsi="Aptos" w:cs="Arial"/>
          <w:bCs/>
          <w:sz w:val="22"/>
          <w:szCs w:val="22"/>
        </w:rPr>
        <w:t>For the purpose of</w:t>
      </w:r>
      <w:proofErr w:type="gramEnd"/>
      <w:r w:rsidRPr="00675305">
        <w:rPr>
          <w:rFonts w:ascii="Aptos" w:hAnsi="Aptos" w:cs="Arial"/>
          <w:bCs/>
          <w:sz w:val="22"/>
          <w:szCs w:val="22"/>
        </w:rPr>
        <w:t xml:space="preserve"> applicable data protection legislation (including but not limited to the Data Protection Act 2018 (DPA2018) and Part 2 the UK GDPR).</w:t>
      </w:r>
    </w:p>
    <w:p w14:paraId="1C9C9A00" w14:textId="77777777" w:rsidR="00E96A7C" w:rsidRPr="00675305" w:rsidRDefault="00E96A7C" w:rsidP="00E96A7C">
      <w:pPr>
        <w:rPr>
          <w:rFonts w:ascii="Aptos" w:hAnsi="Aptos" w:cs="Arial"/>
          <w:bCs/>
          <w:color w:val="501549" w:themeColor="accent5" w:themeShade="80"/>
          <w:sz w:val="22"/>
          <w:szCs w:val="22"/>
        </w:rPr>
      </w:pPr>
    </w:p>
    <w:p w14:paraId="3ECCABC5" w14:textId="77777777" w:rsidR="00E96A7C" w:rsidRPr="00675305" w:rsidRDefault="00E96A7C" w:rsidP="00E96A7C">
      <w:pPr>
        <w:rPr>
          <w:rFonts w:ascii="Aptos" w:hAnsi="Aptos" w:cs="Arial"/>
          <w:b/>
          <w:color w:val="000000" w:themeColor="text1"/>
        </w:rPr>
      </w:pPr>
      <w:r w:rsidRPr="00675305">
        <w:rPr>
          <w:rFonts w:ascii="Aptos" w:hAnsi="Aptos" w:cs="Arial"/>
          <w:b/>
          <w:color w:val="000000" w:themeColor="text1"/>
        </w:rPr>
        <w:t>Using your information</w:t>
      </w:r>
    </w:p>
    <w:p w14:paraId="4CE68021" w14:textId="77777777" w:rsidR="00E96A7C" w:rsidRPr="00675305" w:rsidRDefault="00E96A7C" w:rsidP="00E96A7C">
      <w:pPr>
        <w:rPr>
          <w:rFonts w:ascii="Aptos" w:hAnsi="Aptos" w:cs="Arial"/>
          <w:b/>
          <w:color w:val="000000" w:themeColor="text1"/>
        </w:rPr>
      </w:pPr>
    </w:p>
    <w:p w14:paraId="41CE4A7B" w14:textId="77777777" w:rsidR="00E96A7C" w:rsidRPr="00675305" w:rsidRDefault="00E96A7C" w:rsidP="00E96A7C">
      <w:pPr>
        <w:rPr>
          <w:rFonts w:ascii="Aptos" w:hAnsi="Aptos" w:cs="Arial"/>
          <w:bCs/>
          <w:color w:val="000000" w:themeColor="text1"/>
          <w:sz w:val="22"/>
          <w:szCs w:val="22"/>
        </w:rPr>
      </w:pPr>
      <w:r w:rsidRPr="00675305">
        <w:rPr>
          <w:rFonts w:ascii="Aptos" w:hAnsi="Aptos" w:cs="Arial"/>
          <w:bCs/>
          <w:color w:val="000000" w:themeColor="text1"/>
          <w:sz w:val="22"/>
          <w:szCs w:val="22"/>
        </w:rPr>
        <w:t>We will use your information so that we can check and review the quality of care we provide. This helps us improve our services to you.</w:t>
      </w:r>
    </w:p>
    <w:p w14:paraId="220C1804" w14:textId="77777777" w:rsidR="00E96A7C" w:rsidRPr="00675305" w:rsidRDefault="00E96A7C" w:rsidP="00E96A7C">
      <w:pPr>
        <w:rPr>
          <w:rFonts w:ascii="Aptos" w:hAnsi="Aptos" w:cs="Arial"/>
          <w:bCs/>
          <w:color w:val="000000" w:themeColor="text1"/>
          <w:sz w:val="22"/>
          <w:szCs w:val="22"/>
        </w:rPr>
      </w:pPr>
    </w:p>
    <w:p w14:paraId="4502284C" w14:textId="77777777" w:rsidR="00E96A7C" w:rsidRPr="00675305" w:rsidRDefault="00E96A7C" w:rsidP="00E96A7C">
      <w:pPr>
        <w:pStyle w:val="NormalWeb"/>
        <w:numPr>
          <w:ilvl w:val="0"/>
          <w:numId w:val="2"/>
        </w:numPr>
        <w:spacing w:before="0" w:beforeAutospacing="0" w:after="0" w:afterAutospacing="0"/>
        <w:rPr>
          <w:rFonts w:ascii="Aptos" w:hAnsi="Aptos" w:cs="Arial"/>
          <w:sz w:val="22"/>
          <w:szCs w:val="22"/>
        </w:rPr>
      </w:pPr>
      <w:r w:rsidRPr="00675305">
        <w:rPr>
          <w:rFonts w:ascii="Aptos" w:hAnsi="Aptos" w:cs="Arial"/>
          <w:sz w:val="22"/>
          <w:szCs w:val="22"/>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7ED0B316" w14:textId="77777777" w:rsidR="00E96A7C" w:rsidRPr="00675305" w:rsidRDefault="00E96A7C" w:rsidP="00E96A7C">
      <w:pPr>
        <w:pStyle w:val="NormalWeb"/>
        <w:spacing w:before="0" w:beforeAutospacing="0" w:after="0" w:afterAutospacing="0"/>
        <w:rPr>
          <w:rFonts w:ascii="Aptos" w:hAnsi="Aptos" w:cs="Arial"/>
          <w:sz w:val="22"/>
          <w:szCs w:val="22"/>
        </w:rPr>
      </w:pPr>
    </w:p>
    <w:p w14:paraId="27735E23" w14:textId="77777777" w:rsidR="00E96A7C" w:rsidRPr="00675305" w:rsidRDefault="00E96A7C" w:rsidP="00E96A7C">
      <w:pPr>
        <w:pStyle w:val="NormalWeb"/>
        <w:numPr>
          <w:ilvl w:val="0"/>
          <w:numId w:val="2"/>
        </w:numPr>
        <w:spacing w:before="0" w:beforeAutospacing="0" w:after="0" w:afterAutospacing="0"/>
        <w:rPr>
          <w:rStyle w:val="Hyperlink"/>
          <w:rFonts w:ascii="Aptos" w:hAnsi="Aptos" w:cs="Arial"/>
          <w:color w:val="000000" w:themeColor="text1"/>
          <w:sz w:val="22"/>
          <w:szCs w:val="22"/>
        </w:rPr>
      </w:pPr>
      <w:r w:rsidRPr="00675305">
        <w:rPr>
          <w:rFonts w:ascii="Aptos" w:hAnsi="Aptos"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NHS E </w:t>
      </w:r>
      <w:hyperlink r:id="rId7" w:history="1">
        <w:r w:rsidRPr="00675305">
          <w:rPr>
            <w:rStyle w:val="Hyperlink"/>
            <w:rFonts w:ascii="Aptos" w:hAnsi="Aptos" w:cs="Arial"/>
            <w:sz w:val="22"/>
            <w:szCs w:val="22"/>
          </w:rPr>
          <w:t>Summary Care Record</w:t>
        </w:r>
      </w:hyperlink>
      <w:r w:rsidRPr="00675305">
        <w:rPr>
          <w:rStyle w:val="Hyperlink"/>
          <w:rFonts w:ascii="Aptos" w:hAnsi="Aptos" w:cs="Arial"/>
          <w:color w:val="000000" w:themeColor="text1"/>
          <w:sz w:val="22"/>
          <w:szCs w:val="22"/>
        </w:rPr>
        <w:t xml:space="preserve"> or alternatively speak to Woodbrook Medical Centre. </w:t>
      </w:r>
    </w:p>
    <w:p w14:paraId="0FEF2408" w14:textId="77777777" w:rsidR="00E96A7C" w:rsidRPr="00675305" w:rsidRDefault="00E96A7C" w:rsidP="00E96A7C">
      <w:pPr>
        <w:pStyle w:val="NormalWeb"/>
        <w:spacing w:before="0" w:beforeAutospacing="0" w:after="0" w:afterAutospacing="0"/>
        <w:rPr>
          <w:rFonts w:ascii="Aptos" w:hAnsi="Aptos" w:cs="Arial"/>
          <w:sz w:val="22"/>
          <w:szCs w:val="22"/>
        </w:rPr>
      </w:pPr>
    </w:p>
    <w:p w14:paraId="64460D0A" w14:textId="77777777" w:rsidR="00E96A7C" w:rsidRPr="00675305" w:rsidRDefault="00E96A7C" w:rsidP="00E96A7C">
      <w:pPr>
        <w:rPr>
          <w:rFonts w:ascii="Aptos" w:hAnsi="Aptos" w:cs="Arial"/>
          <w:sz w:val="22"/>
          <w:szCs w:val="22"/>
        </w:rPr>
      </w:pPr>
      <w:r w:rsidRPr="00675305">
        <w:rPr>
          <w:rFonts w:ascii="Aptos" w:hAnsi="Aptos" w:cs="Arial"/>
          <w:sz w:val="22"/>
          <w:szCs w:val="22"/>
        </w:rPr>
        <w:t>You have the right to object to information being shared for your own care. Please speak to Woodbrook Medical Centre if you wish to object. You also have the right to have any mistakes or errors corrected.</w:t>
      </w:r>
    </w:p>
    <w:p w14:paraId="6E6F1312" w14:textId="77777777" w:rsidR="00E96A7C" w:rsidRPr="00675305" w:rsidRDefault="00E96A7C" w:rsidP="00E96A7C">
      <w:pPr>
        <w:rPr>
          <w:rFonts w:ascii="Aptos" w:hAnsi="Aptos" w:cs="Arial"/>
          <w:bCs/>
          <w:color w:val="501549" w:themeColor="accent5" w:themeShade="80"/>
          <w:sz w:val="22"/>
          <w:szCs w:val="22"/>
        </w:rPr>
      </w:pPr>
    </w:p>
    <w:p w14:paraId="363B7C98" w14:textId="77777777" w:rsidR="00E96A7C" w:rsidRPr="00675305" w:rsidRDefault="00E96A7C" w:rsidP="00E96A7C">
      <w:pPr>
        <w:rPr>
          <w:rFonts w:ascii="Aptos" w:hAnsi="Aptos" w:cs="Arial"/>
          <w:b/>
          <w:color w:val="000000" w:themeColor="text1"/>
        </w:rPr>
      </w:pPr>
      <w:r w:rsidRPr="00675305">
        <w:rPr>
          <w:rFonts w:ascii="Aptos" w:hAnsi="Aptos" w:cs="Arial"/>
          <w:b/>
          <w:color w:val="000000" w:themeColor="text1"/>
        </w:rPr>
        <w:t>Registering for NHS care</w:t>
      </w:r>
    </w:p>
    <w:p w14:paraId="2327B228" w14:textId="77777777" w:rsidR="00E96A7C" w:rsidRPr="00675305" w:rsidRDefault="00E96A7C" w:rsidP="00E96A7C">
      <w:pPr>
        <w:rPr>
          <w:rFonts w:ascii="Aptos" w:hAnsi="Aptos" w:cs="Arial"/>
          <w:b/>
          <w:color w:val="000000" w:themeColor="text1"/>
        </w:rPr>
      </w:pPr>
    </w:p>
    <w:p w14:paraId="44EA6154" w14:textId="77777777" w:rsidR="00E96A7C" w:rsidRPr="00675305" w:rsidRDefault="00E96A7C" w:rsidP="00E96A7C">
      <w:pPr>
        <w:pStyle w:val="NormalWeb"/>
        <w:numPr>
          <w:ilvl w:val="0"/>
          <w:numId w:val="3"/>
        </w:numPr>
        <w:spacing w:before="0" w:beforeAutospacing="0" w:after="0" w:afterAutospacing="0"/>
        <w:ind w:left="851" w:hanging="341"/>
        <w:rPr>
          <w:rFonts w:ascii="Aptos" w:hAnsi="Aptos" w:cs="Arial"/>
          <w:sz w:val="22"/>
          <w:szCs w:val="22"/>
        </w:rPr>
      </w:pPr>
      <w:r w:rsidRPr="00675305">
        <w:rPr>
          <w:rFonts w:ascii="Aptos" w:hAnsi="Aptos" w:cs="Arial"/>
          <w:sz w:val="22"/>
          <w:szCs w:val="22"/>
        </w:rPr>
        <w:t>All patients who receive NHS care are registered on a national database (NHS Spine). The Spine is held and maintained by NHS England,</w:t>
      </w:r>
      <w:r w:rsidRPr="00675305">
        <w:rPr>
          <w:rFonts w:ascii="Aptos" w:hAnsi="Aptos" w:cs="Arial"/>
          <w:color w:val="00B0F0"/>
          <w:sz w:val="22"/>
          <w:szCs w:val="22"/>
        </w:rPr>
        <w:t xml:space="preserve"> </w:t>
      </w:r>
      <w:r w:rsidRPr="00675305">
        <w:rPr>
          <w:rFonts w:ascii="Aptos" w:hAnsi="Aptos" w:cs="Arial"/>
          <w:sz w:val="22"/>
          <w:szCs w:val="22"/>
        </w:rPr>
        <w:t>a national organisation which has legal responsibilities to collect NHS data.</w:t>
      </w:r>
    </w:p>
    <w:p w14:paraId="6EA4A137" w14:textId="77777777" w:rsidR="00E96A7C" w:rsidRPr="00675305" w:rsidRDefault="00E96A7C" w:rsidP="00E96A7C">
      <w:pPr>
        <w:pStyle w:val="NormalWeb"/>
        <w:spacing w:before="0" w:beforeAutospacing="0" w:after="0" w:afterAutospacing="0"/>
        <w:ind w:left="851"/>
        <w:rPr>
          <w:rFonts w:ascii="Aptos" w:hAnsi="Aptos" w:cs="Arial"/>
          <w:sz w:val="22"/>
          <w:szCs w:val="22"/>
        </w:rPr>
      </w:pPr>
    </w:p>
    <w:p w14:paraId="3CC9A2AF" w14:textId="77777777" w:rsidR="00E96A7C" w:rsidRPr="00675305" w:rsidRDefault="00E96A7C" w:rsidP="00E96A7C">
      <w:pPr>
        <w:pStyle w:val="NormalWeb"/>
        <w:numPr>
          <w:ilvl w:val="0"/>
          <w:numId w:val="3"/>
        </w:numPr>
        <w:spacing w:before="0" w:beforeAutospacing="0" w:after="0" w:afterAutospacing="0"/>
        <w:ind w:left="851" w:hanging="341"/>
        <w:rPr>
          <w:rFonts w:ascii="Aptos" w:hAnsi="Aptos" w:cs="Arial"/>
          <w:sz w:val="22"/>
          <w:szCs w:val="22"/>
        </w:rPr>
      </w:pPr>
      <w:r w:rsidRPr="00675305">
        <w:rPr>
          <w:rFonts w:ascii="Aptos" w:hAnsi="Aptos" w:cs="Arial"/>
          <w:sz w:val="22"/>
          <w:szCs w:val="22"/>
        </w:rPr>
        <w:t xml:space="preserve">More information can be found at </w:t>
      </w:r>
      <w:hyperlink r:id="rId8" w:anchor="use-spine" w:history="1">
        <w:r w:rsidRPr="00675305">
          <w:rPr>
            <w:rStyle w:val="Hyperlink"/>
            <w:rFonts w:ascii="Aptos" w:hAnsi="Aptos" w:cs="Arial"/>
            <w:sz w:val="22"/>
            <w:szCs w:val="22"/>
          </w:rPr>
          <w:t>NHS England - Spine</w:t>
        </w:r>
      </w:hyperlink>
      <w:r w:rsidRPr="00675305">
        <w:rPr>
          <w:rFonts w:ascii="Aptos" w:hAnsi="Aptos" w:cs="Arial"/>
          <w:sz w:val="22"/>
          <w:szCs w:val="22"/>
        </w:rPr>
        <w:t xml:space="preserve"> </w:t>
      </w:r>
    </w:p>
    <w:p w14:paraId="1E72D60A" w14:textId="77777777" w:rsidR="00E96A7C" w:rsidRPr="00675305" w:rsidRDefault="00E96A7C" w:rsidP="00E96A7C">
      <w:pPr>
        <w:rPr>
          <w:rFonts w:ascii="Aptos" w:hAnsi="Aptos" w:cs="Arial"/>
          <w:bCs/>
          <w:color w:val="501549" w:themeColor="accent5" w:themeShade="80"/>
          <w:sz w:val="22"/>
          <w:szCs w:val="22"/>
        </w:rPr>
      </w:pPr>
    </w:p>
    <w:p w14:paraId="3689F588" w14:textId="77777777" w:rsidR="00E96A7C" w:rsidRPr="00675305" w:rsidRDefault="00E96A7C" w:rsidP="00E96A7C">
      <w:pPr>
        <w:rPr>
          <w:rFonts w:ascii="Aptos" w:hAnsi="Aptos" w:cs="Arial"/>
          <w:b/>
          <w:bCs/>
          <w:color w:val="000000" w:themeColor="text1"/>
        </w:rPr>
      </w:pPr>
      <w:r w:rsidRPr="00675305">
        <w:rPr>
          <w:rFonts w:ascii="Aptos" w:hAnsi="Aptos" w:cs="Arial"/>
          <w:b/>
          <w:bCs/>
          <w:color w:val="000000" w:themeColor="text1"/>
        </w:rPr>
        <w:t>Identifying patients who might be at risk of certain diseases</w:t>
      </w:r>
    </w:p>
    <w:p w14:paraId="659D2936" w14:textId="77777777" w:rsidR="00E96A7C" w:rsidRPr="00675305" w:rsidRDefault="00E96A7C" w:rsidP="00E96A7C">
      <w:pPr>
        <w:rPr>
          <w:rFonts w:ascii="Aptos" w:hAnsi="Aptos" w:cs="Arial"/>
          <w:b/>
          <w:bCs/>
          <w:color w:val="000000" w:themeColor="text1"/>
        </w:rPr>
      </w:pPr>
    </w:p>
    <w:p w14:paraId="5942EF68" w14:textId="77777777" w:rsidR="00E96A7C" w:rsidRPr="00675305" w:rsidRDefault="00E96A7C" w:rsidP="00E96A7C">
      <w:pPr>
        <w:pStyle w:val="NormalWeb"/>
        <w:numPr>
          <w:ilvl w:val="0"/>
          <w:numId w:val="4"/>
        </w:numPr>
        <w:spacing w:before="0" w:beforeAutospacing="0" w:after="0" w:afterAutospacing="0"/>
        <w:ind w:left="1050"/>
        <w:rPr>
          <w:rStyle w:val="Hyperlink"/>
          <w:rFonts w:ascii="Aptos" w:hAnsi="Aptos" w:cs="Arial"/>
          <w:color w:val="000000" w:themeColor="text1"/>
          <w:sz w:val="22"/>
          <w:szCs w:val="22"/>
        </w:rPr>
      </w:pPr>
      <w:r w:rsidRPr="00675305">
        <w:rPr>
          <w:rStyle w:val="Hyperlink"/>
          <w:rFonts w:ascii="Aptos" w:hAnsi="Aptos" w:cs="Arial"/>
          <w:color w:val="000000" w:themeColor="text1"/>
          <w:sz w:val="22"/>
          <w:szCs w:val="22"/>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7E74D1B" w14:textId="77777777" w:rsidR="00E96A7C" w:rsidRPr="00675305" w:rsidRDefault="00E96A7C" w:rsidP="00E96A7C">
      <w:pPr>
        <w:pStyle w:val="ListParagraph"/>
        <w:rPr>
          <w:rStyle w:val="Hyperlink"/>
          <w:rFonts w:ascii="Aptos" w:hAnsi="Aptos" w:cs="Arial"/>
          <w:color w:val="000000" w:themeColor="text1"/>
          <w:sz w:val="22"/>
          <w:szCs w:val="22"/>
        </w:rPr>
      </w:pPr>
    </w:p>
    <w:p w14:paraId="7F860D53" w14:textId="77777777" w:rsidR="00E96A7C" w:rsidRPr="00675305" w:rsidRDefault="00E96A7C" w:rsidP="00E96A7C">
      <w:pPr>
        <w:pStyle w:val="NormalWeb"/>
        <w:numPr>
          <w:ilvl w:val="0"/>
          <w:numId w:val="4"/>
        </w:numPr>
        <w:spacing w:before="0" w:beforeAutospacing="0" w:after="0" w:afterAutospacing="0"/>
        <w:ind w:left="1050"/>
        <w:rPr>
          <w:rStyle w:val="Hyperlink"/>
          <w:rFonts w:ascii="Aptos" w:hAnsi="Aptos" w:cs="Arial"/>
          <w:color w:val="000000" w:themeColor="text1"/>
          <w:sz w:val="22"/>
          <w:szCs w:val="22"/>
        </w:rPr>
      </w:pPr>
      <w:r w:rsidRPr="00675305">
        <w:rPr>
          <w:rStyle w:val="Hyperlink"/>
          <w:rFonts w:ascii="Aptos" w:hAnsi="Aptos" w:cs="Arial"/>
          <w:color w:val="000000" w:themeColor="text1"/>
          <w:sz w:val="22"/>
          <w:szCs w:val="22"/>
        </w:rPr>
        <w:t>This process will involve linking information from your GP record with information from other health or social care services you have used. Information which identifies you will only be seen by Woodbrook Medical Centre.</w:t>
      </w:r>
    </w:p>
    <w:p w14:paraId="54BA278E" w14:textId="77777777" w:rsidR="00E96A7C" w:rsidRPr="00675305" w:rsidRDefault="00E96A7C" w:rsidP="00E96A7C">
      <w:pPr>
        <w:pStyle w:val="NormalWeb"/>
        <w:spacing w:before="0" w:beforeAutospacing="0" w:after="0" w:afterAutospacing="0"/>
        <w:rPr>
          <w:rStyle w:val="Hyperlink"/>
          <w:rFonts w:ascii="Aptos" w:hAnsi="Aptos" w:cs="Arial"/>
          <w:color w:val="000000" w:themeColor="text1"/>
          <w:sz w:val="22"/>
          <w:szCs w:val="22"/>
        </w:rPr>
      </w:pPr>
    </w:p>
    <w:p w14:paraId="048C5CEA" w14:textId="77777777" w:rsidR="00E96A7C" w:rsidRPr="00675305" w:rsidRDefault="00E96A7C" w:rsidP="00E96A7C">
      <w:pPr>
        <w:rPr>
          <w:rFonts w:ascii="Aptos" w:hAnsi="Aptos" w:cs="Arial"/>
          <w:b/>
          <w:bCs/>
          <w:color w:val="000000" w:themeColor="text1"/>
        </w:rPr>
      </w:pPr>
      <w:r w:rsidRPr="00675305">
        <w:rPr>
          <w:rFonts w:ascii="Aptos" w:hAnsi="Aptos" w:cs="Arial"/>
          <w:b/>
          <w:bCs/>
          <w:color w:val="000000" w:themeColor="text1"/>
        </w:rPr>
        <w:t>Safeguarding</w:t>
      </w:r>
    </w:p>
    <w:p w14:paraId="17D526D2" w14:textId="77777777" w:rsidR="00E96A7C" w:rsidRPr="00675305" w:rsidRDefault="00E96A7C" w:rsidP="00E96A7C">
      <w:pPr>
        <w:rPr>
          <w:rFonts w:ascii="Aptos" w:hAnsi="Aptos" w:cs="Arial"/>
          <w:color w:val="000000" w:themeColor="text1"/>
        </w:rPr>
      </w:pPr>
    </w:p>
    <w:p w14:paraId="673F0766" w14:textId="77777777" w:rsidR="00E96A7C" w:rsidRPr="00675305" w:rsidRDefault="00E96A7C" w:rsidP="00E96A7C">
      <w:pPr>
        <w:pStyle w:val="NormalWeb"/>
        <w:numPr>
          <w:ilvl w:val="0"/>
          <w:numId w:val="5"/>
        </w:numPr>
        <w:spacing w:before="0" w:beforeAutospacing="0" w:after="0" w:afterAutospacing="0"/>
        <w:rPr>
          <w:rFonts w:ascii="Aptos" w:hAnsi="Aptos" w:cs="Arial"/>
          <w:sz w:val="22"/>
          <w:szCs w:val="22"/>
        </w:rPr>
      </w:pPr>
      <w:r w:rsidRPr="00675305">
        <w:rPr>
          <w:rFonts w:ascii="Aptos" w:hAnsi="Aptos"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780BCE56" w14:textId="77777777" w:rsidR="00E96A7C" w:rsidRPr="00675305" w:rsidRDefault="00E96A7C" w:rsidP="00E96A7C">
      <w:pPr>
        <w:rPr>
          <w:rFonts w:ascii="Aptos" w:hAnsi="Aptos" w:cs="Arial"/>
          <w:b/>
          <w:bCs/>
          <w:color w:val="000000" w:themeColor="text1"/>
        </w:rPr>
      </w:pPr>
      <w:r w:rsidRPr="00675305">
        <w:rPr>
          <w:rFonts w:ascii="Aptos" w:hAnsi="Aptos" w:cs="Arial"/>
          <w:b/>
          <w:bCs/>
          <w:color w:val="000000" w:themeColor="text1"/>
        </w:rPr>
        <w:lastRenderedPageBreak/>
        <w:t>Medical research</w:t>
      </w:r>
    </w:p>
    <w:p w14:paraId="77F7A3DD" w14:textId="77777777" w:rsidR="00E96A7C" w:rsidRPr="00675305" w:rsidRDefault="00E96A7C" w:rsidP="00E96A7C">
      <w:pPr>
        <w:rPr>
          <w:rFonts w:ascii="Aptos" w:hAnsi="Aptos" w:cs="Arial"/>
          <w:b/>
          <w:bCs/>
          <w:color w:val="000000" w:themeColor="text1"/>
        </w:rPr>
      </w:pPr>
    </w:p>
    <w:p w14:paraId="72564167" w14:textId="77777777" w:rsidR="00E96A7C" w:rsidRPr="00675305" w:rsidRDefault="00E96A7C" w:rsidP="00E96A7C">
      <w:pPr>
        <w:pStyle w:val="NormalWeb"/>
        <w:numPr>
          <w:ilvl w:val="0"/>
          <w:numId w:val="6"/>
        </w:numPr>
        <w:spacing w:before="0" w:beforeAutospacing="0" w:after="0" w:afterAutospacing="0"/>
        <w:ind w:left="811"/>
        <w:rPr>
          <w:rFonts w:ascii="Aptos" w:hAnsi="Aptos" w:cs="Arial"/>
          <w:sz w:val="22"/>
          <w:szCs w:val="22"/>
        </w:rPr>
      </w:pPr>
      <w:r w:rsidRPr="00675305">
        <w:rPr>
          <w:rFonts w:ascii="Aptos" w:hAnsi="Aptos" w:cs="Arial"/>
          <w:sz w:val="22"/>
          <w:szCs w:val="22"/>
        </w:rPr>
        <w:t>Woodbrook Medical Centre shares information from medical records to support medical research when the law allows us to do so, for example to learn more about why people get ill and what treatments might work best. We will also use your medical records to carry out research within Woodbrook Medical Centre.</w:t>
      </w:r>
    </w:p>
    <w:p w14:paraId="721810D0" w14:textId="77777777" w:rsidR="00E96A7C" w:rsidRPr="00675305" w:rsidRDefault="00E96A7C" w:rsidP="00E96A7C">
      <w:pPr>
        <w:pStyle w:val="NormalWeb"/>
        <w:spacing w:before="0" w:beforeAutospacing="0" w:after="0" w:afterAutospacing="0"/>
        <w:rPr>
          <w:rFonts w:ascii="Aptos" w:hAnsi="Aptos" w:cs="Arial"/>
          <w:sz w:val="22"/>
          <w:szCs w:val="22"/>
        </w:rPr>
      </w:pPr>
    </w:p>
    <w:p w14:paraId="2049FA45" w14:textId="77777777" w:rsidR="00E96A7C" w:rsidRPr="00675305" w:rsidRDefault="00E96A7C" w:rsidP="00E96A7C">
      <w:pPr>
        <w:pStyle w:val="NormalWeb"/>
        <w:numPr>
          <w:ilvl w:val="0"/>
          <w:numId w:val="7"/>
        </w:numPr>
        <w:spacing w:before="0" w:beforeAutospacing="0" w:after="0" w:afterAutospacing="0"/>
        <w:rPr>
          <w:rFonts w:ascii="Aptos" w:hAnsi="Aptos" w:cs="Arial"/>
          <w:sz w:val="22"/>
          <w:szCs w:val="22"/>
        </w:rPr>
      </w:pPr>
      <w:r w:rsidRPr="00675305">
        <w:rPr>
          <w:rFonts w:ascii="Aptos" w:hAnsi="Aptos"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112E289" w14:textId="77777777" w:rsidR="00E96A7C" w:rsidRPr="00675305" w:rsidRDefault="00E96A7C" w:rsidP="00E96A7C">
      <w:pPr>
        <w:pStyle w:val="NormalWeb"/>
        <w:spacing w:before="0" w:beforeAutospacing="0" w:after="0" w:afterAutospacing="0"/>
        <w:rPr>
          <w:rFonts w:ascii="Aptos" w:hAnsi="Aptos" w:cs="Arial"/>
          <w:sz w:val="22"/>
          <w:szCs w:val="22"/>
        </w:rPr>
      </w:pPr>
    </w:p>
    <w:p w14:paraId="5C8987D2" w14:textId="77777777" w:rsidR="00E96A7C" w:rsidRPr="00675305" w:rsidRDefault="00E96A7C" w:rsidP="00E96A7C">
      <w:pPr>
        <w:pStyle w:val="NormalWeb"/>
        <w:numPr>
          <w:ilvl w:val="0"/>
          <w:numId w:val="7"/>
        </w:numPr>
        <w:spacing w:before="0" w:beforeAutospacing="0" w:after="0" w:afterAutospacing="0"/>
        <w:rPr>
          <w:rFonts w:ascii="Aptos" w:hAnsi="Aptos" w:cs="Arial"/>
          <w:sz w:val="22"/>
          <w:szCs w:val="22"/>
        </w:rPr>
      </w:pPr>
      <w:r w:rsidRPr="00675305">
        <w:rPr>
          <w:rFonts w:ascii="Aptos" w:hAnsi="Aptos" w:cs="Arial"/>
          <w:sz w:val="22"/>
          <w:szCs w:val="22"/>
        </w:rPr>
        <w:t xml:space="preserve">You have the right to object to your identifiable information being used or shared for medical research purposes. Please speak to Woodbrook Medical Centre if you wish to object. </w:t>
      </w:r>
    </w:p>
    <w:p w14:paraId="232C6C44" w14:textId="77777777" w:rsidR="00E96A7C" w:rsidRPr="00675305" w:rsidRDefault="00E96A7C" w:rsidP="00E96A7C">
      <w:pPr>
        <w:pStyle w:val="NormalWeb"/>
        <w:spacing w:before="0" w:beforeAutospacing="0" w:after="0" w:afterAutospacing="0"/>
        <w:ind w:left="811"/>
        <w:rPr>
          <w:rFonts w:ascii="Aptos" w:hAnsi="Aptos" w:cs="Arial"/>
          <w:sz w:val="22"/>
          <w:szCs w:val="22"/>
        </w:rPr>
      </w:pPr>
    </w:p>
    <w:p w14:paraId="7A423288" w14:textId="77777777" w:rsidR="00E96A7C" w:rsidRPr="00675305" w:rsidRDefault="00E96A7C" w:rsidP="00E96A7C">
      <w:pPr>
        <w:rPr>
          <w:rFonts w:ascii="Aptos" w:hAnsi="Aptos" w:cs="Arial"/>
          <w:b/>
          <w:bCs/>
          <w:color w:val="000000" w:themeColor="text1"/>
        </w:rPr>
      </w:pPr>
      <w:r w:rsidRPr="00675305">
        <w:rPr>
          <w:rFonts w:ascii="Aptos" w:hAnsi="Aptos" w:cs="Arial"/>
          <w:b/>
          <w:bCs/>
          <w:color w:val="000000" w:themeColor="text1"/>
        </w:rPr>
        <w:t>Checking the quality of care – national clinical audits</w:t>
      </w:r>
    </w:p>
    <w:p w14:paraId="589996B2" w14:textId="77777777" w:rsidR="00E96A7C" w:rsidRPr="00675305" w:rsidRDefault="00E96A7C" w:rsidP="00E96A7C">
      <w:pPr>
        <w:rPr>
          <w:rFonts w:ascii="Aptos" w:hAnsi="Aptos" w:cs="Arial"/>
          <w:color w:val="000000" w:themeColor="text1"/>
        </w:rPr>
      </w:pPr>
    </w:p>
    <w:p w14:paraId="17371E48" w14:textId="77777777" w:rsidR="00E96A7C" w:rsidRPr="00675305" w:rsidRDefault="00E96A7C" w:rsidP="00E96A7C">
      <w:pPr>
        <w:pStyle w:val="ListParagraph"/>
        <w:numPr>
          <w:ilvl w:val="0"/>
          <w:numId w:val="8"/>
        </w:numPr>
        <w:rPr>
          <w:rFonts w:ascii="Aptos" w:hAnsi="Aptos" w:cs="Arial"/>
          <w:color w:val="000000" w:themeColor="text1"/>
          <w:sz w:val="22"/>
          <w:szCs w:val="22"/>
        </w:rPr>
      </w:pPr>
      <w:r w:rsidRPr="00675305">
        <w:rPr>
          <w:rFonts w:ascii="Aptos" w:hAnsi="Aptos" w:cs="Arial"/>
          <w:color w:val="000000" w:themeColor="text1"/>
          <w:sz w:val="22"/>
          <w:szCs w:val="22"/>
        </w:rPr>
        <w:t>Woodbrook Medical Centre contributes to national clinical audits so that healthcare can be checked and reviewed. Information from medical records can help doctors and other healthcare workers to measure and check the quality of care that is provided to you.</w:t>
      </w:r>
    </w:p>
    <w:p w14:paraId="38916E0C" w14:textId="77777777" w:rsidR="00E96A7C" w:rsidRPr="00675305" w:rsidRDefault="00E96A7C" w:rsidP="00E96A7C">
      <w:pPr>
        <w:rPr>
          <w:rFonts w:ascii="Aptos" w:hAnsi="Aptos" w:cs="Arial"/>
          <w:color w:val="000000" w:themeColor="text1"/>
          <w:sz w:val="22"/>
          <w:szCs w:val="22"/>
        </w:rPr>
      </w:pPr>
    </w:p>
    <w:p w14:paraId="3E379D8C" w14:textId="77777777" w:rsidR="00E96A7C" w:rsidRPr="00675305" w:rsidRDefault="00E96A7C" w:rsidP="00E96A7C">
      <w:pPr>
        <w:pStyle w:val="ListParagraph"/>
        <w:numPr>
          <w:ilvl w:val="0"/>
          <w:numId w:val="8"/>
        </w:numPr>
        <w:rPr>
          <w:rFonts w:ascii="Aptos" w:hAnsi="Aptos" w:cs="Arial"/>
          <w:color w:val="000000" w:themeColor="text1"/>
          <w:sz w:val="22"/>
          <w:szCs w:val="22"/>
        </w:rPr>
      </w:pPr>
      <w:r w:rsidRPr="00675305">
        <w:rPr>
          <w:rFonts w:ascii="Aptos" w:hAnsi="Aptos"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76A3DFDE" w14:textId="77777777" w:rsidR="00E96A7C" w:rsidRPr="00675305" w:rsidRDefault="00E96A7C" w:rsidP="00E96A7C">
      <w:pPr>
        <w:pStyle w:val="ListParagraph"/>
        <w:rPr>
          <w:rFonts w:ascii="Aptos" w:hAnsi="Aptos" w:cs="Arial"/>
          <w:color w:val="000000" w:themeColor="text1"/>
          <w:sz w:val="22"/>
          <w:szCs w:val="22"/>
        </w:rPr>
      </w:pPr>
    </w:p>
    <w:p w14:paraId="07D049F4" w14:textId="77777777" w:rsidR="00E96A7C" w:rsidRPr="00675305" w:rsidRDefault="00E96A7C" w:rsidP="00E96A7C">
      <w:pPr>
        <w:pStyle w:val="ListParagraph"/>
        <w:numPr>
          <w:ilvl w:val="0"/>
          <w:numId w:val="8"/>
        </w:numPr>
        <w:rPr>
          <w:rFonts w:ascii="Aptos" w:hAnsi="Aptos" w:cs="Arial"/>
          <w:color w:val="000000" w:themeColor="text1"/>
          <w:sz w:val="22"/>
          <w:szCs w:val="22"/>
        </w:rPr>
      </w:pPr>
      <w:r w:rsidRPr="00675305">
        <w:rPr>
          <w:rFonts w:ascii="Aptos" w:hAnsi="Aptos" w:cs="Arial"/>
          <w:color w:val="000000" w:themeColor="text1"/>
          <w:sz w:val="22"/>
          <w:szCs w:val="22"/>
        </w:rPr>
        <w:t>Data is sent to NHS England, a national body with legal responsibilities to collect data.</w:t>
      </w:r>
    </w:p>
    <w:p w14:paraId="5CB1C452" w14:textId="77777777" w:rsidR="00E96A7C" w:rsidRPr="00675305" w:rsidRDefault="00E96A7C" w:rsidP="00E96A7C">
      <w:pPr>
        <w:pStyle w:val="ListParagraph"/>
        <w:rPr>
          <w:rFonts w:ascii="Aptos" w:hAnsi="Aptos" w:cs="Arial"/>
          <w:color w:val="000000" w:themeColor="text1"/>
          <w:sz w:val="22"/>
          <w:szCs w:val="22"/>
        </w:rPr>
      </w:pPr>
    </w:p>
    <w:p w14:paraId="2AC55DD9" w14:textId="77777777" w:rsidR="00E96A7C" w:rsidRPr="00675305" w:rsidRDefault="00E96A7C" w:rsidP="00E96A7C">
      <w:pPr>
        <w:pStyle w:val="ListParagraph"/>
        <w:numPr>
          <w:ilvl w:val="0"/>
          <w:numId w:val="8"/>
        </w:numPr>
        <w:spacing w:line="259" w:lineRule="auto"/>
        <w:rPr>
          <w:rFonts w:ascii="Aptos" w:hAnsi="Aptos" w:cs="Arial"/>
          <w:sz w:val="22"/>
          <w:szCs w:val="22"/>
        </w:rPr>
      </w:pPr>
      <w:r w:rsidRPr="00675305">
        <w:rPr>
          <w:rFonts w:ascii="Aptos" w:hAnsi="Aptos"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70AE226C" w14:textId="77777777" w:rsidR="00E96A7C" w:rsidRPr="00675305" w:rsidRDefault="00E96A7C" w:rsidP="00E96A7C">
      <w:pPr>
        <w:pStyle w:val="ListParagraph"/>
        <w:rPr>
          <w:rFonts w:ascii="Aptos" w:hAnsi="Aptos" w:cs="Arial"/>
          <w:sz w:val="22"/>
          <w:szCs w:val="22"/>
        </w:rPr>
      </w:pPr>
    </w:p>
    <w:p w14:paraId="636B8C35" w14:textId="77777777" w:rsidR="00E96A7C" w:rsidRPr="00675305" w:rsidRDefault="00E96A7C" w:rsidP="00E96A7C">
      <w:pPr>
        <w:pStyle w:val="ListParagraph"/>
        <w:numPr>
          <w:ilvl w:val="0"/>
          <w:numId w:val="8"/>
        </w:numPr>
        <w:spacing w:line="259" w:lineRule="auto"/>
        <w:rPr>
          <w:rFonts w:ascii="Aptos" w:hAnsi="Aptos" w:cs="Arial"/>
          <w:sz w:val="22"/>
          <w:szCs w:val="22"/>
        </w:rPr>
      </w:pPr>
      <w:r w:rsidRPr="00675305">
        <w:rPr>
          <w:rFonts w:ascii="Aptos" w:hAnsi="Aptos" w:cs="Arial"/>
          <w:sz w:val="22"/>
          <w:szCs w:val="22"/>
        </w:rPr>
        <w:t>We will only share your information for national clinical audits or checking purposes when the law allows.</w:t>
      </w:r>
    </w:p>
    <w:p w14:paraId="2FEEBA93" w14:textId="77777777" w:rsidR="00E96A7C" w:rsidRPr="00675305" w:rsidRDefault="00E96A7C" w:rsidP="00E96A7C">
      <w:pPr>
        <w:pStyle w:val="ListParagraph"/>
        <w:spacing w:line="259" w:lineRule="auto"/>
        <w:rPr>
          <w:rFonts w:ascii="Aptos" w:hAnsi="Aptos" w:cs="Arial"/>
          <w:sz w:val="22"/>
          <w:szCs w:val="22"/>
        </w:rPr>
      </w:pPr>
    </w:p>
    <w:p w14:paraId="747873C3" w14:textId="77777777" w:rsidR="00E96A7C" w:rsidRPr="00675305" w:rsidRDefault="00E96A7C" w:rsidP="00E96A7C">
      <w:pPr>
        <w:pStyle w:val="ListParagraph"/>
        <w:numPr>
          <w:ilvl w:val="0"/>
          <w:numId w:val="8"/>
        </w:numPr>
        <w:spacing w:line="259" w:lineRule="auto"/>
        <w:rPr>
          <w:rFonts w:ascii="Aptos" w:hAnsi="Aptos" w:cs="Arial"/>
          <w:sz w:val="22"/>
          <w:szCs w:val="22"/>
        </w:rPr>
      </w:pPr>
      <w:r w:rsidRPr="00675305">
        <w:rPr>
          <w:rFonts w:ascii="Aptos" w:hAnsi="Aptos" w:cs="Arial"/>
          <w:sz w:val="22"/>
          <w:szCs w:val="22"/>
        </w:rPr>
        <w:t>You have the right to object to your identifiable information being shared for national clinical audits. Please contact Woodbrook Medical Centre if you wish to object.</w:t>
      </w:r>
    </w:p>
    <w:p w14:paraId="4BFE024A" w14:textId="77777777" w:rsidR="00E96A7C" w:rsidRPr="00675305" w:rsidRDefault="00E96A7C" w:rsidP="00E96A7C">
      <w:pPr>
        <w:spacing w:line="259" w:lineRule="auto"/>
        <w:ind w:left="360"/>
        <w:rPr>
          <w:rFonts w:ascii="Aptos" w:hAnsi="Aptos" w:cs="Arial"/>
          <w:sz w:val="22"/>
          <w:szCs w:val="22"/>
        </w:rPr>
      </w:pPr>
    </w:p>
    <w:p w14:paraId="6AAAB3DC" w14:textId="77777777" w:rsidR="00E96A7C" w:rsidRPr="00675305" w:rsidRDefault="00E96A7C" w:rsidP="00E96A7C">
      <w:pPr>
        <w:spacing w:line="259" w:lineRule="auto"/>
        <w:ind w:left="360"/>
        <w:rPr>
          <w:rFonts w:ascii="Aptos" w:hAnsi="Aptos" w:cs="Arial"/>
          <w:b/>
          <w:bCs/>
          <w:sz w:val="22"/>
          <w:szCs w:val="22"/>
        </w:rPr>
      </w:pPr>
      <w:r w:rsidRPr="00675305">
        <w:rPr>
          <w:rFonts w:ascii="Aptos" w:hAnsi="Aptos" w:cs="Arial"/>
          <w:b/>
          <w:bCs/>
          <w:sz w:val="22"/>
          <w:szCs w:val="22"/>
        </w:rPr>
        <w:t>We are required by law to provide you with the following information about how we handle your information:</w:t>
      </w:r>
    </w:p>
    <w:p w14:paraId="31C2FD1A" w14:textId="77777777" w:rsidR="00E96A7C" w:rsidRPr="00675305" w:rsidRDefault="00E96A7C" w:rsidP="00E96A7C">
      <w:pPr>
        <w:spacing w:line="259" w:lineRule="auto"/>
        <w:ind w:left="360"/>
        <w:rPr>
          <w:rFonts w:ascii="Aptos" w:eastAsia="Arial" w:hAnsi="Aptos"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96A7C" w:rsidRPr="00675305" w14:paraId="7635C0DB" w14:textId="77777777" w:rsidTr="003F1EA5">
        <w:tc>
          <w:tcPr>
            <w:tcW w:w="2187" w:type="dxa"/>
          </w:tcPr>
          <w:p w14:paraId="2074A3CA" w14:textId="77777777" w:rsidR="00E96A7C" w:rsidRPr="00675305" w:rsidRDefault="00E96A7C" w:rsidP="003F1EA5">
            <w:pPr>
              <w:snapToGrid w:val="0"/>
              <w:rPr>
                <w:rFonts w:ascii="Aptos" w:eastAsia="Arial" w:hAnsi="Aptos" w:cs="Arial"/>
                <w:b/>
                <w:color w:val="000000"/>
                <w:sz w:val="22"/>
                <w:szCs w:val="22"/>
              </w:rPr>
            </w:pPr>
            <w:r w:rsidRPr="00675305">
              <w:rPr>
                <w:rFonts w:ascii="Aptos" w:eastAsia="Arial" w:hAnsi="Aptos" w:cs="Arial"/>
                <w:b/>
                <w:color w:val="000000"/>
                <w:sz w:val="22"/>
                <w:szCs w:val="22"/>
              </w:rPr>
              <w:t xml:space="preserve">Data Controller </w:t>
            </w:r>
          </w:p>
        </w:tc>
        <w:tc>
          <w:tcPr>
            <w:tcW w:w="11383" w:type="dxa"/>
          </w:tcPr>
          <w:p w14:paraId="35BC51F4" w14:textId="77777777" w:rsidR="00E96A7C" w:rsidRPr="00675305" w:rsidRDefault="00E96A7C" w:rsidP="003F1EA5">
            <w:pPr>
              <w:snapToGrid w:val="0"/>
              <w:rPr>
                <w:rFonts w:ascii="Aptos" w:eastAsia="Arial" w:hAnsi="Aptos" w:cs="Arial"/>
                <w:sz w:val="22"/>
                <w:szCs w:val="22"/>
              </w:rPr>
            </w:pPr>
            <w:r>
              <w:rPr>
                <w:rFonts w:ascii="Aptos" w:eastAsia="Arial" w:hAnsi="Aptos" w:cs="Arial"/>
                <w:sz w:val="22"/>
                <w:szCs w:val="22"/>
              </w:rPr>
              <w:t xml:space="preserve">Anna </w:t>
            </w:r>
            <w:proofErr w:type="spellStart"/>
            <w:r>
              <w:rPr>
                <w:rFonts w:ascii="Aptos" w:eastAsia="Arial" w:hAnsi="Aptos" w:cs="Arial"/>
                <w:sz w:val="22"/>
                <w:szCs w:val="22"/>
              </w:rPr>
              <w:t>Ingle,</w:t>
            </w:r>
            <w:proofErr w:type="spellEnd"/>
            <w:r>
              <w:rPr>
                <w:rFonts w:ascii="Aptos" w:eastAsia="Arial" w:hAnsi="Aptos" w:cs="Arial"/>
                <w:sz w:val="22"/>
                <w:szCs w:val="22"/>
              </w:rPr>
              <w:t xml:space="preserve"> Business Partner </w:t>
            </w:r>
          </w:p>
          <w:p w14:paraId="14A0C1C1" w14:textId="77777777" w:rsidR="00E96A7C" w:rsidRPr="00675305" w:rsidRDefault="00E96A7C" w:rsidP="003F1EA5">
            <w:pPr>
              <w:snapToGrid w:val="0"/>
              <w:rPr>
                <w:rFonts w:ascii="Aptos" w:eastAsia="Arial" w:hAnsi="Aptos" w:cs="Arial"/>
                <w:sz w:val="22"/>
                <w:szCs w:val="22"/>
              </w:rPr>
            </w:pPr>
          </w:p>
        </w:tc>
      </w:tr>
      <w:tr w:rsidR="00E96A7C" w:rsidRPr="00675305" w14:paraId="61059DFA" w14:textId="77777777" w:rsidTr="003F1EA5">
        <w:tc>
          <w:tcPr>
            <w:tcW w:w="2187" w:type="dxa"/>
          </w:tcPr>
          <w:p w14:paraId="07349729"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b/>
                <w:color w:val="000000"/>
                <w:sz w:val="22"/>
                <w:szCs w:val="22"/>
              </w:rPr>
              <w:t xml:space="preserve">Data Protection Officer </w:t>
            </w:r>
          </w:p>
        </w:tc>
        <w:tc>
          <w:tcPr>
            <w:tcW w:w="11383" w:type="dxa"/>
          </w:tcPr>
          <w:p w14:paraId="0797AE47" w14:textId="77777777" w:rsidR="00E96A7C" w:rsidRPr="00675305" w:rsidRDefault="00E96A7C" w:rsidP="003F1EA5">
            <w:pPr>
              <w:snapToGrid w:val="0"/>
              <w:rPr>
                <w:rFonts w:ascii="Aptos" w:eastAsia="Arial" w:hAnsi="Aptos" w:cs="Arial"/>
                <w:sz w:val="22"/>
                <w:szCs w:val="22"/>
              </w:rPr>
            </w:pPr>
            <w:r>
              <w:rPr>
                <w:rFonts w:ascii="Aptos" w:eastAsia="Arial" w:hAnsi="Aptos" w:cs="Arial"/>
                <w:sz w:val="22"/>
                <w:szCs w:val="22"/>
              </w:rPr>
              <w:t xml:space="preserve">Umar Sabat, IG-Health </w:t>
            </w:r>
            <w:hyperlink r:id="rId9" w:history="1">
              <w:r w:rsidRPr="00446E17">
                <w:rPr>
                  <w:rStyle w:val="Hyperlink"/>
                  <w:rFonts w:ascii="Aptos" w:eastAsia="Arial" w:hAnsi="Aptos" w:cs="Arial"/>
                  <w:sz w:val="22"/>
                  <w:szCs w:val="22"/>
                </w:rPr>
                <w:t>www.IG-Health.co.uk</w:t>
              </w:r>
            </w:hyperlink>
            <w:r>
              <w:rPr>
                <w:rFonts w:ascii="Aptos" w:eastAsia="Arial" w:hAnsi="Aptos" w:cs="Arial"/>
                <w:sz w:val="22"/>
                <w:szCs w:val="22"/>
              </w:rPr>
              <w:t xml:space="preserve"> </w:t>
            </w:r>
          </w:p>
        </w:tc>
      </w:tr>
      <w:tr w:rsidR="00E96A7C" w:rsidRPr="00675305" w14:paraId="5944D91A" w14:textId="77777777" w:rsidTr="003F1EA5">
        <w:tc>
          <w:tcPr>
            <w:tcW w:w="2187" w:type="dxa"/>
            <w:tcBorders>
              <w:bottom w:val="single" w:sz="4" w:space="0" w:color="000000"/>
            </w:tcBorders>
          </w:tcPr>
          <w:p w14:paraId="2F8A64E6" w14:textId="77777777" w:rsidR="00E96A7C" w:rsidRPr="00675305" w:rsidRDefault="00E96A7C" w:rsidP="003F1EA5">
            <w:pPr>
              <w:snapToGrid w:val="0"/>
              <w:rPr>
                <w:rFonts w:ascii="Aptos" w:eastAsia="Arial" w:hAnsi="Aptos" w:cs="Arial"/>
                <w:sz w:val="22"/>
                <w:szCs w:val="22"/>
              </w:rPr>
            </w:pPr>
            <w:r w:rsidRPr="00675305">
              <w:rPr>
                <w:rFonts w:ascii="Aptos" w:eastAsia="Arial" w:hAnsi="Aptos" w:cs="Arial"/>
                <w:b/>
                <w:color w:val="000000"/>
                <w:sz w:val="22"/>
                <w:szCs w:val="22"/>
              </w:rPr>
              <w:t>Purpose</w:t>
            </w:r>
            <w:r w:rsidRPr="00675305">
              <w:rPr>
                <w:rFonts w:ascii="Aptos" w:eastAsia="Arial" w:hAnsi="Aptos" w:cs="Arial"/>
                <w:color w:val="000000"/>
                <w:sz w:val="22"/>
                <w:szCs w:val="22"/>
              </w:rPr>
              <w:t xml:space="preserve"> of the processing</w:t>
            </w:r>
          </w:p>
        </w:tc>
        <w:tc>
          <w:tcPr>
            <w:tcW w:w="11383" w:type="dxa"/>
            <w:tcBorders>
              <w:bottom w:val="single" w:sz="4" w:space="0" w:color="000000"/>
            </w:tcBorders>
          </w:tcPr>
          <w:p w14:paraId="6B4DA6AA"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To give direct health or social care to individual patients. An example is, when a patient agrees to a referral for direct care, such as to a hospital, relevant information about the patient will be shared with the other healthcare staff to enable them to give appropriate advice, investigations, treatments and/or care.</w:t>
            </w:r>
          </w:p>
          <w:p w14:paraId="1CFFC32B"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p>
          <w:p w14:paraId="1AEF0265"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To check and review the quality of care. (This is called audit and clinical governance).</w:t>
            </w:r>
          </w:p>
          <w:p w14:paraId="5E3B91E4"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p>
          <w:p w14:paraId="2E58B052"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Medical research and to check the quality of care which is given to patients (this is called national clinical audit).</w:t>
            </w:r>
          </w:p>
          <w:p w14:paraId="1B710120" w14:textId="77777777" w:rsidR="00E96A7C" w:rsidRPr="00675305" w:rsidRDefault="00E96A7C" w:rsidP="003F1EA5">
            <w:pPr>
              <w:pBdr>
                <w:top w:val="nil"/>
                <w:left w:val="nil"/>
                <w:bottom w:val="nil"/>
                <w:right w:val="nil"/>
                <w:between w:val="nil"/>
              </w:pBdr>
              <w:snapToGrid w:val="0"/>
              <w:rPr>
                <w:rFonts w:ascii="Aptos" w:eastAsia="Arial" w:hAnsi="Aptos" w:cs="Arial"/>
                <w:color w:val="000000"/>
              </w:rPr>
            </w:pPr>
          </w:p>
        </w:tc>
      </w:tr>
      <w:tr w:rsidR="00E96A7C" w:rsidRPr="00675305" w14:paraId="2EBF2EA0" w14:textId="77777777" w:rsidTr="003F1EA5">
        <w:tc>
          <w:tcPr>
            <w:tcW w:w="2187" w:type="dxa"/>
            <w:tcBorders>
              <w:bottom w:val="single" w:sz="4" w:space="0" w:color="auto"/>
            </w:tcBorders>
          </w:tcPr>
          <w:p w14:paraId="4149A84A" w14:textId="77777777" w:rsidR="00E96A7C" w:rsidRPr="00675305" w:rsidRDefault="00E96A7C" w:rsidP="003F1EA5">
            <w:pPr>
              <w:snapToGrid w:val="0"/>
              <w:rPr>
                <w:rFonts w:ascii="Aptos" w:eastAsia="Arial" w:hAnsi="Aptos" w:cs="Arial"/>
                <w:sz w:val="22"/>
                <w:szCs w:val="22"/>
              </w:rPr>
            </w:pPr>
            <w:r w:rsidRPr="00675305">
              <w:rPr>
                <w:rFonts w:ascii="Aptos" w:eastAsia="Arial" w:hAnsi="Aptos" w:cs="Arial"/>
                <w:b/>
                <w:color w:val="000000"/>
                <w:sz w:val="22"/>
                <w:szCs w:val="22"/>
              </w:rPr>
              <w:t>Lawful basis</w:t>
            </w:r>
            <w:r w:rsidRPr="00675305">
              <w:rPr>
                <w:rFonts w:ascii="Aptos" w:eastAsia="Arial" w:hAnsi="Aptos" w:cs="Arial"/>
                <w:color w:val="000000"/>
                <w:sz w:val="22"/>
                <w:szCs w:val="22"/>
              </w:rPr>
              <w:t xml:space="preserve"> for processing</w:t>
            </w:r>
          </w:p>
        </w:tc>
        <w:tc>
          <w:tcPr>
            <w:tcW w:w="11383" w:type="dxa"/>
            <w:tcBorders>
              <w:bottom w:val="single" w:sz="4" w:space="0" w:color="auto"/>
            </w:tcBorders>
          </w:tcPr>
          <w:p w14:paraId="41CA03A9"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sz w:val="22"/>
                <w:szCs w:val="22"/>
              </w:rPr>
              <w:t xml:space="preserve">These purposes are </w:t>
            </w:r>
            <w:r w:rsidRPr="00675305">
              <w:rPr>
                <w:rFonts w:ascii="Aptos" w:eastAsia="Arial" w:hAnsi="Aptos" w:cs="Arial"/>
                <w:color w:val="000000"/>
                <w:sz w:val="22"/>
                <w:szCs w:val="22"/>
              </w:rPr>
              <w:t>supported under the following sections of the GDPR:</w:t>
            </w:r>
          </w:p>
          <w:p w14:paraId="7DFB4FFE" w14:textId="77777777" w:rsidR="00E96A7C" w:rsidRPr="00675305" w:rsidRDefault="00E96A7C" w:rsidP="003F1EA5">
            <w:pPr>
              <w:snapToGrid w:val="0"/>
              <w:rPr>
                <w:rFonts w:ascii="Aptos" w:eastAsia="Arial" w:hAnsi="Aptos" w:cs="Arial"/>
                <w:color w:val="000000"/>
                <w:sz w:val="22"/>
                <w:szCs w:val="22"/>
              </w:rPr>
            </w:pPr>
          </w:p>
          <w:p w14:paraId="2D38CF2B" w14:textId="77777777" w:rsidR="00E96A7C" w:rsidRPr="00675305" w:rsidRDefault="00E96A7C" w:rsidP="003F1EA5">
            <w:pPr>
              <w:snapToGrid w:val="0"/>
              <w:ind w:left="317"/>
              <w:rPr>
                <w:rFonts w:ascii="Aptos" w:eastAsia="Arial" w:hAnsi="Aptos" w:cs="Arial"/>
                <w:i/>
                <w:sz w:val="22"/>
                <w:szCs w:val="22"/>
              </w:rPr>
            </w:pPr>
            <w:r w:rsidRPr="00675305">
              <w:rPr>
                <w:rFonts w:ascii="Aptos" w:eastAsia="Arial" w:hAnsi="Aptos" w:cs="Arial"/>
                <w:b/>
                <w:i/>
                <w:color w:val="000000"/>
                <w:sz w:val="22"/>
                <w:szCs w:val="22"/>
              </w:rPr>
              <w:t xml:space="preserve">Article </w:t>
            </w:r>
            <w:r w:rsidRPr="00675305">
              <w:rPr>
                <w:rFonts w:ascii="Aptos" w:eastAsia="Arial" w:hAnsi="Aptos" w:cs="Arial"/>
                <w:b/>
                <w:i/>
                <w:sz w:val="22"/>
                <w:szCs w:val="22"/>
              </w:rPr>
              <w:t>6(1)(e)</w:t>
            </w:r>
            <w:r w:rsidRPr="00675305">
              <w:rPr>
                <w:rFonts w:ascii="Aptos" w:eastAsia="Arial" w:hAnsi="Aptos" w:cs="Arial"/>
                <w:i/>
                <w:sz w:val="22"/>
                <w:szCs w:val="22"/>
              </w:rPr>
              <w:t xml:space="preserve"> ‘…necessary for the performance of a task carried out in the public interest or in the exercise of official authority…’; and</w:t>
            </w:r>
          </w:p>
          <w:p w14:paraId="77705CE4" w14:textId="77777777" w:rsidR="00E96A7C" w:rsidRPr="00675305" w:rsidRDefault="00E96A7C" w:rsidP="003F1EA5">
            <w:pPr>
              <w:snapToGrid w:val="0"/>
              <w:ind w:left="317"/>
              <w:rPr>
                <w:rFonts w:ascii="Aptos" w:eastAsia="Arial" w:hAnsi="Aptos" w:cs="Arial"/>
                <w:i/>
                <w:sz w:val="22"/>
                <w:szCs w:val="22"/>
              </w:rPr>
            </w:pPr>
          </w:p>
          <w:p w14:paraId="2CA8807B" w14:textId="77777777" w:rsidR="00E96A7C" w:rsidRPr="00675305" w:rsidRDefault="00E96A7C" w:rsidP="003F1EA5">
            <w:pPr>
              <w:snapToGrid w:val="0"/>
              <w:ind w:left="317"/>
              <w:rPr>
                <w:rFonts w:ascii="Aptos" w:eastAsia="Arial" w:hAnsi="Aptos" w:cs="Arial"/>
                <w:i/>
                <w:color w:val="000000"/>
                <w:sz w:val="22"/>
                <w:szCs w:val="22"/>
              </w:rPr>
            </w:pPr>
            <w:r w:rsidRPr="00675305">
              <w:rPr>
                <w:rFonts w:ascii="Aptos" w:eastAsia="Arial" w:hAnsi="Aptos" w:cs="Arial"/>
                <w:b/>
                <w:i/>
                <w:color w:val="000000"/>
                <w:sz w:val="22"/>
                <w:szCs w:val="22"/>
              </w:rPr>
              <w:t>Article 9(2)(h)</w:t>
            </w:r>
            <w:r w:rsidRPr="00675305">
              <w:rPr>
                <w:rFonts w:ascii="Aptos" w:eastAsia="Arial" w:hAnsi="Aptos"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755A6A7" w14:textId="77777777" w:rsidR="00E96A7C" w:rsidRPr="00675305" w:rsidRDefault="00E96A7C" w:rsidP="003F1EA5">
            <w:pPr>
              <w:snapToGrid w:val="0"/>
              <w:ind w:left="720"/>
              <w:rPr>
                <w:rFonts w:ascii="Aptos" w:eastAsia="Arial" w:hAnsi="Aptos" w:cs="Arial"/>
                <w:i/>
                <w:color w:val="000000"/>
                <w:sz w:val="22"/>
                <w:szCs w:val="22"/>
              </w:rPr>
            </w:pPr>
          </w:p>
          <w:p w14:paraId="0BE748CF" w14:textId="77777777" w:rsidR="00E96A7C" w:rsidRPr="00675305" w:rsidRDefault="00E96A7C" w:rsidP="003F1EA5">
            <w:pPr>
              <w:snapToGrid w:val="0"/>
              <w:rPr>
                <w:rFonts w:ascii="Aptos" w:eastAsia="Arial" w:hAnsi="Aptos" w:cs="Arial"/>
                <w:sz w:val="22"/>
                <w:szCs w:val="22"/>
              </w:rPr>
            </w:pPr>
            <w:r w:rsidRPr="00675305">
              <w:rPr>
                <w:rFonts w:ascii="Aptos" w:eastAsia="Arial" w:hAnsi="Aptos" w:cs="Arial"/>
                <w:sz w:val="22"/>
                <w:szCs w:val="22"/>
              </w:rPr>
              <w:t>The following sections of the GDPR mean that we can use medical records for research and to check the quality of care (national clinical audits):</w:t>
            </w:r>
          </w:p>
          <w:p w14:paraId="42E0F581" w14:textId="77777777" w:rsidR="00E96A7C" w:rsidRPr="00675305" w:rsidRDefault="00E96A7C" w:rsidP="003F1EA5">
            <w:pPr>
              <w:snapToGrid w:val="0"/>
              <w:rPr>
                <w:rFonts w:ascii="Aptos" w:eastAsia="Arial" w:hAnsi="Aptos" w:cs="Arial"/>
                <w:sz w:val="22"/>
                <w:szCs w:val="22"/>
              </w:rPr>
            </w:pPr>
          </w:p>
          <w:p w14:paraId="4B373A91" w14:textId="77777777" w:rsidR="00E96A7C" w:rsidRPr="00675305" w:rsidRDefault="00E96A7C" w:rsidP="003F1EA5">
            <w:pPr>
              <w:tabs>
                <w:tab w:val="left" w:pos="317"/>
              </w:tabs>
              <w:snapToGrid w:val="0"/>
              <w:ind w:left="317"/>
              <w:rPr>
                <w:rFonts w:ascii="Aptos" w:eastAsia="Arial" w:hAnsi="Aptos" w:cs="Arial"/>
                <w:i/>
                <w:sz w:val="22"/>
                <w:szCs w:val="22"/>
              </w:rPr>
            </w:pPr>
            <w:r w:rsidRPr="00675305">
              <w:rPr>
                <w:rFonts w:ascii="Aptos" w:eastAsia="Arial" w:hAnsi="Aptos" w:cs="Arial"/>
                <w:b/>
                <w:i/>
                <w:sz w:val="22"/>
                <w:szCs w:val="22"/>
              </w:rPr>
              <w:t>Article 6(1)(e)</w:t>
            </w:r>
            <w:r w:rsidRPr="00675305">
              <w:rPr>
                <w:rFonts w:ascii="Aptos" w:eastAsia="Arial" w:hAnsi="Aptos" w:cs="Arial"/>
                <w:i/>
                <w:sz w:val="22"/>
                <w:szCs w:val="22"/>
              </w:rPr>
              <w:t xml:space="preserve"> – ‘processing is necessary for the performance of a task carried out in the public interest or in the exercise of official authority vested in the controller’.</w:t>
            </w:r>
          </w:p>
          <w:p w14:paraId="20CEAB50" w14:textId="77777777" w:rsidR="00E96A7C" w:rsidRPr="00675305" w:rsidRDefault="00E96A7C" w:rsidP="003F1EA5">
            <w:pPr>
              <w:snapToGrid w:val="0"/>
              <w:rPr>
                <w:rFonts w:ascii="Aptos" w:eastAsia="Arial" w:hAnsi="Aptos" w:cs="Arial"/>
                <w:sz w:val="22"/>
                <w:szCs w:val="22"/>
              </w:rPr>
            </w:pPr>
          </w:p>
          <w:p w14:paraId="338EDF59" w14:textId="4941EF91"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sz w:val="22"/>
                <w:szCs w:val="22"/>
              </w:rPr>
              <w:t>For medical research: there are two possible Article 9 conditions</w:t>
            </w:r>
            <w:r w:rsidRPr="00675305">
              <w:rPr>
                <w:rFonts w:ascii="Aptos" w:eastAsia="Arial" w:hAnsi="Aptos" w:cs="Arial"/>
                <w:color w:val="000000"/>
                <w:sz w:val="22"/>
                <w:szCs w:val="22"/>
              </w:rPr>
              <w:t xml:space="preserve">. </w:t>
            </w:r>
          </w:p>
          <w:p w14:paraId="0B1B3785" w14:textId="77777777" w:rsidR="00E96A7C" w:rsidRPr="00675305" w:rsidRDefault="00E96A7C" w:rsidP="003F1EA5">
            <w:pPr>
              <w:snapToGrid w:val="0"/>
              <w:rPr>
                <w:rFonts w:ascii="Aptos" w:eastAsia="Arial" w:hAnsi="Aptos" w:cs="Arial"/>
                <w:sz w:val="22"/>
                <w:szCs w:val="22"/>
              </w:rPr>
            </w:pPr>
          </w:p>
          <w:p w14:paraId="2E2DA928" w14:textId="77777777" w:rsidR="00E96A7C" w:rsidRPr="00675305" w:rsidRDefault="00E96A7C" w:rsidP="003F1EA5">
            <w:pPr>
              <w:snapToGrid w:val="0"/>
              <w:ind w:firstLine="317"/>
              <w:rPr>
                <w:rFonts w:ascii="Aptos" w:eastAsia="Arial" w:hAnsi="Aptos" w:cs="Arial"/>
                <w:i/>
                <w:sz w:val="22"/>
                <w:szCs w:val="22"/>
              </w:rPr>
            </w:pPr>
            <w:r w:rsidRPr="00675305">
              <w:rPr>
                <w:rFonts w:ascii="Aptos" w:eastAsia="Arial" w:hAnsi="Aptos" w:cs="Arial"/>
                <w:b/>
                <w:bCs/>
                <w:i/>
                <w:sz w:val="22"/>
                <w:szCs w:val="22"/>
              </w:rPr>
              <w:t>Article 9(2)(a)</w:t>
            </w:r>
            <w:r w:rsidRPr="00675305">
              <w:rPr>
                <w:rFonts w:ascii="Aptos" w:eastAsia="Arial" w:hAnsi="Aptos" w:cs="Arial"/>
                <w:i/>
                <w:sz w:val="22"/>
                <w:szCs w:val="22"/>
              </w:rPr>
              <w:t xml:space="preserve"> – ‘the data subject has given explicit consent…’</w:t>
            </w:r>
          </w:p>
          <w:p w14:paraId="28BF3415" w14:textId="77777777" w:rsidR="00E96A7C" w:rsidRPr="00675305" w:rsidRDefault="00E96A7C" w:rsidP="003F1EA5">
            <w:pPr>
              <w:snapToGrid w:val="0"/>
              <w:ind w:firstLine="175"/>
              <w:rPr>
                <w:rFonts w:ascii="Aptos" w:eastAsia="Arial" w:hAnsi="Aptos" w:cs="Arial"/>
                <w:i/>
                <w:sz w:val="22"/>
                <w:szCs w:val="22"/>
              </w:rPr>
            </w:pPr>
          </w:p>
          <w:p w14:paraId="3F109506" w14:textId="77777777" w:rsidR="00E96A7C" w:rsidRPr="00675305" w:rsidRDefault="00E96A7C" w:rsidP="003F1EA5">
            <w:pPr>
              <w:snapToGrid w:val="0"/>
              <w:rPr>
                <w:rFonts w:ascii="Aptos" w:eastAsia="Arial" w:hAnsi="Aptos" w:cs="Arial"/>
                <w:color w:val="000000"/>
                <w:sz w:val="22"/>
                <w:szCs w:val="22"/>
              </w:rPr>
            </w:pPr>
          </w:p>
          <w:p w14:paraId="7A31CD4F" w14:textId="77777777" w:rsidR="00E96A7C" w:rsidRPr="00675305" w:rsidRDefault="00E96A7C" w:rsidP="003F1EA5">
            <w:pPr>
              <w:snapToGrid w:val="0"/>
              <w:ind w:left="317"/>
              <w:rPr>
                <w:rFonts w:ascii="Aptos" w:eastAsia="Arial" w:hAnsi="Aptos" w:cs="Arial"/>
                <w:i/>
                <w:sz w:val="22"/>
                <w:szCs w:val="22"/>
              </w:rPr>
            </w:pPr>
            <w:r w:rsidRPr="00675305">
              <w:rPr>
                <w:rFonts w:ascii="Aptos" w:eastAsia="Arial" w:hAnsi="Aptos" w:cs="Arial"/>
                <w:b/>
                <w:bCs/>
                <w:i/>
                <w:sz w:val="22"/>
                <w:szCs w:val="22"/>
              </w:rPr>
              <w:lastRenderedPageBreak/>
              <w:t>Article 9(2)(j)</w:t>
            </w:r>
            <w:r w:rsidRPr="00675305">
              <w:rPr>
                <w:rFonts w:ascii="Aptos" w:eastAsia="Arial" w:hAnsi="Aptos" w:cs="Arial"/>
                <w:i/>
                <w:sz w:val="22"/>
                <w:szCs w:val="22"/>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39E5080" w14:textId="77777777" w:rsidR="00E96A7C" w:rsidRPr="00675305" w:rsidRDefault="00E96A7C" w:rsidP="003F1EA5">
            <w:pPr>
              <w:snapToGrid w:val="0"/>
              <w:rPr>
                <w:rFonts w:ascii="Aptos" w:eastAsia="Arial" w:hAnsi="Aptos" w:cs="Arial"/>
                <w:color w:val="000000"/>
                <w:sz w:val="22"/>
                <w:szCs w:val="22"/>
              </w:rPr>
            </w:pPr>
          </w:p>
          <w:p w14:paraId="4B8321A1"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color w:val="000000"/>
                <w:sz w:val="22"/>
                <w:szCs w:val="22"/>
              </w:rPr>
              <w:t>Healthcare staff will also respect and comply with their obligations under the common law duty of confidence.</w:t>
            </w:r>
          </w:p>
          <w:p w14:paraId="00AE033F" w14:textId="77777777" w:rsidR="00E96A7C" w:rsidRPr="00675305" w:rsidRDefault="00E96A7C" w:rsidP="003F1EA5">
            <w:pPr>
              <w:snapToGrid w:val="0"/>
              <w:rPr>
                <w:rFonts w:ascii="Aptos" w:eastAsia="Arial" w:hAnsi="Aptos" w:cs="Arial"/>
                <w:color w:val="000000"/>
                <w:sz w:val="22"/>
                <w:szCs w:val="22"/>
              </w:rPr>
            </w:pPr>
          </w:p>
        </w:tc>
      </w:tr>
      <w:tr w:rsidR="00E96A7C" w:rsidRPr="00675305" w14:paraId="412B6A42" w14:textId="77777777" w:rsidTr="003F1EA5">
        <w:tc>
          <w:tcPr>
            <w:tcW w:w="2187" w:type="dxa"/>
            <w:tcBorders>
              <w:top w:val="single" w:sz="4" w:space="0" w:color="auto"/>
            </w:tcBorders>
          </w:tcPr>
          <w:p w14:paraId="776C8671"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b/>
                <w:color w:val="000000"/>
                <w:sz w:val="22"/>
                <w:szCs w:val="22"/>
              </w:rPr>
              <w:lastRenderedPageBreak/>
              <w:t>Recipient or categories of recipients of the processed data</w:t>
            </w:r>
          </w:p>
          <w:p w14:paraId="196E8BFC" w14:textId="77777777" w:rsidR="00E96A7C" w:rsidRPr="00675305" w:rsidRDefault="00E96A7C" w:rsidP="003F1EA5">
            <w:pPr>
              <w:snapToGrid w:val="0"/>
              <w:rPr>
                <w:rFonts w:ascii="Aptos" w:eastAsia="Arial" w:hAnsi="Aptos" w:cs="Arial"/>
                <w:b/>
                <w:color w:val="000000"/>
                <w:sz w:val="22"/>
                <w:szCs w:val="22"/>
              </w:rPr>
            </w:pPr>
          </w:p>
        </w:tc>
        <w:tc>
          <w:tcPr>
            <w:tcW w:w="11383" w:type="dxa"/>
            <w:tcBorders>
              <w:top w:val="single" w:sz="4" w:space="0" w:color="auto"/>
            </w:tcBorders>
          </w:tcPr>
          <w:p w14:paraId="40FD0635"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The data will be shared with: </w:t>
            </w:r>
          </w:p>
          <w:p w14:paraId="45E3F9EB" w14:textId="77777777" w:rsidR="00E96A7C" w:rsidRPr="00675305" w:rsidRDefault="00E96A7C" w:rsidP="003F1EA5">
            <w:pPr>
              <w:snapToGrid w:val="0"/>
              <w:rPr>
                <w:rFonts w:ascii="Aptos" w:eastAsia="Arial" w:hAnsi="Aptos" w:cs="Arial"/>
                <w:color w:val="000000"/>
                <w:sz w:val="22"/>
                <w:szCs w:val="22"/>
              </w:rPr>
            </w:pPr>
          </w:p>
          <w:p w14:paraId="55F77DF8" w14:textId="77777777" w:rsidR="00E96A7C" w:rsidRPr="00675305" w:rsidRDefault="00E96A7C" w:rsidP="00E96A7C">
            <w:pPr>
              <w:numPr>
                <w:ilvl w:val="0"/>
                <w:numId w:val="9"/>
              </w:num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healthcare professionals and staff in this </w:t>
            </w:r>
            <w:proofErr w:type="gramStart"/>
            <w:r w:rsidRPr="00675305">
              <w:rPr>
                <w:rFonts w:ascii="Aptos" w:eastAsia="Arial" w:hAnsi="Aptos" w:cs="Arial"/>
                <w:color w:val="000000"/>
                <w:sz w:val="22"/>
                <w:szCs w:val="22"/>
              </w:rPr>
              <w:t>surgery;</w:t>
            </w:r>
            <w:proofErr w:type="gramEnd"/>
          </w:p>
          <w:p w14:paraId="12A86585" w14:textId="77777777" w:rsidR="00E96A7C" w:rsidRPr="00675305" w:rsidRDefault="00E96A7C" w:rsidP="00E96A7C">
            <w:pPr>
              <w:numPr>
                <w:ilvl w:val="0"/>
                <w:numId w:val="9"/>
              </w:num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local </w:t>
            </w:r>
            <w:proofErr w:type="gramStart"/>
            <w:r w:rsidRPr="00675305">
              <w:rPr>
                <w:rFonts w:ascii="Aptos" w:eastAsia="Arial" w:hAnsi="Aptos" w:cs="Arial"/>
                <w:color w:val="000000"/>
                <w:sz w:val="22"/>
                <w:szCs w:val="22"/>
              </w:rPr>
              <w:t>hospitals;</w:t>
            </w:r>
            <w:proofErr w:type="gramEnd"/>
          </w:p>
          <w:p w14:paraId="614B4B4C" w14:textId="77777777" w:rsidR="00E96A7C" w:rsidRPr="00675305" w:rsidRDefault="00E96A7C" w:rsidP="00E96A7C">
            <w:pPr>
              <w:numPr>
                <w:ilvl w:val="0"/>
                <w:numId w:val="9"/>
              </w:num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out of hours </w:t>
            </w:r>
            <w:proofErr w:type="gramStart"/>
            <w:r w:rsidRPr="00675305">
              <w:rPr>
                <w:rFonts w:ascii="Aptos" w:eastAsia="Arial" w:hAnsi="Aptos" w:cs="Arial"/>
                <w:color w:val="000000"/>
                <w:sz w:val="22"/>
                <w:szCs w:val="22"/>
              </w:rPr>
              <w:t>services;</w:t>
            </w:r>
            <w:proofErr w:type="gramEnd"/>
            <w:r w:rsidRPr="00675305">
              <w:rPr>
                <w:rFonts w:ascii="Aptos" w:eastAsia="Arial" w:hAnsi="Aptos" w:cs="Arial"/>
                <w:color w:val="000000"/>
                <w:sz w:val="22"/>
                <w:szCs w:val="22"/>
              </w:rPr>
              <w:t xml:space="preserve"> </w:t>
            </w:r>
          </w:p>
          <w:p w14:paraId="2094945A" w14:textId="77777777" w:rsidR="00E96A7C" w:rsidRPr="00675305" w:rsidRDefault="00E96A7C" w:rsidP="00E96A7C">
            <w:pPr>
              <w:numPr>
                <w:ilvl w:val="0"/>
                <w:numId w:val="9"/>
              </w:num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diagnostic and treatment </w:t>
            </w:r>
            <w:proofErr w:type="gramStart"/>
            <w:r w:rsidRPr="00675305">
              <w:rPr>
                <w:rFonts w:ascii="Aptos" w:eastAsia="Arial" w:hAnsi="Aptos" w:cs="Arial"/>
                <w:color w:val="000000"/>
                <w:sz w:val="22"/>
                <w:szCs w:val="22"/>
              </w:rPr>
              <w:t>centres;</w:t>
            </w:r>
            <w:proofErr w:type="gramEnd"/>
            <w:r w:rsidRPr="00675305">
              <w:rPr>
                <w:rFonts w:ascii="Aptos" w:eastAsia="Arial" w:hAnsi="Aptos" w:cs="Arial"/>
                <w:color w:val="000000"/>
                <w:sz w:val="22"/>
                <w:szCs w:val="22"/>
              </w:rPr>
              <w:t xml:space="preserve"> </w:t>
            </w:r>
          </w:p>
          <w:p w14:paraId="49EC8C4B" w14:textId="73E06664" w:rsidR="00E96A7C" w:rsidRPr="00E96A7C" w:rsidRDefault="00E96A7C" w:rsidP="003F1EA5">
            <w:pPr>
              <w:numPr>
                <w:ilvl w:val="0"/>
                <w:numId w:val="9"/>
              </w:num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or other organisations involved in the provision of direct care to individual patients. </w:t>
            </w:r>
          </w:p>
          <w:p w14:paraId="12CEFEA1" w14:textId="77777777" w:rsidR="00E96A7C" w:rsidRPr="00675305" w:rsidRDefault="00E96A7C" w:rsidP="003F1EA5">
            <w:pPr>
              <w:snapToGrid w:val="0"/>
              <w:rPr>
                <w:rFonts w:ascii="Aptos" w:eastAsia="Arial" w:hAnsi="Aptos" w:cs="Arial"/>
                <w:color w:val="FF0000"/>
                <w:sz w:val="22"/>
                <w:szCs w:val="22"/>
              </w:rPr>
            </w:pPr>
          </w:p>
          <w:p w14:paraId="2A0B10C0" w14:textId="2DB18FB6" w:rsidR="00E96A7C" w:rsidRPr="00675305" w:rsidRDefault="00E96A7C" w:rsidP="003F1EA5">
            <w:pPr>
              <w:snapToGrid w:val="0"/>
              <w:rPr>
                <w:rFonts w:ascii="Aptos" w:eastAsia="Arial" w:hAnsi="Aptos" w:cs="Arial"/>
                <w:sz w:val="22"/>
                <w:szCs w:val="22"/>
              </w:rPr>
            </w:pPr>
            <w:r w:rsidRPr="00675305">
              <w:rPr>
                <w:rFonts w:ascii="Aptos" w:eastAsia="Arial" w:hAnsi="Aptos" w:cs="Arial"/>
                <w:color w:val="000000"/>
                <w:sz w:val="22"/>
                <w:szCs w:val="22"/>
              </w:rPr>
              <w:t xml:space="preserve">For medical research the data will be shared with </w:t>
            </w:r>
            <w:r>
              <w:rPr>
                <w:rFonts w:ascii="Aptos" w:eastAsia="Arial" w:hAnsi="Aptos" w:cs="Arial"/>
                <w:color w:val="000000"/>
                <w:sz w:val="22"/>
                <w:szCs w:val="22"/>
              </w:rPr>
              <w:t xml:space="preserve">Carillon Primary Care Network, National Institute for Health and Care Research and University of </w:t>
            </w:r>
            <w:proofErr w:type="gramStart"/>
            <w:r>
              <w:rPr>
                <w:rFonts w:ascii="Aptos" w:eastAsia="Arial" w:hAnsi="Aptos" w:cs="Arial"/>
                <w:color w:val="000000"/>
                <w:sz w:val="22"/>
                <w:szCs w:val="22"/>
              </w:rPr>
              <w:t xml:space="preserve">Oxford </w:t>
            </w:r>
            <w:r w:rsidRPr="00675305">
              <w:rPr>
                <w:rFonts w:ascii="Aptos" w:eastAsia="Arial" w:hAnsi="Aptos" w:cs="Arial"/>
                <w:sz w:val="22"/>
                <w:szCs w:val="22"/>
              </w:rPr>
              <w:t xml:space="preserve"> For</w:t>
            </w:r>
            <w:proofErr w:type="gramEnd"/>
            <w:r w:rsidRPr="00675305">
              <w:rPr>
                <w:rFonts w:ascii="Aptos" w:eastAsia="Arial" w:hAnsi="Aptos" w:cs="Arial"/>
                <w:sz w:val="22"/>
                <w:szCs w:val="22"/>
              </w:rPr>
              <w:t xml:space="preserve"> national clinical audits which check the quality of care the data will be shared with NHS England. </w:t>
            </w:r>
          </w:p>
          <w:p w14:paraId="058E5A50" w14:textId="77777777" w:rsidR="00E96A7C" w:rsidRPr="00675305" w:rsidRDefault="00E96A7C" w:rsidP="003F1EA5">
            <w:pPr>
              <w:snapToGrid w:val="0"/>
              <w:rPr>
                <w:rFonts w:ascii="Aptos" w:eastAsia="Arial" w:hAnsi="Aptos" w:cs="Arial"/>
                <w:sz w:val="22"/>
                <w:szCs w:val="22"/>
              </w:rPr>
            </w:pPr>
          </w:p>
        </w:tc>
      </w:tr>
      <w:tr w:rsidR="00E96A7C" w:rsidRPr="00675305" w14:paraId="10F8F73B" w14:textId="77777777" w:rsidTr="003F1EA5">
        <w:tc>
          <w:tcPr>
            <w:tcW w:w="2187" w:type="dxa"/>
          </w:tcPr>
          <w:p w14:paraId="39982C7C" w14:textId="77777777" w:rsidR="00E96A7C" w:rsidRPr="00675305" w:rsidRDefault="00E96A7C" w:rsidP="003F1EA5">
            <w:pPr>
              <w:snapToGrid w:val="0"/>
              <w:rPr>
                <w:rFonts w:ascii="Aptos" w:eastAsia="Arial" w:hAnsi="Aptos" w:cs="Arial"/>
                <w:sz w:val="22"/>
                <w:szCs w:val="22"/>
              </w:rPr>
            </w:pPr>
            <w:r w:rsidRPr="00675305">
              <w:rPr>
                <w:rFonts w:ascii="Aptos" w:eastAsia="Arial" w:hAnsi="Aptos" w:cs="Arial"/>
                <w:b/>
                <w:color w:val="000000"/>
                <w:sz w:val="22"/>
                <w:szCs w:val="22"/>
              </w:rPr>
              <w:t>Rights to object</w:t>
            </w:r>
            <w:r w:rsidRPr="00675305">
              <w:rPr>
                <w:rFonts w:ascii="Aptos" w:eastAsia="Arial" w:hAnsi="Aptos" w:cs="Arial"/>
                <w:b/>
                <w:color w:val="000000"/>
              </w:rPr>
              <w:t xml:space="preserve"> and the national data opt-out</w:t>
            </w:r>
          </w:p>
          <w:p w14:paraId="1DEF67F7" w14:textId="77777777" w:rsidR="00E96A7C" w:rsidRPr="00675305" w:rsidRDefault="00E96A7C" w:rsidP="003F1EA5">
            <w:pPr>
              <w:snapToGrid w:val="0"/>
              <w:rPr>
                <w:rFonts w:ascii="Aptos" w:eastAsia="Arial" w:hAnsi="Aptos" w:cs="Arial"/>
                <w:b/>
                <w:color w:val="000000"/>
                <w:sz w:val="22"/>
                <w:szCs w:val="22"/>
              </w:rPr>
            </w:pPr>
          </w:p>
        </w:tc>
        <w:tc>
          <w:tcPr>
            <w:tcW w:w="11383" w:type="dxa"/>
          </w:tcPr>
          <w:p w14:paraId="04743D2F"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You have the right to object to information being shared between those who are providing you with direct care. This may affect the care you receive – please speak to the practice. You </w:t>
            </w:r>
            <w:proofErr w:type="gramStart"/>
            <w:r w:rsidRPr="00675305">
              <w:rPr>
                <w:rFonts w:ascii="Aptos" w:eastAsia="Arial" w:hAnsi="Aptos" w:cs="Arial"/>
                <w:color w:val="000000"/>
                <w:sz w:val="22"/>
                <w:szCs w:val="22"/>
              </w:rPr>
              <w:t>are not able to</w:t>
            </w:r>
            <w:proofErr w:type="gramEnd"/>
            <w:r w:rsidRPr="00675305">
              <w:rPr>
                <w:rFonts w:ascii="Aptos" w:eastAsia="Arial" w:hAnsi="Aptos" w:cs="Arial"/>
                <w:color w:val="000000"/>
                <w:sz w:val="22"/>
                <w:szCs w:val="22"/>
              </w:rPr>
              <w:t xml:space="preserve"> object to your name, address and other demographic information being sent to NHS England. This is necessary if you wish to be registered to receive NHS care.</w:t>
            </w:r>
          </w:p>
          <w:p w14:paraId="7A5BEE5D" w14:textId="77777777" w:rsidR="00E96A7C" w:rsidRPr="00675305" w:rsidRDefault="00E96A7C" w:rsidP="003F1EA5">
            <w:pPr>
              <w:pBdr>
                <w:top w:val="nil"/>
                <w:left w:val="nil"/>
                <w:bottom w:val="nil"/>
                <w:right w:val="nil"/>
                <w:between w:val="nil"/>
              </w:pBdr>
              <w:snapToGrid w:val="0"/>
              <w:ind w:left="720"/>
              <w:rPr>
                <w:rFonts w:ascii="Aptos" w:eastAsia="Arial" w:hAnsi="Aptos" w:cs="Arial"/>
                <w:color w:val="000000"/>
                <w:sz w:val="22"/>
                <w:szCs w:val="22"/>
              </w:rPr>
            </w:pPr>
          </w:p>
          <w:p w14:paraId="33D47220" w14:textId="0129071D"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You </w:t>
            </w:r>
            <w:proofErr w:type="gramStart"/>
            <w:r w:rsidRPr="00675305">
              <w:rPr>
                <w:rFonts w:ascii="Aptos" w:eastAsia="Arial" w:hAnsi="Aptos" w:cs="Arial"/>
                <w:color w:val="000000"/>
                <w:sz w:val="22"/>
                <w:szCs w:val="22"/>
              </w:rPr>
              <w:t>are not able to</w:t>
            </w:r>
            <w:proofErr w:type="gramEnd"/>
            <w:r w:rsidRPr="00675305">
              <w:rPr>
                <w:rFonts w:ascii="Aptos" w:eastAsia="Arial" w:hAnsi="Aptos" w:cs="Arial"/>
                <w:color w:val="000000"/>
                <w:sz w:val="22"/>
                <w:szCs w:val="22"/>
              </w:rPr>
              <w:t xml:space="preserve">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r>
              <w:rPr>
                <w:rFonts w:ascii="Aptos" w:eastAsia="Arial" w:hAnsi="Aptos" w:cs="Arial"/>
                <w:color w:val="000000"/>
                <w:sz w:val="22"/>
                <w:szCs w:val="22"/>
              </w:rPr>
              <w:t>, Leicester, Leicestershire and Rutland Safeguarding hub.</w:t>
            </w:r>
          </w:p>
          <w:p w14:paraId="782B17B4" w14:textId="77777777" w:rsidR="00E96A7C" w:rsidRPr="00675305" w:rsidRDefault="00E96A7C" w:rsidP="003F1EA5">
            <w:pPr>
              <w:pBdr>
                <w:top w:val="nil"/>
                <w:left w:val="nil"/>
                <w:bottom w:val="nil"/>
                <w:right w:val="nil"/>
                <w:between w:val="nil"/>
              </w:pBdr>
              <w:snapToGrid w:val="0"/>
              <w:ind w:left="720"/>
              <w:rPr>
                <w:rFonts w:ascii="Aptos" w:eastAsia="Arial" w:hAnsi="Aptos" w:cs="Arial"/>
                <w:color w:val="000000"/>
                <w:sz w:val="22"/>
                <w:szCs w:val="22"/>
              </w:rPr>
            </w:pPr>
          </w:p>
          <w:p w14:paraId="28394BAE" w14:textId="77777777" w:rsidR="00E96A7C"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The national data opt-out model provides an easy way for you to opt-out of information that identifies you being used or shared for medical research purposes and quality checking or audit purposes.  Please contact the practice if you wish to opt-out. Further information is available from </w:t>
            </w:r>
            <w:hyperlink r:id="rId10">
              <w:r w:rsidRPr="00675305">
                <w:rPr>
                  <w:rFonts w:ascii="Aptos" w:eastAsia="Arial" w:hAnsi="Aptos" w:cs="Arial"/>
                  <w:color w:val="0563C1"/>
                  <w:sz w:val="22"/>
                  <w:szCs w:val="22"/>
                  <w:u w:val="single"/>
                </w:rPr>
                <w:t>NHS England</w:t>
              </w:r>
            </w:hyperlink>
            <w:r w:rsidRPr="00675305">
              <w:rPr>
                <w:rFonts w:ascii="Aptos" w:eastAsia="Arial" w:hAnsi="Aptos" w:cs="Arial"/>
                <w:color w:val="000000"/>
                <w:sz w:val="22"/>
                <w:szCs w:val="22"/>
              </w:rPr>
              <w:t>.</w:t>
            </w:r>
          </w:p>
          <w:p w14:paraId="5B0BD07B" w14:textId="77777777" w:rsidR="00E96A7C" w:rsidRPr="00E96A7C" w:rsidRDefault="00E96A7C" w:rsidP="00E96A7C">
            <w:pPr>
              <w:pBdr>
                <w:top w:val="nil"/>
                <w:left w:val="nil"/>
                <w:bottom w:val="nil"/>
                <w:right w:val="nil"/>
                <w:between w:val="nil"/>
              </w:pBdr>
              <w:snapToGrid w:val="0"/>
              <w:rPr>
                <w:rFonts w:ascii="Aptos" w:eastAsia="Arial" w:hAnsi="Aptos" w:cs="Arial"/>
                <w:color w:val="000000"/>
                <w:sz w:val="22"/>
                <w:szCs w:val="22"/>
              </w:rPr>
            </w:pPr>
            <w:r w:rsidRPr="00E96A7C">
              <w:rPr>
                <w:rFonts w:ascii="Aptos" w:eastAsia="Arial" w:hAnsi="Aptos" w:cs="Arial"/>
                <w:color w:val="000000"/>
                <w:sz w:val="22"/>
                <w:szCs w:val="22"/>
              </w:rPr>
              <w:lastRenderedPageBreak/>
              <w:t xml:space="preserve">NHS England has been directed by the government to establish and operate the </w:t>
            </w:r>
            <w:proofErr w:type="spellStart"/>
            <w:r w:rsidRPr="00E96A7C">
              <w:rPr>
                <w:rFonts w:ascii="Aptos" w:eastAsia="Arial" w:hAnsi="Aptos" w:cs="Arial"/>
                <w:color w:val="000000"/>
                <w:sz w:val="22"/>
                <w:szCs w:val="22"/>
              </w:rPr>
              <w:t>OpenSAFELY</w:t>
            </w:r>
            <w:proofErr w:type="spellEnd"/>
            <w:r w:rsidRPr="00E96A7C">
              <w:rPr>
                <w:rFonts w:ascii="Aptos" w:eastAsia="Arial" w:hAnsi="Aptos" w:cs="Arial"/>
                <w:color w:val="000000"/>
                <w:sz w:val="22"/>
                <w:szCs w:val="22"/>
              </w:rPr>
              <w:t xml:space="preserve"> COVID-19 Service and the </w:t>
            </w:r>
            <w:proofErr w:type="spellStart"/>
            <w:r w:rsidRPr="00E96A7C">
              <w:rPr>
                <w:rFonts w:ascii="Aptos" w:eastAsia="Arial" w:hAnsi="Aptos" w:cs="Arial"/>
                <w:color w:val="000000"/>
                <w:sz w:val="22"/>
                <w:szCs w:val="22"/>
              </w:rPr>
              <w:t>OpenSAFELY</w:t>
            </w:r>
            <w:proofErr w:type="spellEnd"/>
            <w:r w:rsidRPr="00E96A7C">
              <w:rPr>
                <w:rFonts w:ascii="Aptos" w:eastAsia="Arial" w:hAnsi="Aptos" w:cs="Arial"/>
                <w:color w:val="000000"/>
                <w:sz w:val="22"/>
                <w:szCs w:val="22"/>
              </w:rPr>
              <w:t xml:space="preserve"> Data Analytics Service. These services provide a secure environment that supports research, clinical audit, service evaluation and health surveillance for COVID-19 and other purposes.</w:t>
            </w:r>
          </w:p>
          <w:p w14:paraId="6F49EBBE" w14:textId="77777777" w:rsidR="00E96A7C" w:rsidRPr="00E96A7C" w:rsidRDefault="00E96A7C" w:rsidP="00E96A7C">
            <w:pPr>
              <w:pBdr>
                <w:top w:val="nil"/>
                <w:left w:val="nil"/>
                <w:bottom w:val="nil"/>
                <w:right w:val="nil"/>
                <w:between w:val="nil"/>
              </w:pBdr>
              <w:snapToGrid w:val="0"/>
              <w:rPr>
                <w:rFonts w:ascii="Aptos" w:eastAsia="Arial" w:hAnsi="Aptos" w:cs="Arial"/>
                <w:color w:val="000000"/>
                <w:sz w:val="22"/>
                <w:szCs w:val="22"/>
              </w:rPr>
            </w:pPr>
            <w:r w:rsidRPr="00E96A7C">
              <w:rPr>
                <w:rFonts w:ascii="Aptos" w:eastAsia="Arial" w:hAnsi="Aptos" w:cs="Arial"/>
                <w:color w:val="000000"/>
                <w:sz w:val="22"/>
                <w:szCs w:val="22"/>
              </w:rPr>
              <w:t>Each GP practice remains the controller of its own GP patient data but is required to let approved users run queries on pseudonymised patient data. This means identifiers are removed and replaced with a pseudonym.</w:t>
            </w:r>
          </w:p>
          <w:p w14:paraId="01E5B8AF" w14:textId="77777777" w:rsidR="00E96A7C" w:rsidRPr="00E96A7C" w:rsidRDefault="00E96A7C" w:rsidP="00E96A7C">
            <w:pPr>
              <w:pBdr>
                <w:top w:val="nil"/>
                <w:left w:val="nil"/>
                <w:bottom w:val="nil"/>
                <w:right w:val="nil"/>
                <w:between w:val="nil"/>
              </w:pBdr>
              <w:snapToGrid w:val="0"/>
              <w:rPr>
                <w:rFonts w:ascii="Aptos" w:eastAsia="Arial" w:hAnsi="Aptos" w:cs="Arial"/>
                <w:color w:val="000000"/>
                <w:sz w:val="22"/>
                <w:szCs w:val="22"/>
              </w:rPr>
            </w:pPr>
            <w:r w:rsidRPr="00E96A7C">
              <w:rPr>
                <w:rFonts w:ascii="Aptos" w:eastAsia="Arial" w:hAnsi="Aptos" w:cs="Arial"/>
                <w:color w:val="000000"/>
                <w:sz w:val="22"/>
                <w:szCs w:val="22"/>
              </w:rPr>
              <w:t>Only approved users are allowed to run these queries, and they will not be able to access information that directly or indirectly identifies individuals.</w:t>
            </w:r>
          </w:p>
          <w:p w14:paraId="64EAD156" w14:textId="77777777" w:rsidR="00E96A7C" w:rsidRPr="00E96A7C" w:rsidRDefault="00E96A7C" w:rsidP="00E96A7C">
            <w:pPr>
              <w:pBdr>
                <w:top w:val="nil"/>
                <w:left w:val="nil"/>
                <w:bottom w:val="nil"/>
                <w:right w:val="nil"/>
                <w:between w:val="nil"/>
              </w:pBdr>
              <w:snapToGrid w:val="0"/>
              <w:rPr>
                <w:rFonts w:ascii="Aptos" w:eastAsia="Arial" w:hAnsi="Aptos" w:cs="Arial"/>
                <w:color w:val="000000"/>
                <w:sz w:val="22"/>
                <w:szCs w:val="22"/>
              </w:rPr>
            </w:pPr>
            <w:r w:rsidRPr="00E96A7C">
              <w:rPr>
                <w:rFonts w:ascii="Aptos" w:eastAsia="Arial" w:hAnsi="Aptos" w:cs="Arial"/>
                <w:color w:val="000000"/>
                <w:sz w:val="22"/>
                <w:szCs w:val="22"/>
              </w:rPr>
              <w:t>Patients who do not wish for their data to be used as part of this process can register </w:t>
            </w:r>
            <w:hyperlink r:id="rId11" w:history="1">
              <w:r w:rsidRPr="00E96A7C">
                <w:rPr>
                  <w:rStyle w:val="Hyperlink"/>
                  <w:rFonts w:ascii="Aptos" w:eastAsia="Arial" w:hAnsi="Aptos" w:cs="Arial"/>
                  <w:sz w:val="22"/>
                  <w:szCs w:val="22"/>
                </w:rPr>
                <w:t>type 1 opt out</w:t>
              </w:r>
            </w:hyperlink>
            <w:r w:rsidRPr="00E96A7C">
              <w:rPr>
                <w:rFonts w:ascii="Aptos" w:eastAsia="Arial" w:hAnsi="Aptos" w:cs="Arial"/>
                <w:color w:val="000000"/>
                <w:sz w:val="22"/>
                <w:szCs w:val="22"/>
              </w:rPr>
              <w:t> with their GP.</w:t>
            </w:r>
          </w:p>
          <w:p w14:paraId="1F6DC031" w14:textId="77777777" w:rsidR="00E96A7C" w:rsidRPr="00E96A7C" w:rsidRDefault="00E96A7C" w:rsidP="00E96A7C">
            <w:pPr>
              <w:pBdr>
                <w:top w:val="nil"/>
                <w:left w:val="nil"/>
                <w:bottom w:val="nil"/>
                <w:right w:val="nil"/>
                <w:between w:val="nil"/>
              </w:pBdr>
              <w:snapToGrid w:val="0"/>
              <w:rPr>
                <w:rFonts w:ascii="Aptos" w:eastAsia="Arial" w:hAnsi="Aptos" w:cs="Arial"/>
                <w:color w:val="000000"/>
                <w:sz w:val="22"/>
                <w:szCs w:val="22"/>
              </w:rPr>
            </w:pPr>
            <w:hyperlink r:id="rId12" w:history="1">
              <w:r w:rsidRPr="00E96A7C">
                <w:rPr>
                  <w:rStyle w:val="Hyperlink"/>
                  <w:rFonts w:ascii="Aptos" w:eastAsia="Arial" w:hAnsi="Aptos" w:cs="Arial"/>
                  <w:sz w:val="22"/>
                  <w:szCs w:val="22"/>
                </w:rPr>
                <w:t xml:space="preserve">Find additional information about </w:t>
              </w:r>
              <w:proofErr w:type="spellStart"/>
              <w:r w:rsidRPr="00E96A7C">
                <w:rPr>
                  <w:rStyle w:val="Hyperlink"/>
                  <w:rFonts w:ascii="Aptos" w:eastAsia="Arial" w:hAnsi="Aptos" w:cs="Arial"/>
                  <w:sz w:val="22"/>
                  <w:szCs w:val="22"/>
                </w:rPr>
                <w:t>OpenSAFELY</w:t>
              </w:r>
              <w:proofErr w:type="spellEnd"/>
            </w:hyperlink>
            <w:r w:rsidRPr="00E96A7C">
              <w:rPr>
                <w:rFonts w:ascii="Aptos" w:eastAsia="Arial" w:hAnsi="Aptos" w:cs="Arial"/>
                <w:color w:val="000000"/>
                <w:sz w:val="22"/>
                <w:szCs w:val="22"/>
              </w:rPr>
              <w:t>.</w:t>
            </w:r>
          </w:p>
          <w:p w14:paraId="105BF50B"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p>
          <w:p w14:paraId="39190C48"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p>
        </w:tc>
      </w:tr>
      <w:tr w:rsidR="00E96A7C" w:rsidRPr="00675305" w14:paraId="17226614" w14:textId="77777777" w:rsidTr="003F1EA5">
        <w:tc>
          <w:tcPr>
            <w:tcW w:w="2187" w:type="dxa"/>
          </w:tcPr>
          <w:p w14:paraId="3A315A71" w14:textId="77777777" w:rsidR="00E96A7C" w:rsidRPr="00E96A7C" w:rsidRDefault="00E96A7C" w:rsidP="003F1EA5">
            <w:pPr>
              <w:snapToGrid w:val="0"/>
              <w:rPr>
                <w:rFonts w:ascii="Aptos" w:eastAsia="Arial" w:hAnsi="Aptos" w:cs="Arial"/>
                <w:b/>
                <w:bCs/>
                <w:color w:val="000000"/>
                <w:sz w:val="22"/>
                <w:szCs w:val="22"/>
              </w:rPr>
            </w:pPr>
            <w:r w:rsidRPr="00E96A7C">
              <w:rPr>
                <w:rFonts w:ascii="Aptos" w:eastAsia="Arial" w:hAnsi="Aptos" w:cs="Arial"/>
                <w:b/>
                <w:bCs/>
                <w:color w:val="000000"/>
                <w:sz w:val="22"/>
                <w:szCs w:val="22"/>
              </w:rPr>
              <w:lastRenderedPageBreak/>
              <w:t>Right to access and correct</w:t>
            </w:r>
          </w:p>
        </w:tc>
        <w:tc>
          <w:tcPr>
            <w:tcW w:w="11383" w:type="dxa"/>
          </w:tcPr>
          <w:p w14:paraId="126769E2"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You have the right to access your medical record and have any errors or mistakes corrected. Please speak to a member of staff or look at our Access to Medical Records Policy.</w:t>
            </w:r>
          </w:p>
          <w:p w14:paraId="2455CBDC" w14:textId="77777777" w:rsidR="00E96A7C" w:rsidRPr="00675305" w:rsidRDefault="00E96A7C" w:rsidP="003F1EA5">
            <w:pPr>
              <w:pBdr>
                <w:top w:val="nil"/>
                <w:left w:val="nil"/>
                <w:bottom w:val="nil"/>
                <w:right w:val="nil"/>
                <w:between w:val="nil"/>
              </w:pBdr>
              <w:snapToGrid w:val="0"/>
              <w:ind w:left="720"/>
              <w:rPr>
                <w:rFonts w:ascii="Aptos" w:eastAsia="Arial" w:hAnsi="Aptos" w:cs="Arial"/>
                <w:color w:val="000000"/>
                <w:sz w:val="22"/>
                <w:szCs w:val="22"/>
              </w:rPr>
            </w:pPr>
          </w:p>
          <w:p w14:paraId="0A7A78B6" w14:textId="77777777" w:rsidR="00E96A7C" w:rsidRPr="00675305" w:rsidRDefault="00E96A7C" w:rsidP="003F1EA5">
            <w:pPr>
              <w:snapToGrid w:val="0"/>
              <w:rPr>
                <w:rFonts w:ascii="Aptos" w:eastAsia="Arial" w:hAnsi="Aptos" w:cs="Arial"/>
                <w:color w:val="000000"/>
                <w:sz w:val="22"/>
                <w:szCs w:val="22"/>
              </w:rPr>
            </w:pPr>
            <w:r w:rsidRPr="00675305">
              <w:rPr>
                <w:rFonts w:ascii="Aptos" w:eastAsia="Arial" w:hAnsi="Aptos"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1775A407" w14:textId="77777777" w:rsidR="00E96A7C" w:rsidRPr="00675305" w:rsidRDefault="00E96A7C" w:rsidP="003F1EA5">
            <w:pPr>
              <w:snapToGrid w:val="0"/>
              <w:rPr>
                <w:rFonts w:ascii="Aptos" w:eastAsia="Arial" w:hAnsi="Aptos" w:cs="Arial"/>
                <w:color w:val="000000"/>
                <w:sz w:val="22"/>
                <w:szCs w:val="22"/>
              </w:rPr>
            </w:pPr>
          </w:p>
        </w:tc>
      </w:tr>
      <w:tr w:rsidR="00E96A7C" w:rsidRPr="00675305" w14:paraId="32734891" w14:textId="77777777" w:rsidTr="003F1EA5">
        <w:trPr>
          <w:trHeight w:val="760"/>
        </w:trPr>
        <w:tc>
          <w:tcPr>
            <w:tcW w:w="2187" w:type="dxa"/>
          </w:tcPr>
          <w:p w14:paraId="1DB2D653" w14:textId="77777777" w:rsidR="00E96A7C" w:rsidRPr="00675305" w:rsidRDefault="00E96A7C" w:rsidP="003F1EA5">
            <w:pPr>
              <w:snapToGrid w:val="0"/>
              <w:rPr>
                <w:rFonts w:ascii="Aptos" w:eastAsia="Arial" w:hAnsi="Aptos" w:cs="Arial"/>
                <w:b/>
                <w:color w:val="000000"/>
                <w:sz w:val="22"/>
                <w:szCs w:val="22"/>
              </w:rPr>
            </w:pPr>
            <w:r w:rsidRPr="00675305">
              <w:rPr>
                <w:rFonts w:ascii="Aptos" w:eastAsia="Arial" w:hAnsi="Aptos" w:cs="Arial"/>
                <w:b/>
                <w:color w:val="000000"/>
                <w:sz w:val="22"/>
                <w:szCs w:val="22"/>
              </w:rPr>
              <w:t>Retention period</w:t>
            </w:r>
          </w:p>
        </w:tc>
        <w:tc>
          <w:tcPr>
            <w:tcW w:w="11383" w:type="dxa"/>
          </w:tcPr>
          <w:p w14:paraId="70D4E572"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 xml:space="preserve">Records will be kept in line with the law and national guidance. Information on how long records are kept can be found in the </w:t>
            </w:r>
            <w:hyperlink r:id="rId13">
              <w:r w:rsidRPr="00675305">
                <w:rPr>
                  <w:rFonts w:ascii="Aptos" w:eastAsia="Arial" w:hAnsi="Aptos" w:cs="Arial"/>
                  <w:color w:val="0563C1"/>
                  <w:sz w:val="22"/>
                  <w:szCs w:val="22"/>
                  <w:u w:val="single"/>
                </w:rPr>
                <w:t>Records Management Code of Practice</w:t>
              </w:r>
            </w:hyperlink>
            <w:r w:rsidRPr="00675305">
              <w:rPr>
                <w:rFonts w:ascii="Aptos" w:eastAsia="Arial" w:hAnsi="Aptos" w:cs="Arial"/>
                <w:color w:val="000000"/>
                <w:sz w:val="22"/>
                <w:szCs w:val="22"/>
              </w:rPr>
              <w:t xml:space="preserve">.  </w:t>
            </w:r>
          </w:p>
        </w:tc>
      </w:tr>
      <w:tr w:rsidR="00E96A7C" w:rsidRPr="00675305" w14:paraId="47DC0A86" w14:textId="77777777" w:rsidTr="003F1EA5">
        <w:tc>
          <w:tcPr>
            <w:tcW w:w="2187" w:type="dxa"/>
            <w:tcBorders>
              <w:bottom w:val="single" w:sz="4" w:space="0" w:color="000000"/>
            </w:tcBorders>
          </w:tcPr>
          <w:p w14:paraId="0BB3A9C9" w14:textId="77777777" w:rsidR="00E96A7C" w:rsidRPr="00675305" w:rsidRDefault="00E96A7C" w:rsidP="003F1EA5">
            <w:pPr>
              <w:snapToGrid w:val="0"/>
              <w:rPr>
                <w:rFonts w:ascii="Aptos" w:eastAsia="Arial" w:hAnsi="Aptos" w:cs="Arial"/>
                <w:b/>
                <w:color w:val="000000"/>
                <w:sz w:val="22"/>
                <w:szCs w:val="22"/>
              </w:rPr>
            </w:pPr>
            <w:r w:rsidRPr="00675305">
              <w:rPr>
                <w:rFonts w:ascii="Aptos" w:eastAsia="Arial" w:hAnsi="Aptos" w:cs="Arial"/>
                <w:b/>
                <w:color w:val="000000"/>
                <w:sz w:val="22"/>
                <w:szCs w:val="22"/>
              </w:rPr>
              <w:t>Right to complain</w:t>
            </w:r>
          </w:p>
          <w:p w14:paraId="068545F6" w14:textId="77777777" w:rsidR="00E96A7C" w:rsidRPr="00675305" w:rsidRDefault="00E96A7C" w:rsidP="003F1EA5">
            <w:pPr>
              <w:snapToGrid w:val="0"/>
              <w:rPr>
                <w:rFonts w:ascii="Aptos" w:eastAsia="Arial" w:hAnsi="Aptos" w:cs="Arial"/>
                <w:b/>
                <w:color w:val="000000"/>
                <w:sz w:val="22"/>
                <w:szCs w:val="22"/>
              </w:rPr>
            </w:pPr>
          </w:p>
        </w:tc>
        <w:tc>
          <w:tcPr>
            <w:tcW w:w="11383" w:type="dxa"/>
            <w:tcBorders>
              <w:bottom w:val="single" w:sz="4" w:space="0" w:color="000000"/>
            </w:tcBorders>
          </w:tcPr>
          <w:p w14:paraId="41D99BD9" w14:textId="77777777" w:rsidR="00E96A7C" w:rsidRPr="00675305" w:rsidRDefault="00E96A7C" w:rsidP="003F1EA5">
            <w:pPr>
              <w:snapToGrid w:val="0"/>
              <w:rPr>
                <w:rFonts w:ascii="Aptos" w:hAnsi="Aptos" w:cs="Arial"/>
                <w:sz w:val="22"/>
                <w:szCs w:val="22"/>
              </w:rPr>
            </w:pPr>
            <w:r w:rsidRPr="00675305">
              <w:rPr>
                <w:rFonts w:ascii="Aptos" w:hAnsi="Aptos" w:cs="Arial"/>
                <w:sz w:val="22"/>
                <w:szCs w:val="22"/>
              </w:rPr>
              <w:t>In the unlikely event that you are unhappy with any element of our data-processing methods, do please contact the Practice Manager in the first instance. If you feel that we have not addressed your concern appropriately, you have the right to lodge a complaint with the Information Commissioner’s Office (ICO).</w:t>
            </w:r>
          </w:p>
          <w:p w14:paraId="543CB77C" w14:textId="77777777" w:rsidR="00E96A7C" w:rsidRPr="00675305" w:rsidRDefault="00E96A7C" w:rsidP="003F1EA5">
            <w:pPr>
              <w:snapToGrid w:val="0"/>
              <w:rPr>
                <w:rFonts w:ascii="Aptos" w:hAnsi="Aptos" w:cs="Arial"/>
                <w:sz w:val="22"/>
                <w:szCs w:val="22"/>
              </w:rPr>
            </w:pPr>
          </w:p>
          <w:p w14:paraId="38580037" w14:textId="77777777" w:rsidR="00E96A7C" w:rsidRPr="00675305" w:rsidRDefault="00E96A7C" w:rsidP="003F1EA5">
            <w:pPr>
              <w:snapToGrid w:val="0"/>
              <w:rPr>
                <w:rFonts w:ascii="Aptos" w:hAnsi="Aptos" w:cs="Arial"/>
                <w:bCs/>
                <w:color w:val="501549" w:themeColor="accent5" w:themeShade="80"/>
                <w:sz w:val="22"/>
                <w:szCs w:val="22"/>
              </w:rPr>
            </w:pPr>
            <w:r w:rsidRPr="00675305">
              <w:rPr>
                <w:rFonts w:ascii="Aptos" w:hAnsi="Aptos" w:cs="Arial"/>
                <w:sz w:val="22"/>
                <w:szCs w:val="22"/>
              </w:rPr>
              <w:t xml:space="preserve">Further details, visit </w:t>
            </w:r>
            <w:hyperlink r:id="rId14" w:history="1">
              <w:r w:rsidRPr="00675305">
                <w:rPr>
                  <w:rStyle w:val="Hyperlink"/>
                  <w:rFonts w:ascii="Aptos" w:hAnsi="Aptos" w:cs="Arial"/>
                  <w:sz w:val="22"/>
                  <w:szCs w:val="22"/>
                </w:rPr>
                <w:t>https://ico.org.uk/for-the-public/</w:t>
              </w:r>
            </w:hyperlink>
            <w:r w:rsidRPr="00675305">
              <w:rPr>
                <w:rFonts w:ascii="Aptos" w:hAnsi="Aptos" w:cs="Arial"/>
                <w:color w:val="501549" w:themeColor="accent5" w:themeShade="80"/>
                <w:sz w:val="22"/>
                <w:szCs w:val="22"/>
              </w:rPr>
              <w:t xml:space="preserve"> </w:t>
            </w:r>
            <w:r w:rsidRPr="00675305">
              <w:rPr>
                <w:rFonts w:ascii="Aptos" w:hAnsi="Aptos" w:cs="Arial"/>
                <w:sz w:val="22"/>
                <w:szCs w:val="22"/>
              </w:rPr>
              <w:t>and select “Make a complaint” or telephone: 0303 123 1113.</w:t>
            </w:r>
          </w:p>
          <w:p w14:paraId="230D149A" w14:textId="77777777" w:rsidR="00E96A7C" w:rsidRPr="00675305" w:rsidRDefault="00E96A7C" w:rsidP="003F1EA5">
            <w:pPr>
              <w:snapToGrid w:val="0"/>
              <w:rPr>
                <w:rFonts w:ascii="Aptos" w:hAnsi="Aptos" w:cs="Arial"/>
                <w:bCs/>
                <w:color w:val="501549" w:themeColor="accent5" w:themeShade="80"/>
                <w:sz w:val="22"/>
                <w:szCs w:val="22"/>
              </w:rPr>
            </w:pPr>
          </w:p>
        </w:tc>
      </w:tr>
      <w:tr w:rsidR="00E96A7C" w:rsidRPr="00675305" w14:paraId="4787FD71" w14:textId="77777777" w:rsidTr="003F1EA5">
        <w:tc>
          <w:tcPr>
            <w:tcW w:w="2187" w:type="dxa"/>
            <w:tcBorders>
              <w:bottom w:val="single" w:sz="4" w:space="0" w:color="auto"/>
            </w:tcBorders>
          </w:tcPr>
          <w:p w14:paraId="5F8C8175" w14:textId="77777777" w:rsidR="00E96A7C" w:rsidRPr="00675305" w:rsidRDefault="00E96A7C" w:rsidP="003F1EA5">
            <w:pPr>
              <w:snapToGrid w:val="0"/>
              <w:rPr>
                <w:rFonts w:ascii="Aptos" w:eastAsia="Arial" w:hAnsi="Aptos" w:cs="Arial"/>
                <w:b/>
                <w:color w:val="000000"/>
                <w:sz w:val="22"/>
                <w:szCs w:val="22"/>
              </w:rPr>
            </w:pPr>
            <w:r w:rsidRPr="00675305">
              <w:rPr>
                <w:rFonts w:ascii="Aptos" w:eastAsia="Arial" w:hAnsi="Aptos" w:cs="Arial"/>
                <w:b/>
                <w:color w:val="000000"/>
                <w:sz w:val="22"/>
                <w:szCs w:val="22"/>
              </w:rPr>
              <w:t>Data we get from other organisations</w:t>
            </w:r>
          </w:p>
        </w:tc>
        <w:tc>
          <w:tcPr>
            <w:tcW w:w="11383" w:type="dxa"/>
            <w:tcBorders>
              <w:bottom w:val="single" w:sz="4" w:space="0" w:color="auto"/>
            </w:tcBorders>
          </w:tcPr>
          <w:p w14:paraId="2C4F49FC"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r w:rsidRPr="00675305">
              <w:rPr>
                <w:rFonts w:ascii="Aptos" w:eastAsia="Arial" w:hAnsi="Aptos"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p w14:paraId="78D61246" w14:textId="77777777" w:rsidR="00E96A7C" w:rsidRPr="00675305" w:rsidRDefault="00E96A7C" w:rsidP="003F1EA5">
            <w:pPr>
              <w:pBdr>
                <w:top w:val="nil"/>
                <w:left w:val="nil"/>
                <w:bottom w:val="nil"/>
                <w:right w:val="nil"/>
                <w:between w:val="nil"/>
              </w:pBdr>
              <w:snapToGrid w:val="0"/>
              <w:rPr>
                <w:rFonts w:ascii="Aptos" w:eastAsia="Arial" w:hAnsi="Aptos" w:cs="Arial"/>
                <w:color w:val="000000"/>
                <w:sz w:val="22"/>
                <w:szCs w:val="22"/>
              </w:rPr>
            </w:pPr>
          </w:p>
        </w:tc>
      </w:tr>
    </w:tbl>
    <w:p w14:paraId="4712B530" w14:textId="77777777" w:rsidR="00E96A7C" w:rsidRPr="00675305" w:rsidRDefault="00E96A7C" w:rsidP="00E96A7C">
      <w:pPr>
        <w:rPr>
          <w:rFonts w:ascii="Aptos" w:eastAsia="Arial" w:hAnsi="Aptos"/>
        </w:rPr>
        <w:sectPr w:rsidR="00E96A7C" w:rsidRPr="00675305" w:rsidSect="00E96A7C">
          <w:pgSz w:w="16820" w:h="11900" w:orient="landscape"/>
          <w:pgMar w:top="1440" w:right="1440" w:bottom="1440" w:left="1440" w:header="709" w:footer="709" w:gutter="0"/>
          <w:cols w:space="708"/>
          <w:docGrid w:linePitch="360"/>
        </w:sectPr>
      </w:pPr>
    </w:p>
    <w:p w14:paraId="62D1BE33" w14:textId="77777777" w:rsidR="00B14C24" w:rsidRDefault="00B14C24"/>
    <w:sectPr w:rsidR="00B14C24" w:rsidSect="00E96A7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885892">
    <w:abstractNumId w:val="6"/>
  </w:num>
  <w:num w:numId="2" w16cid:durableId="1539314692">
    <w:abstractNumId w:val="4"/>
  </w:num>
  <w:num w:numId="3" w16cid:durableId="1229921013">
    <w:abstractNumId w:val="8"/>
  </w:num>
  <w:num w:numId="4" w16cid:durableId="2125616475">
    <w:abstractNumId w:val="3"/>
  </w:num>
  <w:num w:numId="5" w16cid:durableId="2131824260">
    <w:abstractNumId w:val="7"/>
  </w:num>
  <w:num w:numId="6" w16cid:durableId="2123962601">
    <w:abstractNumId w:val="0"/>
  </w:num>
  <w:num w:numId="7" w16cid:durableId="9112457">
    <w:abstractNumId w:val="2"/>
  </w:num>
  <w:num w:numId="8" w16cid:durableId="1350258498">
    <w:abstractNumId w:val="5"/>
  </w:num>
  <w:num w:numId="9" w16cid:durableId="13345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7C"/>
    <w:rsid w:val="00181D39"/>
    <w:rsid w:val="00255DCE"/>
    <w:rsid w:val="003D7B57"/>
    <w:rsid w:val="00677C51"/>
    <w:rsid w:val="00B14C24"/>
    <w:rsid w:val="00E9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E1EA"/>
  <w15:chartTrackingRefBased/>
  <w15:docId w15:val="{32185C53-30C6-4D66-A0B8-6B424EF9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7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96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6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96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96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9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9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9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9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7C"/>
    <w:rPr>
      <w:rFonts w:eastAsiaTheme="majorEastAsia" w:cstheme="majorBidi"/>
      <w:color w:val="272727" w:themeColor="text1" w:themeTint="D8"/>
    </w:rPr>
  </w:style>
  <w:style w:type="paragraph" w:styleId="Title">
    <w:name w:val="Title"/>
    <w:basedOn w:val="Normal"/>
    <w:next w:val="Normal"/>
    <w:link w:val="TitleChar"/>
    <w:uiPriority w:val="10"/>
    <w:qFormat/>
    <w:rsid w:val="00E9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96A7C"/>
    <w:rPr>
      <w:i/>
      <w:iCs/>
      <w:color w:val="404040" w:themeColor="text1" w:themeTint="BF"/>
    </w:rPr>
  </w:style>
  <w:style w:type="paragraph" w:styleId="ListParagraph">
    <w:name w:val="List Paragraph"/>
    <w:basedOn w:val="Normal"/>
    <w:link w:val="ListParagraphChar"/>
    <w:uiPriority w:val="34"/>
    <w:qFormat/>
    <w:rsid w:val="00E96A7C"/>
    <w:pPr>
      <w:ind w:left="720"/>
      <w:contextualSpacing/>
    </w:pPr>
  </w:style>
  <w:style w:type="character" w:styleId="IntenseEmphasis">
    <w:name w:val="Intense Emphasis"/>
    <w:basedOn w:val="DefaultParagraphFont"/>
    <w:uiPriority w:val="21"/>
    <w:qFormat/>
    <w:rsid w:val="00E96A7C"/>
    <w:rPr>
      <w:i/>
      <w:iCs/>
      <w:color w:val="0F4761" w:themeColor="accent1" w:themeShade="BF"/>
    </w:rPr>
  </w:style>
  <w:style w:type="paragraph" w:styleId="IntenseQuote">
    <w:name w:val="Intense Quote"/>
    <w:basedOn w:val="Normal"/>
    <w:next w:val="Normal"/>
    <w:link w:val="IntenseQuoteChar"/>
    <w:uiPriority w:val="30"/>
    <w:qFormat/>
    <w:rsid w:val="00E96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7C"/>
    <w:rPr>
      <w:i/>
      <w:iCs/>
      <w:color w:val="0F4761" w:themeColor="accent1" w:themeShade="BF"/>
    </w:rPr>
  </w:style>
  <w:style w:type="character" w:styleId="IntenseReference">
    <w:name w:val="Intense Reference"/>
    <w:basedOn w:val="DefaultParagraphFont"/>
    <w:uiPriority w:val="32"/>
    <w:qFormat/>
    <w:rsid w:val="00E96A7C"/>
    <w:rPr>
      <w:b/>
      <w:bCs/>
      <w:smallCaps/>
      <w:color w:val="0F4761" w:themeColor="accent1" w:themeShade="BF"/>
      <w:spacing w:val="5"/>
    </w:rPr>
  </w:style>
  <w:style w:type="character" w:styleId="Hyperlink">
    <w:name w:val="Hyperlink"/>
    <w:basedOn w:val="DefaultParagraphFont"/>
    <w:uiPriority w:val="99"/>
    <w:unhideWhenUsed/>
    <w:rsid w:val="00E96A7C"/>
    <w:rPr>
      <w:color w:val="467886" w:themeColor="hyperlink"/>
      <w:u w:val="single"/>
    </w:rPr>
  </w:style>
  <w:style w:type="paragraph" w:styleId="NormalWeb">
    <w:name w:val="Normal (Web)"/>
    <w:basedOn w:val="Normal"/>
    <w:uiPriority w:val="99"/>
    <w:unhideWhenUsed/>
    <w:qFormat/>
    <w:rsid w:val="00E96A7C"/>
    <w:pPr>
      <w:spacing w:before="100" w:beforeAutospacing="1" w:after="100" w:afterAutospacing="1"/>
    </w:pPr>
  </w:style>
  <w:style w:type="character" w:customStyle="1" w:styleId="ListParagraphChar">
    <w:name w:val="List Paragraph Char"/>
    <w:basedOn w:val="DefaultParagraphFont"/>
    <w:link w:val="ListParagraph"/>
    <w:uiPriority w:val="34"/>
    <w:rsid w:val="00E96A7C"/>
  </w:style>
  <w:style w:type="character" w:styleId="UnresolvedMention">
    <w:name w:val="Unresolved Mention"/>
    <w:basedOn w:val="DefaultParagraphFont"/>
    <w:uiPriority w:val="99"/>
    <w:semiHidden/>
    <w:unhideWhenUsed/>
    <w:rsid w:val="00E9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pine" TargetMode="External"/><Relationship Id="rId13" Type="http://schemas.openxmlformats.org/officeDocument/2006/relationships/hyperlink" Target="https://transform.england.nhs.uk/information-governance/guidance/records-management-code/" TargetMode="External"/><Relationship Id="rId3" Type="http://schemas.openxmlformats.org/officeDocument/2006/relationships/settings" Target="settings.xml"/><Relationship Id="rId7" Type="http://schemas.openxmlformats.org/officeDocument/2006/relationships/hyperlink" Target="https://digital.nhs.uk/services/summary-care-records-scr" TargetMode="External"/><Relationship Id="rId12" Type="http://schemas.openxmlformats.org/officeDocument/2006/relationships/hyperlink" Target="http://www.opensafel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gislation.gov.uk/ukpga/2018/12/contents" TargetMode="External"/><Relationship Id="rId11" Type="http://schemas.openxmlformats.org/officeDocument/2006/relationships/hyperlink" Target="http://www.nhs.uk/using-the-nhs/about-the-nhs/opt-out-of-sharing-your-health-records/" TargetMode="External"/><Relationship Id="rId5" Type="http://schemas.openxmlformats.org/officeDocument/2006/relationships/hyperlink" Target="http://www.ig-health.co.uk" TargetMode="External"/><Relationship Id="rId15" Type="http://schemas.openxmlformats.org/officeDocument/2006/relationships/fontTable" Target="fontTable.xml"/><Relationship Id="rId10" Type="http://schemas.openxmlformats.org/officeDocument/2006/relationships/hyperlink" Target="https://digital.nhs.uk/services/national-data-opt-out" TargetMode="External"/><Relationship Id="rId4" Type="http://schemas.openxmlformats.org/officeDocument/2006/relationships/webSettings" Target="webSettings.xml"/><Relationship Id="rId9" Type="http://schemas.openxmlformats.org/officeDocument/2006/relationships/hyperlink" Target="http://www.IG-Health.co.uk" TargetMode="Externa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INGLE, Anna (WOODBROOK MEDICAL CENTRE)</dc:creator>
  <cp:keywords/>
  <dc:description/>
  <cp:lastModifiedBy>INGLE, Anna (WOODBROOK MEDICAL CENTRE)</cp:lastModifiedBy>
  <cp:revision>2</cp:revision>
  <dcterms:created xsi:type="dcterms:W3CDTF">2025-12-29T16:09:00Z</dcterms:created>
  <dcterms:modified xsi:type="dcterms:W3CDTF">2025-12-30T09:30:00Z</dcterms:modified>
</cp:coreProperties>
</file>