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8F1F" w14:textId="55FE029E" w:rsidR="00A223F5" w:rsidRPr="003E285A" w:rsidRDefault="00173773">
      <w:pP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Chaperone</w:t>
      </w:r>
      <w:r w:rsidR="00E41DE7">
        <w:rPr>
          <w:rFonts w:ascii="Arial" w:eastAsia="Arial" w:hAnsi="Arial" w:cs="Arial"/>
          <w:b/>
          <w:sz w:val="48"/>
          <w:szCs w:val="48"/>
        </w:rPr>
        <w:t xml:space="preserve"> Policy</w:t>
      </w:r>
    </w:p>
    <w:p w14:paraId="0562696A" w14:textId="77777777" w:rsidR="00A223F5" w:rsidRPr="008278E7" w:rsidRDefault="00A223F5">
      <w:pPr>
        <w:rPr>
          <w:rFonts w:ascii="Arial" w:eastAsia="Arial" w:hAnsi="Arial" w:cs="Arial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8"/>
      </w:tblGrid>
      <w:tr w:rsidR="008520B6" w:rsidRPr="00D131DA" w14:paraId="48E65FF7" w14:textId="77777777" w:rsidTr="005E45BE">
        <w:tc>
          <w:tcPr>
            <w:tcW w:w="2264" w:type="dxa"/>
            <w:shd w:val="clear" w:color="auto" w:fill="4472C4" w:themeFill="accent1"/>
          </w:tcPr>
          <w:p w14:paraId="524D669C" w14:textId="2D1A3146" w:rsidR="008520B6" w:rsidRPr="00D131DA" w:rsidRDefault="00D131DA" w:rsidP="00CA4F4E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2267" w:type="dxa"/>
            <w:shd w:val="clear" w:color="auto" w:fill="4472C4" w:themeFill="accent1"/>
          </w:tcPr>
          <w:p w14:paraId="7E665518" w14:textId="270E9D89" w:rsidR="008520B6" w:rsidRPr="00D131DA" w:rsidRDefault="00D131DA" w:rsidP="00CA4F4E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Edited by</w:t>
            </w:r>
          </w:p>
        </w:tc>
        <w:tc>
          <w:tcPr>
            <w:tcW w:w="2268" w:type="dxa"/>
            <w:shd w:val="clear" w:color="auto" w:fill="4472C4" w:themeFill="accent1"/>
          </w:tcPr>
          <w:p w14:paraId="36DB8589" w14:textId="487625D5" w:rsidR="008520B6" w:rsidRPr="00D131DA" w:rsidRDefault="00D131DA" w:rsidP="00CA4F4E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Date issued</w:t>
            </w:r>
          </w:p>
        </w:tc>
        <w:tc>
          <w:tcPr>
            <w:tcW w:w="2268" w:type="dxa"/>
            <w:shd w:val="clear" w:color="auto" w:fill="4472C4" w:themeFill="accent1"/>
          </w:tcPr>
          <w:p w14:paraId="1E9EB083" w14:textId="24004192" w:rsidR="008520B6" w:rsidRPr="00D131DA" w:rsidRDefault="00D131DA" w:rsidP="00CA4F4E">
            <w:pPr>
              <w:spacing w:before="60" w:after="6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Next review date</w:t>
            </w:r>
          </w:p>
        </w:tc>
      </w:tr>
      <w:tr w:rsidR="008520B6" w:rsidRPr="00D131DA" w14:paraId="3F383528" w14:textId="77777777" w:rsidTr="005E45BE">
        <w:tc>
          <w:tcPr>
            <w:tcW w:w="2263" w:type="dxa"/>
          </w:tcPr>
          <w:p w14:paraId="48FC606B" w14:textId="3C4E8261" w:rsidR="008520B6" w:rsidRPr="00D131DA" w:rsidRDefault="0040580D" w:rsidP="008976FB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150BD2F9" w14:textId="6C3B10CF" w:rsidR="008520B6" w:rsidRPr="00D131DA" w:rsidRDefault="0040580D" w:rsidP="008976FB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Aimee Williams</w:t>
            </w:r>
          </w:p>
        </w:tc>
        <w:tc>
          <w:tcPr>
            <w:tcW w:w="2268" w:type="dxa"/>
          </w:tcPr>
          <w:p w14:paraId="01A955BB" w14:textId="297781C4" w:rsidR="008520B6" w:rsidRPr="00D131DA" w:rsidRDefault="0040580D" w:rsidP="008976FB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12/3/25</w:t>
            </w:r>
          </w:p>
        </w:tc>
        <w:tc>
          <w:tcPr>
            <w:tcW w:w="2268" w:type="dxa"/>
          </w:tcPr>
          <w:p w14:paraId="584A8E0C" w14:textId="73CA3F7A" w:rsidR="008520B6" w:rsidRPr="00D131DA" w:rsidRDefault="0040580D" w:rsidP="008976FB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12/3/26</w:t>
            </w:r>
          </w:p>
        </w:tc>
      </w:tr>
    </w:tbl>
    <w:p w14:paraId="2B72B01F" w14:textId="77777777" w:rsidR="00A223F5" w:rsidRPr="00D131DA" w:rsidRDefault="00A223F5" w:rsidP="008976FB">
      <w:pPr>
        <w:spacing w:before="60" w:after="60"/>
        <w:rPr>
          <w:rFonts w:ascii="Arial" w:eastAsia="Arial" w:hAnsi="Arial" w:cs="Arial"/>
          <w:b/>
          <w:sz w:val="22"/>
          <w:szCs w:val="22"/>
        </w:rPr>
      </w:pPr>
    </w:p>
    <w:p w14:paraId="4A8AC8E8" w14:textId="336D8794" w:rsidR="00D131DA" w:rsidRDefault="00D131DA">
      <w:pPr>
        <w:rPr>
          <w:rFonts w:ascii="Arial" w:eastAsia="Arial" w:hAnsi="Arial" w:cs="Arial"/>
          <w:b/>
          <w:bCs/>
          <w:sz w:val="22"/>
          <w:szCs w:val="22"/>
        </w:rPr>
      </w:pPr>
      <w:r w:rsidRPr="00D131DA">
        <w:rPr>
          <w:rFonts w:ascii="Arial" w:eastAsia="Arial" w:hAnsi="Arial" w:cs="Arial"/>
          <w:b/>
          <w:bCs/>
          <w:sz w:val="22"/>
          <w:szCs w:val="22"/>
        </w:rPr>
        <w:t>Key personnel identified within this policy</w:t>
      </w:r>
    </w:p>
    <w:p w14:paraId="21CDC7C2" w14:textId="77777777" w:rsidR="00D131DA" w:rsidRPr="00D131DA" w:rsidRDefault="00D131DA">
      <w:pPr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Style w:val="TableGrid"/>
        <w:tblW w:w="9067" w:type="dxa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E285A" w:rsidRPr="00D131DA" w14:paraId="44F64EEC" w14:textId="77777777" w:rsidTr="00D131DA">
        <w:tc>
          <w:tcPr>
            <w:tcW w:w="4531" w:type="dxa"/>
            <w:tcBorders>
              <w:top w:val="nil"/>
            </w:tcBorders>
            <w:shd w:val="clear" w:color="auto" w:fill="4472C4" w:themeFill="accent1"/>
          </w:tcPr>
          <w:p w14:paraId="3747DF73" w14:textId="77777777" w:rsidR="003E285A" w:rsidRPr="00D131DA" w:rsidRDefault="003E285A" w:rsidP="005E0F6C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4472C4" w:themeFill="accent1"/>
          </w:tcPr>
          <w:p w14:paraId="5B541D56" w14:textId="77777777" w:rsidR="003E285A" w:rsidRPr="00D131DA" w:rsidRDefault="003E285A" w:rsidP="005E0F6C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Named individual</w:t>
            </w:r>
          </w:p>
        </w:tc>
      </w:tr>
      <w:tr w:rsidR="003E285A" w:rsidRPr="00D131DA" w14:paraId="614A8285" w14:textId="77777777" w:rsidTr="00D131DA">
        <w:tc>
          <w:tcPr>
            <w:tcW w:w="4531" w:type="dxa"/>
          </w:tcPr>
          <w:p w14:paraId="56D93E62" w14:textId="77777777" w:rsidR="003E285A" w:rsidRPr="00D131DA" w:rsidRDefault="003E285A" w:rsidP="005E0F6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 w:rsidRPr="00D131DA">
              <w:rPr>
                <w:rFonts w:ascii="Arial" w:eastAsia="Arial" w:hAnsi="Arial" w:cs="Arial"/>
                <w:sz w:val="22"/>
                <w:szCs w:val="22"/>
              </w:rPr>
              <w:t>Practice Manager</w:t>
            </w:r>
          </w:p>
        </w:tc>
        <w:tc>
          <w:tcPr>
            <w:tcW w:w="4536" w:type="dxa"/>
          </w:tcPr>
          <w:p w14:paraId="673B1967" w14:textId="79D8A642" w:rsidR="003E285A" w:rsidRPr="00D131DA" w:rsidRDefault="0040580D" w:rsidP="005E0F6C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Aimee Williams</w:t>
            </w:r>
          </w:p>
        </w:tc>
      </w:tr>
    </w:tbl>
    <w:p w14:paraId="365A96C0" w14:textId="77777777" w:rsidR="003E285A" w:rsidRPr="00D131DA" w:rsidRDefault="003E285A">
      <w:pPr>
        <w:rPr>
          <w:rFonts w:ascii="Arial" w:eastAsia="Arial" w:hAnsi="Arial" w:cs="Arial"/>
          <w:b/>
          <w:sz w:val="22"/>
          <w:szCs w:val="22"/>
        </w:rPr>
      </w:pPr>
    </w:p>
    <w:p w14:paraId="4A0E2386" w14:textId="77777777" w:rsidR="003E285A" w:rsidRPr="008278E7" w:rsidRDefault="003E285A">
      <w:pPr>
        <w:rPr>
          <w:rFonts w:ascii="Arial" w:eastAsia="Arial" w:hAnsi="Arial" w:cs="Arial"/>
          <w:b/>
          <w:sz w:val="28"/>
          <w:szCs w:val="28"/>
        </w:rPr>
      </w:pPr>
    </w:p>
    <w:p w14:paraId="69DB59F8" w14:textId="77777777" w:rsidR="00A223F5" w:rsidRPr="008278E7" w:rsidRDefault="00000000">
      <w:pPr>
        <w:tabs>
          <w:tab w:val="left" w:pos="2790"/>
        </w:tabs>
        <w:rPr>
          <w:rFonts w:ascii="Arial" w:eastAsia="Arial" w:hAnsi="Arial" w:cs="Arial"/>
          <w:b/>
          <w:sz w:val="28"/>
          <w:szCs w:val="28"/>
        </w:rPr>
      </w:pPr>
      <w:r w:rsidRPr="008278E7">
        <w:rPr>
          <w:rFonts w:ascii="Arial" w:eastAsia="Arial" w:hAnsi="Arial" w:cs="Arial"/>
          <w:b/>
          <w:sz w:val="28"/>
          <w:szCs w:val="28"/>
        </w:rPr>
        <w:t>Table of contents</w:t>
      </w:r>
      <w:r w:rsidRPr="008278E7">
        <w:rPr>
          <w:rFonts w:ascii="Arial" w:eastAsia="Arial" w:hAnsi="Arial" w:cs="Arial"/>
          <w:b/>
          <w:sz w:val="28"/>
          <w:szCs w:val="28"/>
        </w:rPr>
        <w:tab/>
      </w:r>
    </w:p>
    <w:sdt>
      <w:sdtPr>
        <w:rPr>
          <w:rFonts w:ascii="Calibri" w:hAnsi="Calibri" w:cs="Calibri"/>
          <w:b w:val="0"/>
          <w:bCs w:val="0"/>
          <w:noProof w:val="0"/>
        </w:rPr>
        <w:id w:val="838196001"/>
        <w:docPartObj>
          <w:docPartGallery w:val="Table of Contents"/>
          <w:docPartUnique/>
        </w:docPartObj>
      </w:sdtPr>
      <w:sdtContent>
        <w:p w14:paraId="0670CBAE" w14:textId="6DB75DA8" w:rsidR="00476D17" w:rsidRPr="008976FB" w:rsidRDefault="00000000" w:rsidP="008976FB">
          <w:pPr>
            <w:pStyle w:val="TOC1"/>
            <w:rPr>
              <w:rFonts w:eastAsiaTheme="minorEastAsia"/>
              <w:kern w:val="2"/>
              <w14:ligatures w14:val="standardContextual"/>
            </w:rPr>
          </w:pPr>
          <w:r w:rsidRPr="008278E7">
            <w:rPr>
              <w:noProof w:val="0"/>
            </w:rPr>
            <w:fldChar w:fldCharType="begin"/>
          </w:r>
          <w:r w:rsidRPr="008278E7">
            <w:rPr>
              <w:noProof w:val="0"/>
            </w:rPr>
            <w:instrText xml:space="preserve"> TOC \h \u \z \t "Heading 1,1,Heading 2,2,Heading 3,3,"</w:instrText>
          </w:r>
          <w:r w:rsidRPr="008278E7">
            <w:rPr>
              <w:noProof w:val="0"/>
            </w:rPr>
            <w:fldChar w:fldCharType="separate"/>
          </w:r>
          <w:hyperlink w:anchor="_Toc182309594" w:history="1">
            <w:r w:rsidR="00476D17" w:rsidRPr="008976FB">
              <w:rPr>
                <w:rStyle w:val="Hyperlink"/>
              </w:rPr>
              <w:t>1</w:t>
            </w:r>
            <w:r w:rsidR="00476D17" w:rsidRPr="008976FB">
              <w:rPr>
                <w:rFonts w:eastAsiaTheme="minorEastAsia"/>
                <w:kern w:val="2"/>
                <w14:ligatures w14:val="standardContextual"/>
              </w:rPr>
              <w:tab/>
            </w:r>
            <w:r w:rsidR="00476D17" w:rsidRPr="008976FB">
              <w:rPr>
                <w:rStyle w:val="Hyperlink"/>
              </w:rPr>
              <w:t>Introduction</w:t>
            </w:r>
            <w:r w:rsidR="00476D17" w:rsidRPr="008976FB">
              <w:rPr>
                <w:webHidden/>
              </w:rPr>
              <w:tab/>
            </w:r>
            <w:r w:rsidR="00476D17" w:rsidRPr="008976FB">
              <w:rPr>
                <w:webHidden/>
              </w:rPr>
              <w:fldChar w:fldCharType="begin"/>
            </w:r>
            <w:r w:rsidR="00476D17" w:rsidRPr="008976FB">
              <w:rPr>
                <w:webHidden/>
              </w:rPr>
              <w:instrText xml:space="preserve"> PAGEREF _Toc182309594 \h </w:instrText>
            </w:r>
            <w:r w:rsidR="00476D17" w:rsidRPr="008976FB">
              <w:rPr>
                <w:webHidden/>
              </w:rPr>
            </w:r>
            <w:r w:rsidR="00476D17" w:rsidRPr="008976FB">
              <w:rPr>
                <w:webHidden/>
              </w:rPr>
              <w:fldChar w:fldCharType="separate"/>
            </w:r>
            <w:r w:rsidR="008976FB">
              <w:rPr>
                <w:webHidden/>
              </w:rPr>
              <w:t>2</w:t>
            </w:r>
            <w:r w:rsidR="00476D17" w:rsidRPr="008976FB">
              <w:rPr>
                <w:webHidden/>
              </w:rPr>
              <w:fldChar w:fldCharType="end"/>
            </w:r>
          </w:hyperlink>
        </w:p>
        <w:p w14:paraId="30427B63" w14:textId="01AE8203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595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1.1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Policy statement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_Toc182309595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2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844465" w14:textId="26B5F7DB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596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1.2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Status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_Toc182309596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2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409418" w14:textId="253E7A1F" w:rsidR="00476D17" w:rsidRPr="008976FB" w:rsidRDefault="00476D17" w:rsidP="008976FB">
          <w:pPr>
            <w:pStyle w:val="TOC1"/>
            <w:rPr>
              <w:rFonts w:eastAsiaTheme="minorEastAsia"/>
              <w:kern w:val="2"/>
              <w14:ligatures w14:val="standardContextual"/>
            </w:rPr>
          </w:pPr>
          <w:hyperlink w:anchor="_Toc182309597" w:history="1">
            <w:r w:rsidRPr="008976FB">
              <w:rPr>
                <w:rStyle w:val="Hyperlink"/>
              </w:rPr>
              <w:t>2</w:t>
            </w:r>
            <w:r w:rsidRPr="008976FB">
              <w:rPr>
                <w:rFonts w:eastAsiaTheme="minorEastAsia"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</w:rPr>
              <w:t>Policy</w:t>
            </w:r>
            <w:r w:rsidRPr="008976FB">
              <w:rPr>
                <w:webHidden/>
              </w:rPr>
              <w:tab/>
            </w:r>
            <w:r w:rsidRPr="008976FB">
              <w:rPr>
                <w:webHidden/>
              </w:rPr>
              <w:fldChar w:fldCharType="begin"/>
            </w:r>
            <w:r w:rsidRPr="008976FB">
              <w:rPr>
                <w:webHidden/>
              </w:rPr>
              <w:instrText xml:space="preserve"> PAGEREF _Toc182309597 \h </w:instrText>
            </w:r>
            <w:r w:rsidRPr="008976FB">
              <w:rPr>
                <w:webHidden/>
              </w:rPr>
            </w:r>
            <w:r w:rsidRPr="008976FB">
              <w:rPr>
                <w:webHidden/>
              </w:rPr>
              <w:fldChar w:fldCharType="separate"/>
            </w:r>
            <w:r w:rsidR="008976FB">
              <w:rPr>
                <w:webHidden/>
              </w:rPr>
              <w:t>2</w:t>
            </w:r>
            <w:r w:rsidRPr="008976FB">
              <w:rPr>
                <w:webHidden/>
              </w:rPr>
              <w:fldChar w:fldCharType="end"/>
            </w:r>
          </w:hyperlink>
        </w:p>
        <w:p w14:paraId="2A7E4429" w14:textId="6A7B3C89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598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2.1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Who can act as a chaperone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_Toc182309598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2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09A1A6" w14:textId="4E7450AE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599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2.2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General guidance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_Toc182309599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2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8B4575" w14:textId="1A11CCBF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0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2.3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Role and expectations of a chaperone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_Toc182309600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3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F45F6A" w14:textId="42FBEDA0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1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2.4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When a chaperone is unavailable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_Toc182309601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3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FD2B0C" w14:textId="41E5AFE8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2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2.5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When a patient refuses a chaperone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_Toc182309602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3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690E0E" w14:textId="206AE3BC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3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2.6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Disclosure and Barring Service (DBS) check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_Toc182309603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3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4CE662" w14:textId="364CA19E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4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2.7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Using chaperones during a video consultation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_Toc182309604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3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2F1964" w14:textId="7682B8BC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5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2.8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Practice procedure (including SNOMED codes)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_Toc182309605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4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EDD85B" w14:textId="633E166A" w:rsidR="00476D17" w:rsidRPr="008976FB" w:rsidRDefault="00476D17">
          <w:pPr>
            <w:pStyle w:val="TOC2"/>
            <w:rPr>
              <w:rFonts w:ascii="Arial" w:eastAsiaTheme="minorEastAsia" w:hAnsi="Arial" w:cs="Arial"/>
              <w:b w:val="0"/>
              <w:bCs w:val="0"/>
              <w:noProof/>
              <w:kern w:val="2"/>
              <w14:ligatures w14:val="standardContextual"/>
            </w:rPr>
          </w:pPr>
          <w:hyperlink w:anchor="_Toc182309606" w:history="1">
            <w:r w:rsidRPr="008976FB">
              <w:rPr>
                <w:rStyle w:val="Hyperlink"/>
                <w:rFonts w:ascii="Arial" w:eastAsia="Arial" w:hAnsi="Arial" w:cs="Arial"/>
                <w:noProof/>
              </w:rPr>
              <w:t>2.9</w:t>
            </w:r>
            <w:r w:rsidRPr="008976FB">
              <w:rPr>
                <w:rFonts w:ascii="Arial" w:eastAsiaTheme="minorEastAsia" w:hAnsi="Arial" w:cs="Arial"/>
                <w:b w:val="0"/>
                <w:bCs w:val="0"/>
                <w:noProof/>
                <w:kern w:val="2"/>
                <w14:ligatures w14:val="standardContextual"/>
              </w:rPr>
              <w:tab/>
            </w:r>
            <w:r w:rsidRPr="008976FB">
              <w:rPr>
                <w:rStyle w:val="Hyperlink"/>
                <w:rFonts w:ascii="Arial" w:eastAsia="Arial" w:hAnsi="Arial" w:cs="Arial"/>
                <w:noProof/>
              </w:rPr>
              <w:t>Escorting of visitors and guests (including VIPs)</w:t>
            </w:r>
            <w:r w:rsidRPr="008976FB">
              <w:rPr>
                <w:rFonts w:ascii="Arial" w:hAnsi="Arial" w:cs="Arial"/>
                <w:noProof/>
                <w:webHidden/>
              </w:rPr>
              <w:tab/>
            </w:r>
            <w:r w:rsidRPr="008976FB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976FB">
              <w:rPr>
                <w:rFonts w:ascii="Arial" w:hAnsi="Arial" w:cs="Arial"/>
                <w:noProof/>
                <w:webHidden/>
              </w:rPr>
              <w:instrText xml:space="preserve"> PAGEREF _Toc182309606 \h </w:instrText>
            </w:r>
            <w:r w:rsidRPr="008976FB">
              <w:rPr>
                <w:rFonts w:ascii="Arial" w:hAnsi="Arial" w:cs="Arial"/>
                <w:noProof/>
                <w:webHidden/>
              </w:rPr>
            </w:r>
            <w:r w:rsidRPr="008976FB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976FB">
              <w:rPr>
                <w:rFonts w:ascii="Arial" w:hAnsi="Arial" w:cs="Arial"/>
                <w:noProof/>
                <w:webHidden/>
              </w:rPr>
              <w:t>4</w:t>
            </w:r>
            <w:r w:rsidRPr="008976FB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33B68B" w14:textId="409222C1" w:rsidR="00CA4F4E" w:rsidRPr="008278E7" w:rsidRDefault="00000000">
          <w:pPr>
            <w:rPr>
              <w:rFonts w:ascii="Arial" w:eastAsia="Arial" w:hAnsi="Arial" w:cs="Arial"/>
              <w:sz w:val="20"/>
              <w:szCs w:val="20"/>
            </w:rPr>
          </w:pPr>
          <w:r w:rsidRPr="008278E7">
            <w:fldChar w:fldCharType="end"/>
          </w:r>
        </w:p>
      </w:sdtContent>
    </w:sdt>
    <w:p w14:paraId="5F4EF533" w14:textId="77777777" w:rsidR="005E45BE" w:rsidRPr="008278E7" w:rsidRDefault="005E45BE">
      <w:pPr>
        <w:rPr>
          <w:rFonts w:ascii="Arial" w:eastAsia="Arial" w:hAnsi="Arial" w:cs="Arial"/>
          <w:sz w:val="28"/>
          <w:szCs w:val="28"/>
        </w:rPr>
      </w:pPr>
    </w:p>
    <w:p w14:paraId="62F4DB46" w14:textId="77777777" w:rsidR="005E45BE" w:rsidRDefault="005E45BE">
      <w:pPr>
        <w:rPr>
          <w:rFonts w:ascii="Arial" w:eastAsia="Arial" w:hAnsi="Arial" w:cs="Arial"/>
          <w:sz w:val="28"/>
          <w:szCs w:val="28"/>
        </w:rPr>
      </w:pPr>
    </w:p>
    <w:p w14:paraId="1FF2A61C" w14:textId="77777777" w:rsidR="00476D17" w:rsidRDefault="00476D17">
      <w:pPr>
        <w:rPr>
          <w:rFonts w:ascii="Arial" w:eastAsia="Arial" w:hAnsi="Arial" w:cs="Arial"/>
          <w:sz w:val="28"/>
          <w:szCs w:val="28"/>
        </w:rPr>
      </w:pPr>
    </w:p>
    <w:p w14:paraId="07C6488E" w14:textId="77777777" w:rsidR="00476D17" w:rsidRDefault="00476D17">
      <w:pPr>
        <w:rPr>
          <w:rFonts w:ascii="Arial" w:eastAsia="Arial" w:hAnsi="Arial" w:cs="Arial"/>
          <w:sz w:val="28"/>
          <w:szCs w:val="28"/>
        </w:rPr>
      </w:pPr>
    </w:p>
    <w:p w14:paraId="397CB798" w14:textId="77777777" w:rsidR="00476D17" w:rsidRDefault="00476D17">
      <w:pPr>
        <w:rPr>
          <w:rFonts w:ascii="Arial" w:eastAsia="Arial" w:hAnsi="Arial" w:cs="Arial"/>
          <w:sz w:val="28"/>
          <w:szCs w:val="28"/>
        </w:rPr>
      </w:pPr>
    </w:p>
    <w:p w14:paraId="7FC7DECC" w14:textId="77777777" w:rsidR="00476D17" w:rsidRDefault="00476D17">
      <w:pPr>
        <w:rPr>
          <w:rFonts w:ascii="Arial" w:eastAsia="Arial" w:hAnsi="Arial" w:cs="Arial"/>
          <w:sz w:val="28"/>
          <w:szCs w:val="28"/>
        </w:rPr>
      </w:pPr>
    </w:p>
    <w:p w14:paraId="78A278CB" w14:textId="77777777" w:rsidR="00476D17" w:rsidRDefault="00476D17">
      <w:pPr>
        <w:rPr>
          <w:rFonts w:ascii="Arial" w:eastAsia="Arial" w:hAnsi="Arial" w:cs="Arial"/>
          <w:sz w:val="28"/>
          <w:szCs w:val="28"/>
        </w:rPr>
      </w:pPr>
    </w:p>
    <w:p w14:paraId="1CD94046" w14:textId="77777777" w:rsidR="00476D17" w:rsidRDefault="00476D17">
      <w:pPr>
        <w:rPr>
          <w:rFonts w:ascii="Arial" w:eastAsia="Arial" w:hAnsi="Arial" w:cs="Arial"/>
          <w:sz w:val="28"/>
          <w:szCs w:val="28"/>
        </w:rPr>
      </w:pPr>
    </w:p>
    <w:p w14:paraId="2BF11DC0" w14:textId="77777777" w:rsidR="00AF5599" w:rsidRPr="008278E7" w:rsidRDefault="00AF5599">
      <w:pPr>
        <w:rPr>
          <w:rFonts w:ascii="Arial" w:eastAsia="Arial" w:hAnsi="Arial" w:cs="Arial"/>
          <w:sz w:val="28"/>
          <w:szCs w:val="28"/>
        </w:rPr>
      </w:pPr>
    </w:p>
    <w:p w14:paraId="480E63DB" w14:textId="77777777" w:rsidR="005E45BE" w:rsidRPr="008278E7" w:rsidRDefault="005E45BE">
      <w:pPr>
        <w:rPr>
          <w:rFonts w:ascii="Arial" w:eastAsia="Arial" w:hAnsi="Arial" w:cs="Arial"/>
          <w:sz w:val="28"/>
          <w:szCs w:val="28"/>
        </w:rPr>
      </w:pPr>
    </w:p>
    <w:p w14:paraId="56C26462" w14:textId="77777777" w:rsidR="005E45BE" w:rsidRPr="008278E7" w:rsidRDefault="005E45BE">
      <w:pPr>
        <w:rPr>
          <w:rFonts w:ascii="Arial" w:eastAsia="Arial" w:hAnsi="Arial" w:cs="Arial"/>
          <w:sz w:val="28"/>
          <w:szCs w:val="28"/>
        </w:rPr>
      </w:pPr>
    </w:p>
    <w:p w14:paraId="0C5E35DD" w14:textId="77777777" w:rsidR="00A223F5" w:rsidRPr="008278E7" w:rsidRDefault="00000000">
      <w:pPr>
        <w:pStyle w:val="Heading1"/>
        <w:keepLines/>
        <w:numPr>
          <w:ilvl w:val="0"/>
          <w:numId w:val="1"/>
        </w:numPr>
        <w:pBdr>
          <w:bottom w:val="single" w:sz="4" w:space="1" w:color="595959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82309594"/>
      <w:r w:rsidRPr="008278E7">
        <w:rPr>
          <w:sz w:val="28"/>
          <w:szCs w:val="28"/>
        </w:rPr>
        <w:lastRenderedPageBreak/>
        <w:t>Introduction</w:t>
      </w:r>
      <w:bookmarkEnd w:id="0"/>
    </w:p>
    <w:p w14:paraId="154513D0" w14:textId="77777777" w:rsidR="00A223F5" w:rsidRPr="008278E7" w:rsidRDefault="00000000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  <w:lang w:val="en-GB"/>
        </w:rPr>
      </w:pPr>
      <w:bookmarkStart w:id="1" w:name="_Toc182309595"/>
      <w:r w:rsidRPr="008278E7">
        <w:rPr>
          <w:rFonts w:ascii="Arial" w:eastAsia="Arial" w:hAnsi="Arial" w:cs="Arial"/>
          <w:smallCaps w:val="0"/>
          <w:sz w:val="24"/>
          <w:szCs w:val="24"/>
          <w:lang w:val="en-GB"/>
        </w:rPr>
        <w:t>Policy statement</w:t>
      </w:r>
      <w:bookmarkEnd w:id="1"/>
    </w:p>
    <w:p w14:paraId="1615D2B4" w14:textId="77777777" w:rsidR="00A223F5" w:rsidRPr="008278E7" w:rsidRDefault="00A223F5"/>
    <w:p w14:paraId="25684C4D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At this organisation, all patients will routinely be offered a chaperone, ideally at the time of booking an appointment. It is a requirement that, when necessary, chaperones are provided to protect and safeguard both patients and clinicians during intimate examinations or procedures. This policy adheres to the guidance detailed in </w:t>
      </w:r>
      <w:hyperlink r:id="rId9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CQC GP mythbuster 15: Chaperones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2D43DCE6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</w:p>
    <w:p w14:paraId="5BC905C9" w14:textId="7E2AEE7D" w:rsidR="00E41DE7" w:rsidRPr="00B74F93" w:rsidRDefault="00173773" w:rsidP="00E41DE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raise awareness, the chaperone policy will be clearly advertised. At this organisation, a chaperone poster is displayed in the waiting area, all clinical areas and annotated in the organisation leaflet as well as on the organisation website.</w:t>
      </w:r>
    </w:p>
    <w:p w14:paraId="73E79662" w14:textId="7284E5D3" w:rsidR="006F3C7D" w:rsidRPr="006F3C7D" w:rsidRDefault="006F3C7D" w:rsidP="00E72ACF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  <w:lang w:val="en-GB"/>
        </w:rPr>
      </w:pPr>
      <w:bookmarkStart w:id="3" w:name="_Toc182309596"/>
      <w:r>
        <w:rPr>
          <w:rFonts w:ascii="Arial" w:eastAsia="Arial" w:hAnsi="Arial" w:cs="Arial"/>
          <w:smallCaps w:val="0"/>
          <w:sz w:val="24"/>
          <w:szCs w:val="24"/>
          <w:lang w:val="en-GB"/>
        </w:rPr>
        <w:t>Status</w:t>
      </w:r>
      <w:bookmarkEnd w:id="3"/>
    </w:p>
    <w:p w14:paraId="38E8D99A" w14:textId="77777777" w:rsidR="00903941" w:rsidRDefault="00903941" w:rsidP="00903941">
      <w:pPr>
        <w:rPr>
          <w:rFonts w:cstheme="minorHAnsi"/>
        </w:rPr>
      </w:pPr>
    </w:p>
    <w:p w14:paraId="7DF6CF02" w14:textId="77777777" w:rsidR="00A177A4" w:rsidRDefault="00A177A4" w:rsidP="00A17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accordance with the </w:t>
      </w:r>
      <w:hyperlink r:id="rId10" w:history="1">
        <w:r w:rsidRPr="002B2C8C">
          <w:rPr>
            <w:rStyle w:val="Hyperlink"/>
            <w:rFonts w:ascii="Arial" w:hAnsi="Arial" w:cs="Arial"/>
            <w:sz w:val="22"/>
            <w:szCs w:val="22"/>
          </w:rPr>
          <w:t>Equality Act 2010</w:t>
        </w:r>
      </w:hyperlink>
      <w:r>
        <w:rPr>
          <w:rFonts w:ascii="Arial" w:hAnsi="Arial" w:cs="Arial"/>
          <w:sz w:val="22"/>
          <w:szCs w:val="22"/>
        </w:rPr>
        <w:t xml:space="preserve">, we have considered how provisions within this policy might impact on different groups and individuals. This document and any procedures contained within it are non-contractual, which means they may be modified or withdrawn at any time. They apply to all employees and contractors working for the organisation. </w:t>
      </w:r>
    </w:p>
    <w:p w14:paraId="2F9B45AA" w14:textId="01DF9826" w:rsidR="00A223F5" w:rsidRPr="008278E7" w:rsidRDefault="00A223F5"/>
    <w:p w14:paraId="099A4A76" w14:textId="72221C50" w:rsidR="00B8659A" w:rsidRPr="008278E7" w:rsidRDefault="00173773" w:rsidP="00B8659A">
      <w:pPr>
        <w:pStyle w:val="Heading1"/>
        <w:keepLines/>
        <w:numPr>
          <w:ilvl w:val="0"/>
          <w:numId w:val="1"/>
        </w:numPr>
        <w:pBdr>
          <w:bottom w:val="single" w:sz="4" w:space="1" w:color="595959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4" w:name="_Toc182309597"/>
      <w:r>
        <w:rPr>
          <w:sz w:val="28"/>
          <w:szCs w:val="28"/>
        </w:rPr>
        <w:t>Policy</w:t>
      </w:r>
      <w:bookmarkEnd w:id="4"/>
    </w:p>
    <w:p w14:paraId="639CBCB1" w14:textId="77777777" w:rsidR="00173773" w:rsidRDefault="00173773" w:rsidP="00173773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</w:rPr>
      </w:pPr>
      <w:bookmarkStart w:id="5" w:name="_Toc179981748"/>
      <w:bookmarkStart w:id="6" w:name="_Toc182309598"/>
      <w:r>
        <w:rPr>
          <w:rFonts w:ascii="Arial" w:eastAsia="Arial" w:hAnsi="Arial" w:cs="Arial"/>
          <w:smallCaps w:val="0"/>
          <w:sz w:val="24"/>
          <w:szCs w:val="24"/>
        </w:rPr>
        <w:t>Who can act as a chaperone</w:t>
      </w:r>
      <w:bookmarkEnd w:id="5"/>
      <w:bookmarkEnd w:id="6"/>
    </w:p>
    <w:p w14:paraId="2C505430" w14:textId="77777777" w:rsidR="00B8659A" w:rsidRPr="008278E7" w:rsidRDefault="00B8659A" w:rsidP="00B8659A"/>
    <w:p w14:paraId="59F8BF67" w14:textId="10A3CA08" w:rsidR="00E41DE7" w:rsidRP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At this organisation, it is policy that any member of the team can act as a chaperone</w:t>
      </w:r>
      <w:r w:rsidR="008976FB">
        <w:rPr>
          <w:rFonts w:ascii="Arial" w:eastAsia="Arial" w:hAnsi="Arial" w:cs="Arial"/>
          <w:color w:val="231F20"/>
          <w:sz w:val="22"/>
          <w:szCs w:val="22"/>
        </w:rPr>
        <w:t>. H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owever, they must have undertaken chaperone training as detailed in </w:t>
      </w:r>
      <w:hyperlink r:id="rId11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CQC GP mythbuster 15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Additionally, </w:t>
      </w:r>
      <w:r>
        <w:rPr>
          <w:rFonts w:ascii="Arial" w:eastAsia="Arial" w:hAnsi="Arial" w:cs="Arial"/>
          <w:b/>
          <w:color w:val="231F20"/>
          <w:sz w:val="22"/>
          <w:szCs w:val="22"/>
        </w:rPr>
        <w:t xml:space="preserve">all staff 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must complete chaperone awareness training which covers the role of the chaperone. </w:t>
      </w:r>
    </w:p>
    <w:p w14:paraId="7DA1E8E3" w14:textId="32E20C5E" w:rsidR="00B8659A" w:rsidRPr="008278E7" w:rsidRDefault="00173773" w:rsidP="00B8659A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  <w:lang w:val="en-GB"/>
        </w:rPr>
      </w:pPr>
      <w:bookmarkStart w:id="7" w:name="_Toc182309599"/>
      <w:r>
        <w:rPr>
          <w:rFonts w:ascii="Arial" w:eastAsia="Arial" w:hAnsi="Arial" w:cs="Arial"/>
          <w:smallCaps w:val="0"/>
          <w:sz w:val="24"/>
          <w:szCs w:val="24"/>
          <w:lang w:val="en-GB"/>
        </w:rPr>
        <w:t>General guidance</w:t>
      </w:r>
      <w:bookmarkEnd w:id="7"/>
    </w:p>
    <w:p w14:paraId="47705090" w14:textId="77777777" w:rsidR="00B8659A" w:rsidRPr="008278E7" w:rsidRDefault="00B8659A" w:rsidP="00B8659A"/>
    <w:p w14:paraId="40F8496F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hyperlink r:id="rId12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General Medical Council (GMC) Intimate examinations and chaperones guidance</w:t>
        </w:r>
      </w:hyperlink>
      <w:r>
        <w:rPr>
          <w:rFonts w:ascii="Arial" w:eastAsia="Arial" w:hAnsi="Arial" w:cs="Arial"/>
          <w:sz w:val="22"/>
          <w:szCs w:val="22"/>
        </w:rPr>
        <w:t xml:space="preserve"> explains that the patient should be given the option of having an impartial observer (a chaperone) present whenever possible. </w:t>
      </w:r>
    </w:p>
    <w:p w14:paraId="10260058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</w:p>
    <w:p w14:paraId="1CE7DB5B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per the 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05D6EC0F" w14:textId="77777777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</w:p>
    <w:p w14:paraId="212A9F31" w14:textId="77777777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 xml:space="preserve">The GMC guidance also provides detailed guidance on what the clinician should do before and during the examination, including adhering to the GMC </w:t>
      </w:r>
      <w:hyperlink r:id="rId13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Decision making and consent guidance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</w:t>
      </w:r>
    </w:p>
    <w:p w14:paraId="165F9BFE" w14:textId="69652687" w:rsidR="00E41DE7" w:rsidRDefault="00E41DE7" w:rsidP="00E41DE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9913BF" w14:textId="77777777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When a chaperone is present, the details of the chaperone must be recorded in the patient’s clinical record.</w:t>
      </w:r>
    </w:p>
    <w:p w14:paraId="3BEADE87" w14:textId="77777777" w:rsidR="00173773" w:rsidRDefault="00173773" w:rsidP="00E41DE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E00F374" w14:textId="77777777" w:rsidR="00B8659A" w:rsidRPr="008278E7" w:rsidRDefault="00B8659A" w:rsidP="00B86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4329ED91" w14:textId="0E0D5304" w:rsidR="00B8659A" w:rsidRPr="008278E7" w:rsidRDefault="00173773" w:rsidP="00B8659A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  <w:lang w:val="en-GB"/>
        </w:rPr>
      </w:pPr>
      <w:bookmarkStart w:id="8" w:name="_Toc182309600"/>
      <w:r>
        <w:rPr>
          <w:rFonts w:ascii="Arial" w:eastAsia="Arial" w:hAnsi="Arial" w:cs="Arial"/>
          <w:smallCaps w:val="0"/>
          <w:sz w:val="24"/>
          <w:szCs w:val="24"/>
          <w:lang w:val="en-GB"/>
        </w:rPr>
        <w:lastRenderedPageBreak/>
        <w:t>Role and expectations of a chaperone</w:t>
      </w:r>
      <w:bookmarkEnd w:id="8"/>
    </w:p>
    <w:p w14:paraId="3A8BBB01" w14:textId="77777777" w:rsidR="00B8659A" w:rsidRPr="008278E7" w:rsidRDefault="00B8659A" w:rsidP="00B8659A"/>
    <w:p w14:paraId="2FAD0D40" w14:textId="768A43E2" w:rsidR="00B8659A" w:rsidRP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 w:rsidRPr="002741A3">
        <w:rPr>
          <w:rFonts w:ascii="Arial" w:eastAsia="Arial" w:hAnsi="Arial" w:cs="Arial"/>
          <w:color w:val="231F20"/>
          <w:sz w:val="22"/>
          <w:szCs w:val="22"/>
        </w:rPr>
        <w:t xml:space="preserve">Staff at this organisation acting as a chaperone are to adhere to the </w:t>
      </w:r>
      <w:r w:rsidRPr="002741A3">
        <w:rPr>
          <w:rFonts w:ascii="Arial" w:hAnsi="Arial" w:cs="Arial"/>
          <w:sz w:val="22"/>
          <w:szCs w:val="22"/>
        </w:rPr>
        <w:t>guidance referenced at 2.2.</w:t>
      </w:r>
      <w:r w:rsidRPr="002741A3">
        <w:rPr>
          <w:rFonts w:ascii="Arial" w:eastAsia="Arial" w:hAnsi="Arial" w:cs="Arial"/>
          <w:color w:val="231F20"/>
          <w:sz w:val="22"/>
          <w:szCs w:val="22"/>
        </w:rPr>
        <w:t xml:space="preserve"> </w:t>
      </w:r>
      <w:hyperlink r:id="rId14" w:history="1">
        <w:r w:rsidR="002741A3" w:rsidRPr="002741A3">
          <w:rPr>
            <w:rStyle w:val="Hyperlink"/>
            <w:rFonts w:ascii="Arial" w:eastAsia="Arial" w:hAnsi="Arial" w:cs="Arial"/>
            <w:sz w:val="22"/>
            <w:szCs w:val="22"/>
          </w:rPr>
          <w:t>CQC GP mythbuster 15: Chaperone</w:t>
        </w:r>
        <w:r w:rsidRPr="002741A3">
          <w:rPr>
            <w:rStyle w:val="Hyperlink"/>
            <w:rFonts w:ascii="Arial" w:eastAsia="Arial" w:hAnsi="Arial" w:cs="Arial"/>
            <w:sz w:val="22"/>
            <w:szCs w:val="22"/>
          </w:rPr>
          <w:t>s</w:t>
        </w:r>
      </w:hyperlink>
      <w:r w:rsidR="002741A3">
        <w:rPr>
          <w:rFonts w:ascii="Arial" w:eastAsia="Arial" w:hAnsi="Arial" w:cs="Arial"/>
          <w:color w:val="231F20"/>
          <w:sz w:val="22"/>
          <w:szCs w:val="22"/>
        </w:rPr>
        <w:t xml:space="preserve"> advises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that for most patients and procedures, respect, explanation, consent and privacy are all that are needed. These take precedence over the need for a chaperone. A chaperone does not remove the need for adequate explanation and courtesy. Neither can a chaperone provide full assurance that the procedure or examination is conducted appropriately.</w:t>
      </w:r>
    </w:p>
    <w:p w14:paraId="625DD821" w14:textId="3113C059" w:rsidR="00E41DE7" w:rsidRDefault="00173773" w:rsidP="00E41DE7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  <w:lang w:val="en-GB"/>
        </w:rPr>
      </w:pPr>
      <w:bookmarkStart w:id="9" w:name="_Toc182309601"/>
      <w:r>
        <w:rPr>
          <w:rFonts w:ascii="Arial" w:eastAsia="Arial" w:hAnsi="Arial" w:cs="Arial"/>
          <w:smallCaps w:val="0"/>
          <w:sz w:val="24"/>
          <w:szCs w:val="24"/>
          <w:lang w:val="en-GB"/>
        </w:rPr>
        <w:t>When a chaperone is unavailable</w:t>
      </w:r>
      <w:bookmarkEnd w:id="9"/>
    </w:p>
    <w:p w14:paraId="2BD60EA4" w14:textId="77777777" w:rsidR="00B8659A" w:rsidRPr="008278E7" w:rsidRDefault="00B8659A" w:rsidP="00B8659A"/>
    <w:p w14:paraId="2EA6CA98" w14:textId="09C59437" w:rsidR="00B8659A" w:rsidRP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 xml:space="preserve">The GMC </w:t>
      </w:r>
      <w:r w:rsidR="002741A3">
        <w:rPr>
          <w:rFonts w:ascii="Arial" w:eastAsia="Arial" w:hAnsi="Arial" w:cs="Arial"/>
          <w:color w:val="231F20"/>
          <w:sz w:val="22"/>
          <w:szCs w:val="22"/>
        </w:rPr>
        <w:t xml:space="preserve">further 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advises that if either the clinician or the patient does not want the examination to go ahead without a chaperone present, or if either is uncomfortable with the choice of chaperone, the clinician may offer to delay the examination until a later date when a suitable chaperone will be available </w:t>
      </w:r>
      <w:r w:rsidR="008976FB">
        <w:rPr>
          <w:rFonts w:ascii="Arial" w:eastAsia="Arial" w:hAnsi="Arial" w:cs="Arial"/>
          <w:color w:val="231F20"/>
          <w:sz w:val="22"/>
          <w:szCs w:val="22"/>
        </w:rPr>
        <w:t>providing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 the delay would not adversely affect the patient’s health.</w:t>
      </w:r>
    </w:p>
    <w:p w14:paraId="0744B825" w14:textId="77777777" w:rsidR="00173773" w:rsidRDefault="00173773" w:rsidP="00173773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</w:rPr>
      </w:pPr>
      <w:bookmarkStart w:id="10" w:name="_Toc179981752"/>
      <w:bookmarkStart w:id="11" w:name="_Toc182309602"/>
      <w:r>
        <w:rPr>
          <w:rFonts w:ascii="Arial" w:eastAsia="Arial" w:hAnsi="Arial" w:cs="Arial"/>
          <w:smallCaps w:val="0"/>
          <w:sz w:val="24"/>
          <w:szCs w:val="24"/>
        </w:rPr>
        <w:t>When a patient refuses a chaperone</w:t>
      </w:r>
      <w:bookmarkEnd w:id="10"/>
      <w:bookmarkEnd w:id="11"/>
    </w:p>
    <w:p w14:paraId="11C98AF4" w14:textId="77777777" w:rsidR="00B8659A" w:rsidRPr="008278E7" w:rsidRDefault="00B8659A" w:rsidP="00B8659A"/>
    <w:p w14:paraId="17964F84" w14:textId="6D5668F9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the clinician does not want to proceed with the examination without a chaperone but the patient has refused a chaperone, the clinician must clearly explain why they want a chaperone</w:t>
      </w:r>
      <w:r w:rsidR="008976FB">
        <w:rPr>
          <w:rFonts w:ascii="Arial" w:eastAsia="Arial" w:hAnsi="Arial" w:cs="Arial"/>
          <w:sz w:val="22"/>
          <w:szCs w:val="22"/>
        </w:rPr>
        <w:t xml:space="preserve"> to be</w:t>
      </w:r>
      <w:r>
        <w:rPr>
          <w:rFonts w:ascii="Arial" w:eastAsia="Arial" w:hAnsi="Arial" w:cs="Arial"/>
          <w:sz w:val="22"/>
          <w:szCs w:val="22"/>
        </w:rPr>
        <w:t xml:space="preserve"> present. The </w:t>
      </w:r>
      <w:r w:rsidRPr="002741A3">
        <w:rPr>
          <w:rFonts w:ascii="Arial" w:eastAsia="Arial" w:hAnsi="Arial" w:cs="Arial"/>
          <w:color w:val="000000" w:themeColor="text1"/>
          <w:sz w:val="22"/>
          <w:szCs w:val="22"/>
        </w:rPr>
        <w:t>GMC</w:t>
      </w:r>
      <w:hyperlink r:id="rId15">
        <w:r>
          <w:rPr>
            <w:rFonts w:ascii="Arial" w:eastAsia="Arial" w:hAnsi="Arial" w:cs="Arial"/>
            <w:color w:val="000000"/>
            <w:sz w:val="22"/>
            <w:szCs w:val="22"/>
          </w:rPr>
          <w:t xml:space="preserve"> state</w:t>
        </w:r>
      </w:hyperlink>
      <w:r>
        <w:rPr>
          <w:rFonts w:ascii="Arial" w:eastAsia="Arial" w:hAnsi="Arial" w:cs="Arial"/>
          <w:sz w:val="22"/>
          <w:szCs w:val="22"/>
        </w:rPr>
        <w:t xml:space="preserve">s that ultimately the patient’s clinical needs must take precedence. The clinician may wish to consider referring the patient to a colleague who would be willing to examine them without a chaperone </w:t>
      </w:r>
      <w:r w:rsidR="008976FB">
        <w:rPr>
          <w:rFonts w:ascii="Arial" w:eastAsia="Arial" w:hAnsi="Arial" w:cs="Arial"/>
          <w:sz w:val="22"/>
          <w:szCs w:val="22"/>
        </w:rPr>
        <w:t xml:space="preserve">providing </w:t>
      </w:r>
      <w:r>
        <w:rPr>
          <w:rFonts w:ascii="Arial" w:eastAsia="Arial" w:hAnsi="Arial" w:cs="Arial"/>
          <w:sz w:val="22"/>
          <w:szCs w:val="22"/>
        </w:rPr>
        <w:t xml:space="preserve">a delay would not adversely affect the patient’s health. </w:t>
      </w:r>
    </w:p>
    <w:p w14:paraId="7C75376B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</w:p>
    <w:p w14:paraId="37DBF41D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Any discussion about chaperones and the outcome should be recorded in the patient’s medical record, and in particular:</w:t>
      </w:r>
    </w:p>
    <w:p w14:paraId="0C30DA20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</w:p>
    <w:p w14:paraId="492CAC15" w14:textId="77777777" w:rsidR="00173773" w:rsidRDefault="00173773" w:rsidP="00173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Who the chaperone was</w:t>
      </w:r>
    </w:p>
    <w:p w14:paraId="51D26CC8" w14:textId="77777777" w:rsidR="00173773" w:rsidRDefault="00173773" w:rsidP="00173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Their title </w:t>
      </w:r>
    </w:p>
    <w:p w14:paraId="7953E06D" w14:textId="3FA2A452" w:rsidR="00173773" w:rsidRPr="00173773" w:rsidRDefault="00173773" w:rsidP="00173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That the offer was made and declined</w:t>
      </w:r>
    </w:p>
    <w:p w14:paraId="1530E24D" w14:textId="77777777" w:rsidR="00173773" w:rsidRDefault="00173773" w:rsidP="00173773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</w:rPr>
      </w:pPr>
      <w:bookmarkStart w:id="12" w:name="_heading=h.17dp8vu" w:colFirst="0" w:colLast="0"/>
      <w:bookmarkStart w:id="13" w:name="_Toc179981753"/>
      <w:bookmarkStart w:id="14" w:name="_Toc182309603"/>
      <w:bookmarkEnd w:id="12"/>
      <w:r>
        <w:rPr>
          <w:rFonts w:ascii="Arial" w:eastAsia="Arial" w:hAnsi="Arial" w:cs="Arial"/>
          <w:smallCaps w:val="0"/>
          <w:sz w:val="24"/>
          <w:szCs w:val="24"/>
        </w:rPr>
        <w:t>Disclosure and Barring Service (DBS) check</w:t>
      </w:r>
      <w:bookmarkEnd w:id="13"/>
      <w:bookmarkEnd w:id="14"/>
    </w:p>
    <w:p w14:paraId="6F2359A2" w14:textId="77777777" w:rsidR="008278E7" w:rsidRPr="008278E7" w:rsidRDefault="008278E7" w:rsidP="008278E7"/>
    <w:p w14:paraId="38A9B423" w14:textId="4E7D8B7A" w:rsidR="00173773" w:rsidRP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 xml:space="preserve">Clinical staff who undertake a chaperone role at this organisation will already have a DBS check. </w:t>
      </w:r>
      <w:hyperlink r:id="rId16" w:history="1">
        <w:r w:rsidR="002741A3" w:rsidRPr="00C24CC0">
          <w:rPr>
            <w:rStyle w:val="Hyperlink"/>
            <w:rFonts w:ascii="Arial" w:eastAsia="Arial" w:hAnsi="Arial" w:cs="Arial"/>
            <w:sz w:val="22"/>
            <w:szCs w:val="22"/>
          </w:rPr>
          <w:t>CQC GP mythbuster 15: Chaperones</w:t>
        </w:r>
      </w:hyperlink>
      <w:hyperlink r:id="rId17">
        <w:r>
          <w:rPr>
            <w:rFonts w:ascii="Arial" w:eastAsia="Arial" w:hAnsi="Arial" w:cs="Arial"/>
            <w:color w:val="000000"/>
            <w:sz w:val="22"/>
            <w:szCs w:val="22"/>
          </w:rPr>
          <w:t xml:space="preserve"> state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>s that non-clinical staff who carry out chaperone duties may need a DBS check. This is due to the nature of chaperoning duties and the level of patient contact. Should the organisation decide not to carry out a DBS check for any non-clinical staff, then a clear rationale for this decision must be given including an appropriate risk assessment.</w:t>
      </w:r>
      <w:r>
        <w:rPr>
          <w:rFonts w:ascii="Arial" w:eastAsia="Arial" w:hAnsi="Arial" w:cs="Arial"/>
          <w:color w:val="231F20"/>
          <w:sz w:val="22"/>
          <w:szCs w:val="22"/>
          <w:vertAlign w:val="superscript"/>
        </w:rPr>
        <w:t xml:space="preserve"> </w:t>
      </w:r>
    </w:p>
    <w:p w14:paraId="77BCE341" w14:textId="3B50AFF0" w:rsidR="00173773" w:rsidRDefault="00E41DE7" w:rsidP="00173773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5" w:name="_Toc182309604"/>
      <w:r w:rsidR="00173773">
        <w:rPr>
          <w:rFonts w:ascii="Arial" w:eastAsia="Arial" w:hAnsi="Arial" w:cs="Arial"/>
          <w:smallCaps w:val="0"/>
          <w:sz w:val="24"/>
          <w:szCs w:val="24"/>
        </w:rPr>
        <w:t>Using chaperones during a video consultation</w:t>
      </w:r>
      <w:bookmarkEnd w:id="15"/>
    </w:p>
    <w:p w14:paraId="71435FFF" w14:textId="3542CD55" w:rsidR="00173773" w:rsidRDefault="00173773" w:rsidP="00173773">
      <w:pPr>
        <w:shd w:val="clear" w:color="auto" w:fill="FFFFFF"/>
        <w:spacing w:before="320" w:after="320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Whil</w:t>
      </w:r>
      <w:r w:rsidR="008976FB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it is widely accepted that many intimate examinations will not be suitable for a video consultation, should such a consultation be agreed, staff at this organisation are to adhere to the guidance detailed in </w:t>
      </w:r>
      <w:hyperlink r:id="rId18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CQC GP mythbuster 15</w:t>
        </w:r>
      </w:hyperlink>
      <w:r>
        <w:rPr>
          <w:rFonts w:ascii="Arial" w:eastAsia="Arial" w:hAnsi="Arial" w:cs="Arial"/>
          <w:color w:val="0563C1"/>
          <w:sz w:val="22"/>
          <w:szCs w:val="22"/>
          <w:u w:val="single"/>
        </w:rPr>
        <w:t xml:space="preserve">. </w:t>
      </w:r>
    </w:p>
    <w:p w14:paraId="028EE55B" w14:textId="77777777" w:rsidR="00A177A4" w:rsidRDefault="00A177A4" w:rsidP="00173773">
      <w:pPr>
        <w:shd w:val="clear" w:color="auto" w:fill="FFFFFF"/>
        <w:spacing w:before="320" w:after="320"/>
        <w:rPr>
          <w:rFonts w:ascii="Arial" w:eastAsia="Arial" w:hAnsi="Arial" w:cs="Arial"/>
          <w:sz w:val="22"/>
          <w:szCs w:val="22"/>
        </w:rPr>
      </w:pPr>
    </w:p>
    <w:p w14:paraId="36FFC92D" w14:textId="6214948A" w:rsidR="00173773" w:rsidRDefault="00173773" w:rsidP="00173773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</w:rPr>
      </w:pPr>
      <w:bookmarkStart w:id="16" w:name="_Toc182309605"/>
      <w:r>
        <w:rPr>
          <w:rFonts w:ascii="Arial" w:eastAsia="Arial" w:hAnsi="Arial" w:cs="Arial"/>
          <w:smallCaps w:val="0"/>
          <w:sz w:val="24"/>
          <w:szCs w:val="24"/>
        </w:rPr>
        <w:lastRenderedPageBreak/>
        <w:t>Practice procedure (including SNOMED codes)</w:t>
      </w:r>
      <w:bookmarkEnd w:id="16"/>
    </w:p>
    <w:p w14:paraId="1C0322C7" w14:textId="77777777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</w:p>
    <w:p w14:paraId="7261694C" w14:textId="23B2C382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If a chaperone was not requested at the time of booking the appointment, the clinician will offer the patient a chaperone explaining the requirements:</w:t>
      </w:r>
    </w:p>
    <w:p w14:paraId="1E116FA3" w14:textId="77777777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</w:p>
    <w:p w14:paraId="1DF490C4" w14:textId="77777777" w:rsidR="00173773" w:rsidRDefault="00173773" w:rsidP="001737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Contact reception and request a chaperone</w:t>
      </w:r>
    </w:p>
    <w:p w14:paraId="4A626CCB" w14:textId="77777777" w:rsidR="00173773" w:rsidRDefault="00173773" w:rsidP="001737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231F20"/>
          <w:sz w:val="22"/>
          <w:szCs w:val="22"/>
        </w:rPr>
      </w:pPr>
    </w:p>
    <w:p w14:paraId="3CF48D6D" w14:textId="77777777" w:rsidR="00173773" w:rsidRDefault="00173773" w:rsidP="00173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Record in the individual’s healthcare record that a chaperone is present and identify them</w:t>
      </w:r>
    </w:p>
    <w:p w14:paraId="0CE254BC" w14:textId="77777777" w:rsidR="00173773" w:rsidRDefault="00173773" w:rsidP="00173773">
      <w:pPr>
        <w:ind w:left="360"/>
        <w:rPr>
          <w:rFonts w:ascii="Arial" w:eastAsia="Arial" w:hAnsi="Arial" w:cs="Arial"/>
          <w:color w:val="231F20"/>
          <w:sz w:val="22"/>
          <w:szCs w:val="22"/>
        </w:rPr>
      </w:pPr>
    </w:p>
    <w:p w14:paraId="61D9645F" w14:textId="77777777" w:rsidR="00173773" w:rsidRDefault="00173773" w:rsidP="00173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The chaperone should be introduced to the patient</w:t>
      </w:r>
    </w:p>
    <w:p w14:paraId="6BEC7391" w14:textId="77777777" w:rsidR="00173773" w:rsidRDefault="00173773" w:rsidP="001737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231F20"/>
          <w:sz w:val="22"/>
          <w:szCs w:val="22"/>
        </w:rPr>
      </w:pPr>
    </w:p>
    <w:p w14:paraId="691A6075" w14:textId="77777777" w:rsidR="00173773" w:rsidRDefault="00173773" w:rsidP="00173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The chaperone should assist as required but maintain a position so that they are able to witness the procedure/examination (usually at the head end)</w:t>
      </w:r>
    </w:p>
    <w:p w14:paraId="33F3602A" w14:textId="77777777" w:rsidR="00173773" w:rsidRDefault="00173773" w:rsidP="001737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231F20"/>
          <w:sz w:val="22"/>
          <w:szCs w:val="22"/>
        </w:rPr>
      </w:pPr>
    </w:p>
    <w:p w14:paraId="1ABD082C" w14:textId="77777777" w:rsidR="00173773" w:rsidRDefault="00173773" w:rsidP="00173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The chaperone should adhere to their role at all times</w:t>
      </w:r>
    </w:p>
    <w:p w14:paraId="60EF3C73" w14:textId="77777777" w:rsidR="00173773" w:rsidRDefault="00173773" w:rsidP="001737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231F20"/>
          <w:sz w:val="22"/>
          <w:szCs w:val="22"/>
        </w:rPr>
      </w:pPr>
    </w:p>
    <w:p w14:paraId="54EEF805" w14:textId="77777777" w:rsidR="00173773" w:rsidRDefault="00173773" w:rsidP="00173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Post procedure or examination, the chaperone should ensure they annotate in the patient’s healthcare record that they were present during the examination and there were no issues observed</w:t>
      </w:r>
    </w:p>
    <w:p w14:paraId="6EADB566" w14:textId="77777777" w:rsidR="00173773" w:rsidRDefault="00173773" w:rsidP="001737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231F20"/>
          <w:sz w:val="22"/>
          <w:szCs w:val="22"/>
        </w:rPr>
      </w:pPr>
    </w:p>
    <w:p w14:paraId="1915053D" w14:textId="77777777" w:rsidR="00173773" w:rsidRPr="00173773" w:rsidRDefault="00173773" w:rsidP="00173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The clinician will annotate in the individual’s healthcare record the full details of the procedure as per current medical records policy</w:t>
      </w:r>
    </w:p>
    <w:p w14:paraId="61B686CA" w14:textId="77777777" w:rsidR="00173773" w:rsidRDefault="00173773" w:rsidP="00173773">
      <w:pPr>
        <w:pStyle w:val="ListParagrap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3715"/>
      </w:tblGrid>
      <w:tr w:rsidR="00173773" w14:paraId="7B4F43D7" w14:textId="77777777" w:rsidTr="00DC3BF6">
        <w:tc>
          <w:tcPr>
            <w:tcW w:w="5211" w:type="dxa"/>
            <w:shd w:val="clear" w:color="auto" w:fill="4472C4"/>
          </w:tcPr>
          <w:p w14:paraId="57833506" w14:textId="77777777" w:rsidR="00173773" w:rsidRDefault="00173773" w:rsidP="00DC3BF6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Detail</w:t>
            </w:r>
          </w:p>
        </w:tc>
        <w:tc>
          <w:tcPr>
            <w:tcW w:w="3715" w:type="dxa"/>
            <w:shd w:val="clear" w:color="auto" w:fill="4472C4"/>
          </w:tcPr>
          <w:p w14:paraId="5F95F973" w14:textId="77777777" w:rsidR="00173773" w:rsidRDefault="00173773" w:rsidP="00DC3BF6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SNOMED CT ID</w:t>
            </w:r>
          </w:p>
          <w:p w14:paraId="178F9B8E" w14:textId="77777777" w:rsidR="00173773" w:rsidRDefault="00173773" w:rsidP="00DC3BF6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173773" w14:paraId="6A0B0CF4" w14:textId="77777777" w:rsidTr="00DC3BF6">
        <w:tc>
          <w:tcPr>
            <w:tcW w:w="5211" w:type="dxa"/>
          </w:tcPr>
          <w:p w14:paraId="2AEA8438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Requires chaperone</w:t>
            </w:r>
          </w:p>
        </w:tc>
        <w:tc>
          <w:tcPr>
            <w:tcW w:w="3715" w:type="dxa"/>
          </w:tcPr>
          <w:p w14:paraId="01DF2E97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1218711000000108</w:t>
            </w:r>
          </w:p>
        </w:tc>
      </w:tr>
      <w:tr w:rsidR="00173773" w14:paraId="7F6746A7" w14:textId="77777777" w:rsidTr="00DC3BF6">
        <w:tc>
          <w:tcPr>
            <w:tcW w:w="5211" w:type="dxa"/>
          </w:tcPr>
          <w:p w14:paraId="44FCCC07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patient agrees to a chaperone</w:t>
            </w:r>
          </w:p>
        </w:tc>
        <w:tc>
          <w:tcPr>
            <w:tcW w:w="3715" w:type="dxa"/>
          </w:tcPr>
          <w:p w14:paraId="312BFBCA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1104081000000107</w:t>
            </w:r>
          </w:p>
        </w:tc>
      </w:tr>
      <w:tr w:rsidR="00173773" w14:paraId="6030861A" w14:textId="77777777" w:rsidTr="00DC3BF6">
        <w:tc>
          <w:tcPr>
            <w:tcW w:w="5211" w:type="dxa"/>
          </w:tcPr>
          <w:p w14:paraId="380E5F71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Provision of chaperone refused</w:t>
            </w:r>
          </w:p>
        </w:tc>
        <w:tc>
          <w:tcPr>
            <w:tcW w:w="3715" w:type="dxa"/>
          </w:tcPr>
          <w:p w14:paraId="1A7045C0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763380007</w:t>
            </w:r>
          </w:p>
        </w:tc>
      </w:tr>
      <w:tr w:rsidR="00173773" w14:paraId="13860395" w14:textId="77777777" w:rsidTr="00DC3BF6">
        <w:tc>
          <w:tcPr>
            <w:tcW w:w="5211" w:type="dxa"/>
          </w:tcPr>
          <w:p w14:paraId="40958BDB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Chaperone not available</w:t>
            </w:r>
          </w:p>
        </w:tc>
        <w:tc>
          <w:tcPr>
            <w:tcW w:w="3715" w:type="dxa"/>
          </w:tcPr>
          <w:p w14:paraId="4423266D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428929009</w:t>
            </w:r>
          </w:p>
        </w:tc>
      </w:tr>
      <w:tr w:rsidR="00173773" w14:paraId="178C5F6B" w14:textId="77777777" w:rsidTr="00DC3BF6">
        <w:tc>
          <w:tcPr>
            <w:tcW w:w="5211" w:type="dxa"/>
          </w:tcPr>
          <w:p w14:paraId="174438C2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Presence of chaperone</w:t>
            </w:r>
          </w:p>
        </w:tc>
        <w:tc>
          <w:tcPr>
            <w:tcW w:w="3715" w:type="dxa"/>
          </w:tcPr>
          <w:p w14:paraId="2F4224D9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314229006</w:t>
            </w:r>
          </w:p>
        </w:tc>
      </w:tr>
      <w:tr w:rsidR="00173773" w14:paraId="49A954D9" w14:textId="77777777" w:rsidTr="00DC3BF6">
        <w:tc>
          <w:tcPr>
            <w:tcW w:w="5211" w:type="dxa"/>
          </w:tcPr>
          <w:p w14:paraId="7F354364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color w:val="231F2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31F20"/>
                <w:sz w:val="22"/>
                <w:szCs w:val="22"/>
              </w:rPr>
              <w:t>Nurse chaperone</w:t>
            </w:r>
          </w:p>
        </w:tc>
        <w:tc>
          <w:tcPr>
            <w:tcW w:w="3715" w:type="dxa"/>
          </w:tcPr>
          <w:p w14:paraId="39674405" w14:textId="77777777" w:rsidR="00173773" w:rsidRDefault="00173773" w:rsidP="00DC3BF6">
            <w:pPr>
              <w:spacing w:before="80" w:after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314380009</w:t>
            </w:r>
          </w:p>
        </w:tc>
      </w:tr>
    </w:tbl>
    <w:p w14:paraId="6820AAD4" w14:textId="1879F394" w:rsidR="00173773" w:rsidRDefault="00173773" w:rsidP="00173773">
      <w:pPr>
        <w:pStyle w:val="Heading2"/>
        <w:numPr>
          <w:ilvl w:val="1"/>
          <w:numId w:val="1"/>
        </w:numPr>
        <w:rPr>
          <w:rFonts w:ascii="Arial" w:eastAsia="Arial" w:hAnsi="Arial" w:cs="Arial"/>
          <w:smallCaps w:val="0"/>
          <w:sz w:val="24"/>
          <w:szCs w:val="24"/>
        </w:rPr>
      </w:pPr>
      <w:bookmarkStart w:id="17" w:name="_Toc182309606"/>
      <w:r>
        <w:rPr>
          <w:rFonts w:ascii="Arial" w:eastAsia="Arial" w:hAnsi="Arial" w:cs="Arial"/>
          <w:smallCaps w:val="0"/>
          <w:sz w:val="24"/>
          <w:szCs w:val="24"/>
        </w:rPr>
        <w:t>Escorting of visitors and guests (including VIPs)</w:t>
      </w:r>
      <w:bookmarkEnd w:id="17"/>
    </w:p>
    <w:p w14:paraId="48466ECB" w14:textId="77777777" w:rsidR="00173773" w:rsidRDefault="00173773" w:rsidP="00173773">
      <w:pPr>
        <w:rPr>
          <w:rFonts w:ascii="Arial" w:eastAsia="Arial" w:hAnsi="Arial" w:cs="Arial"/>
          <w:color w:val="231F20"/>
          <w:sz w:val="22"/>
          <w:szCs w:val="22"/>
        </w:rPr>
      </w:pPr>
    </w:p>
    <w:p w14:paraId="2B371811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There may be, on occasion, a need to ensure that appropriate measures are in place to escort visitors and guests including VIPs. On such occasions, this organisation will follow the recommendations outlined in the </w:t>
      </w:r>
      <w:hyperlink r:id="rId19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Lampard Report (2015)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7BA31AF0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</w:p>
    <w:p w14:paraId="3B4D766E" w14:textId="77777777" w:rsidR="00173773" w:rsidRDefault="00173773" w:rsidP="0017377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media interest is likely, the Practice Manager is to inform the local ICB, requesting that the communication team provides guidance and/or support where necessary.</w:t>
      </w:r>
    </w:p>
    <w:p w14:paraId="22931C40" w14:textId="77777777" w:rsidR="008278E7" w:rsidRPr="008278E7" w:rsidRDefault="008278E7" w:rsidP="008278E7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7CF4673" w14:textId="77777777" w:rsidR="008278E7" w:rsidRPr="008278E7" w:rsidRDefault="008278E7">
      <w:pPr>
        <w:rPr>
          <w:color w:val="0563C1"/>
          <w:u w:val="single"/>
        </w:rPr>
      </w:pPr>
    </w:p>
    <w:sectPr w:rsidR="008278E7" w:rsidRPr="008278E7" w:rsidSect="00D131DA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F00A" w14:textId="77777777" w:rsidR="00BF3D6B" w:rsidRDefault="00BF3D6B">
      <w:r>
        <w:separator/>
      </w:r>
    </w:p>
  </w:endnote>
  <w:endnote w:type="continuationSeparator" w:id="0">
    <w:p w14:paraId="68ECB789" w14:textId="77777777" w:rsidR="00BF3D6B" w:rsidRDefault="00BF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4F08" w14:textId="77777777" w:rsidR="00A223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6C1CFA2" w14:textId="77777777" w:rsidR="00A223F5" w:rsidRDefault="00A223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CDA8" w14:textId="77777777" w:rsidR="00A223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4668">
      <w:rPr>
        <w:noProof/>
        <w:color w:val="000000"/>
      </w:rPr>
      <w:t>1</w:t>
    </w:r>
    <w:r>
      <w:rPr>
        <w:color w:val="000000"/>
      </w:rPr>
      <w:fldChar w:fldCharType="end"/>
    </w:r>
  </w:p>
  <w:p w14:paraId="5F629D51" w14:textId="0A6DE115" w:rsidR="00A223F5" w:rsidRDefault="00FA7CB1" w:rsidP="00FA7C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460A098" wp14:editId="12BE60CD">
          <wp:extent cx="1917290" cy="374447"/>
          <wp:effectExtent l="0" t="0" r="635" b="0"/>
          <wp:docPr id="188055336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525909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705" cy="398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7B2" w14:textId="011B4DBD" w:rsidR="00FA7CB1" w:rsidRDefault="00DB2183" w:rsidP="00A52744">
    <w:pPr>
      <w:pStyle w:val="Footer"/>
      <w:tabs>
        <w:tab w:val="clear" w:pos="4513"/>
        <w:tab w:val="center" w:pos="4536"/>
      </w:tabs>
      <w:jc w:val="center"/>
    </w:pPr>
    <w:r>
      <w:rPr>
        <w:noProof/>
      </w:rPr>
      <w:drawing>
        <wp:inline distT="0" distB="0" distL="0" distR="0" wp14:anchorId="0F81EA4F" wp14:editId="41019528">
          <wp:extent cx="1917290" cy="298133"/>
          <wp:effectExtent l="0" t="0" r="635" b="0"/>
          <wp:docPr id="1518062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65099" name="Picture 101465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288" cy="32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0F16" w14:textId="77777777" w:rsidR="00BF3D6B" w:rsidRDefault="00BF3D6B">
      <w:r>
        <w:separator/>
      </w:r>
    </w:p>
  </w:footnote>
  <w:footnote w:type="continuationSeparator" w:id="0">
    <w:p w14:paraId="45E32C0E" w14:textId="77777777" w:rsidR="00BF3D6B" w:rsidRDefault="00BF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46A6" w14:textId="77777777" w:rsidR="00E72ACF" w:rsidRDefault="00E72ACF" w:rsidP="00E72A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D009" w14:textId="77777777" w:rsidR="0040580D" w:rsidRPr="00ED4A04" w:rsidRDefault="0040580D" w:rsidP="0040580D">
    <w:pPr>
      <w:jc w:val="center"/>
      <w:rPr>
        <w:rFonts w:ascii="Trebuchet MS" w:eastAsia="Times New Roman" w:hAnsi="Trebuchet MS" w:cs="Arial"/>
        <w:b/>
      </w:rPr>
    </w:pPr>
    <w:r w:rsidRPr="00ED4A04">
      <w:rPr>
        <w:rFonts w:ascii="Trebuchet MS" w:eastAsia="Times New Roman" w:hAnsi="Trebuchet MS" w:cs="Arial"/>
        <w:b/>
      </w:rPr>
      <w:t>THE ELMS MEDICAL PRACTICE</w:t>
    </w:r>
  </w:p>
  <w:p w14:paraId="3587D23F" w14:textId="77777777" w:rsidR="0040580D" w:rsidRPr="00ED4A04" w:rsidRDefault="0040580D" w:rsidP="0040580D">
    <w:pPr>
      <w:jc w:val="center"/>
      <w:rPr>
        <w:rFonts w:ascii="Trebuchet MS" w:eastAsia="Times New Roman" w:hAnsi="Trebuchet MS" w:cs="Arial"/>
        <w:bCs/>
        <w:sz w:val="20"/>
        <w:szCs w:val="20"/>
      </w:rPr>
    </w:pPr>
    <w:r w:rsidRPr="00ED4A04">
      <w:rPr>
        <w:rFonts w:ascii="Trebuchet MS" w:eastAsia="Times New Roman" w:hAnsi="Trebuchet MS" w:cs="Arial"/>
        <w:bCs/>
        <w:sz w:val="20"/>
        <w:szCs w:val="20"/>
      </w:rPr>
      <w:t xml:space="preserve">16 Derby Street, Ormskirk, L39 2BY     Tel: 01695 </w:t>
    </w:r>
    <w:r>
      <w:rPr>
        <w:rFonts w:ascii="Trebuchet MS" w:eastAsia="Times New Roman" w:hAnsi="Trebuchet MS" w:cs="Arial"/>
        <w:bCs/>
        <w:sz w:val="20"/>
        <w:szCs w:val="20"/>
      </w:rPr>
      <w:t>317280</w:t>
    </w:r>
  </w:p>
  <w:p w14:paraId="369980B9" w14:textId="77777777" w:rsidR="0040580D" w:rsidRPr="00ED4A04" w:rsidRDefault="0040580D" w:rsidP="0040580D">
    <w:pPr>
      <w:jc w:val="center"/>
      <w:rPr>
        <w:rFonts w:ascii="Trebuchet MS" w:eastAsia="Times New Roman" w:hAnsi="Trebuchet MS" w:cs="Arial"/>
        <w:bCs/>
      </w:rPr>
    </w:pPr>
  </w:p>
  <w:p w14:paraId="39EBF7C6" w14:textId="77777777" w:rsidR="0040580D" w:rsidRPr="00ED4A04" w:rsidRDefault="0040580D" w:rsidP="0040580D">
    <w:pPr>
      <w:tabs>
        <w:tab w:val="left" w:pos="7290"/>
      </w:tabs>
      <w:jc w:val="center"/>
      <w:rPr>
        <w:rFonts w:ascii="Trebuchet MS" w:eastAsia="Times New Roman" w:hAnsi="Trebuchet MS" w:cs="Arial"/>
        <w:bCs/>
        <w:i/>
        <w:iCs/>
        <w:sz w:val="20"/>
        <w:szCs w:val="20"/>
      </w:rPr>
    </w:pPr>
    <w:r w:rsidRPr="00ED4A04">
      <w:rPr>
        <w:rFonts w:ascii="Trebuchet MS" w:eastAsia="Times New Roman" w:hAnsi="Trebuchet MS" w:cs="Arial"/>
        <w:bCs/>
        <w:i/>
        <w:iCs/>
        <w:sz w:val="20"/>
        <w:szCs w:val="20"/>
      </w:rPr>
      <w:t>Dr A. Krishnamurthy. MBBS MRCGP &amp; Dr G. Duddukuri. MBBS MRCGP</w:t>
    </w:r>
  </w:p>
  <w:p w14:paraId="2C8D341B" w14:textId="77777777" w:rsidR="0040580D" w:rsidRPr="00ED4A04" w:rsidRDefault="0040580D" w:rsidP="0040580D">
    <w:pPr>
      <w:tabs>
        <w:tab w:val="left" w:pos="7290"/>
      </w:tabs>
      <w:jc w:val="center"/>
      <w:rPr>
        <w:rFonts w:ascii="Trebuchet MS" w:eastAsia="Times New Roman" w:hAnsi="Trebuchet MS" w:cs="Arial"/>
        <w:bCs/>
        <w:i/>
        <w:iCs/>
        <w:sz w:val="20"/>
        <w:szCs w:val="20"/>
      </w:rPr>
    </w:pPr>
    <w:r w:rsidRPr="00ED4A04">
      <w:rPr>
        <w:rFonts w:ascii="Trebuchet MS" w:eastAsia="Times New Roman" w:hAnsi="Trebuchet MS" w:cs="Arial"/>
        <w:bCs/>
        <w:i/>
        <w:iCs/>
        <w:sz w:val="20"/>
        <w:szCs w:val="20"/>
      </w:rPr>
      <w:t>&amp; Sister Paula Tynan</w:t>
    </w:r>
  </w:p>
  <w:p w14:paraId="4014CD18" w14:textId="77777777" w:rsidR="0040580D" w:rsidRDefault="0040580D" w:rsidP="0040580D">
    <w:pPr>
      <w:pStyle w:val="Header"/>
    </w:pP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</w:r>
    <w:r w:rsidRPr="00ED4A04">
      <w:rPr>
        <w:rFonts w:ascii="Trebuchet MS" w:eastAsia="Times New Roman" w:hAnsi="Trebuchet MS" w:cs="Arial"/>
        <w:bCs/>
        <w:sz w:val="20"/>
        <w:szCs w:val="20"/>
      </w:rPr>
      <w:softHyphen/>
      <w:t>_____________________________________________________________________________</w:t>
    </w:r>
  </w:p>
  <w:p w14:paraId="628519F6" w14:textId="4306B7C9" w:rsidR="003E285A" w:rsidRDefault="003E285A">
    <w:pPr>
      <w:pStyle w:val="Header"/>
    </w:pPr>
  </w:p>
  <w:p w14:paraId="7DD1299F" w14:textId="4F06B5DD" w:rsidR="005E45BE" w:rsidRDefault="005E45BE" w:rsidP="00FA7C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1F4"/>
    <w:multiLevelType w:val="multilevel"/>
    <w:tmpl w:val="4606C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F074EA"/>
    <w:multiLevelType w:val="multilevel"/>
    <w:tmpl w:val="2C9A9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1528C"/>
    <w:multiLevelType w:val="multilevel"/>
    <w:tmpl w:val="0CBE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47595E"/>
    <w:multiLevelType w:val="hybridMultilevel"/>
    <w:tmpl w:val="CF20B6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72CC2"/>
    <w:multiLevelType w:val="multilevel"/>
    <w:tmpl w:val="7ACE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0EC"/>
    <w:multiLevelType w:val="multilevel"/>
    <w:tmpl w:val="593CE7AC"/>
    <w:lvl w:ilvl="0">
      <w:start w:val="1"/>
      <w:numFmt w:val="decimal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CC62C1"/>
    <w:multiLevelType w:val="multilevel"/>
    <w:tmpl w:val="C76E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92612"/>
    <w:multiLevelType w:val="multilevel"/>
    <w:tmpl w:val="57665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540E8D"/>
    <w:multiLevelType w:val="multilevel"/>
    <w:tmpl w:val="C8B4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514A3"/>
    <w:multiLevelType w:val="multilevel"/>
    <w:tmpl w:val="B67645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640260"/>
    <w:multiLevelType w:val="multilevel"/>
    <w:tmpl w:val="8EC807CE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3D3080"/>
    <w:multiLevelType w:val="multilevel"/>
    <w:tmpl w:val="593CE7AC"/>
    <w:lvl w:ilvl="0">
      <w:start w:val="1"/>
      <w:numFmt w:val="decimal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F61D46"/>
    <w:multiLevelType w:val="multilevel"/>
    <w:tmpl w:val="593CE7AC"/>
    <w:lvl w:ilvl="0">
      <w:start w:val="1"/>
      <w:numFmt w:val="decimal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3F6C67"/>
    <w:multiLevelType w:val="multilevel"/>
    <w:tmpl w:val="F07EB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75BD7"/>
    <w:multiLevelType w:val="hybridMultilevel"/>
    <w:tmpl w:val="43FEEC92"/>
    <w:lvl w:ilvl="0" w:tplc="641E341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086B1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8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66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0E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A6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A2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A06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81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15715"/>
    <w:multiLevelType w:val="multilevel"/>
    <w:tmpl w:val="0382CA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CA72B90"/>
    <w:multiLevelType w:val="multilevel"/>
    <w:tmpl w:val="C76E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570D0C"/>
    <w:multiLevelType w:val="multilevel"/>
    <w:tmpl w:val="593CE7AC"/>
    <w:lvl w:ilvl="0">
      <w:start w:val="1"/>
      <w:numFmt w:val="decimal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AEC3D6B"/>
    <w:multiLevelType w:val="multilevel"/>
    <w:tmpl w:val="E38E7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E90833"/>
    <w:multiLevelType w:val="multilevel"/>
    <w:tmpl w:val="6E461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B26AE5"/>
    <w:multiLevelType w:val="hybridMultilevel"/>
    <w:tmpl w:val="42CE3C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C54C7"/>
    <w:multiLevelType w:val="hybridMultilevel"/>
    <w:tmpl w:val="1CC61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90D2C"/>
    <w:multiLevelType w:val="multilevel"/>
    <w:tmpl w:val="10EED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752E8E"/>
    <w:multiLevelType w:val="multilevel"/>
    <w:tmpl w:val="61B24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00710">
    <w:abstractNumId w:val="17"/>
  </w:num>
  <w:num w:numId="2" w16cid:durableId="1293096492">
    <w:abstractNumId w:val="22"/>
  </w:num>
  <w:num w:numId="3" w16cid:durableId="74210472">
    <w:abstractNumId w:val="1"/>
  </w:num>
  <w:num w:numId="4" w16cid:durableId="318534970">
    <w:abstractNumId w:val="19"/>
  </w:num>
  <w:num w:numId="5" w16cid:durableId="120419998">
    <w:abstractNumId w:val="15"/>
  </w:num>
  <w:num w:numId="6" w16cid:durableId="1504709498">
    <w:abstractNumId w:val="9"/>
  </w:num>
  <w:num w:numId="7" w16cid:durableId="1506743011">
    <w:abstractNumId w:val="7"/>
  </w:num>
  <w:num w:numId="8" w16cid:durableId="1743869543">
    <w:abstractNumId w:val="23"/>
  </w:num>
  <w:num w:numId="9" w16cid:durableId="1200821224">
    <w:abstractNumId w:val="5"/>
  </w:num>
  <w:num w:numId="10" w16cid:durableId="1101561453">
    <w:abstractNumId w:val="12"/>
  </w:num>
  <w:num w:numId="11" w16cid:durableId="1838422171">
    <w:abstractNumId w:val="11"/>
  </w:num>
  <w:num w:numId="12" w16cid:durableId="1221550188">
    <w:abstractNumId w:val="13"/>
  </w:num>
  <w:num w:numId="13" w16cid:durableId="1640300860">
    <w:abstractNumId w:val="10"/>
  </w:num>
  <w:num w:numId="14" w16cid:durableId="1516070893">
    <w:abstractNumId w:val="18"/>
  </w:num>
  <w:num w:numId="15" w16cid:durableId="849952818">
    <w:abstractNumId w:val="2"/>
  </w:num>
  <w:num w:numId="16" w16cid:durableId="1737312985">
    <w:abstractNumId w:val="0"/>
  </w:num>
  <w:num w:numId="17" w16cid:durableId="278538581">
    <w:abstractNumId w:val="4"/>
    <w:lvlOverride w:ilvl="0">
      <w:lvl w:ilvl="0">
        <w:numFmt w:val="lowerLetter"/>
        <w:lvlText w:val="%1."/>
        <w:lvlJc w:val="left"/>
      </w:lvl>
    </w:lvlOverride>
  </w:num>
  <w:num w:numId="18" w16cid:durableId="482235024">
    <w:abstractNumId w:val="4"/>
    <w:lvlOverride w:ilvl="0">
      <w:lvl w:ilvl="0">
        <w:numFmt w:val="lowerLetter"/>
        <w:lvlText w:val="%1."/>
        <w:lvlJc w:val="left"/>
      </w:lvl>
    </w:lvlOverride>
  </w:num>
  <w:num w:numId="19" w16cid:durableId="398284155">
    <w:abstractNumId w:val="16"/>
    <w:lvlOverride w:ilvl="0">
      <w:lvl w:ilvl="0">
        <w:numFmt w:val="lowerLetter"/>
        <w:lvlText w:val="%1."/>
        <w:lvlJc w:val="left"/>
      </w:lvl>
    </w:lvlOverride>
  </w:num>
  <w:num w:numId="20" w16cid:durableId="545995094">
    <w:abstractNumId w:val="16"/>
    <w:lvlOverride w:ilvl="0">
      <w:lvl w:ilvl="0">
        <w:numFmt w:val="lowerLetter"/>
        <w:lvlText w:val="%1."/>
        <w:lvlJc w:val="left"/>
      </w:lvl>
    </w:lvlOverride>
  </w:num>
  <w:num w:numId="21" w16cid:durableId="1083649275">
    <w:abstractNumId w:val="6"/>
  </w:num>
  <w:num w:numId="22" w16cid:durableId="1909071367">
    <w:abstractNumId w:val="20"/>
  </w:num>
  <w:num w:numId="23" w16cid:durableId="192496070">
    <w:abstractNumId w:val="8"/>
    <w:lvlOverride w:ilvl="0">
      <w:lvl w:ilvl="0">
        <w:numFmt w:val="lowerLetter"/>
        <w:lvlText w:val="%1."/>
        <w:lvlJc w:val="left"/>
      </w:lvl>
    </w:lvlOverride>
  </w:num>
  <w:num w:numId="24" w16cid:durableId="1993559416">
    <w:abstractNumId w:val="14"/>
  </w:num>
  <w:num w:numId="25" w16cid:durableId="989097860">
    <w:abstractNumId w:val="3"/>
  </w:num>
  <w:num w:numId="26" w16cid:durableId="2108576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F5"/>
    <w:rsid w:val="00031F3D"/>
    <w:rsid w:val="000F2C14"/>
    <w:rsid w:val="00110824"/>
    <w:rsid w:val="00112D34"/>
    <w:rsid w:val="00152065"/>
    <w:rsid w:val="00173773"/>
    <w:rsid w:val="0020096D"/>
    <w:rsid w:val="00225BB9"/>
    <w:rsid w:val="002741A3"/>
    <w:rsid w:val="002C5DEF"/>
    <w:rsid w:val="003C60DA"/>
    <w:rsid w:val="003E285A"/>
    <w:rsid w:val="0040580D"/>
    <w:rsid w:val="00406B27"/>
    <w:rsid w:val="00476D17"/>
    <w:rsid w:val="00483448"/>
    <w:rsid w:val="00483D40"/>
    <w:rsid w:val="004E1FA4"/>
    <w:rsid w:val="004E68EF"/>
    <w:rsid w:val="00541E60"/>
    <w:rsid w:val="00542D6D"/>
    <w:rsid w:val="005A1E26"/>
    <w:rsid w:val="005A7804"/>
    <w:rsid w:val="005C5A95"/>
    <w:rsid w:val="005D645A"/>
    <w:rsid w:val="005E45BE"/>
    <w:rsid w:val="00680E7F"/>
    <w:rsid w:val="006C4668"/>
    <w:rsid w:val="006F3C7D"/>
    <w:rsid w:val="0073097D"/>
    <w:rsid w:val="00755883"/>
    <w:rsid w:val="00784A6B"/>
    <w:rsid w:val="007D4F76"/>
    <w:rsid w:val="007F5AF0"/>
    <w:rsid w:val="008278E7"/>
    <w:rsid w:val="0083293B"/>
    <w:rsid w:val="008345F9"/>
    <w:rsid w:val="00841D3C"/>
    <w:rsid w:val="008520B6"/>
    <w:rsid w:val="008976FB"/>
    <w:rsid w:val="00903941"/>
    <w:rsid w:val="00907A8C"/>
    <w:rsid w:val="00976458"/>
    <w:rsid w:val="009F2959"/>
    <w:rsid w:val="00A0244F"/>
    <w:rsid w:val="00A177A4"/>
    <w:rsid w:val="00A223F5"/>
    <w:rsid w:val="00A52744"/>
    <w:rsid w:val="00A53A2E"/>
    <w:rsid w:val="00AA4641"/>
    <w:rsid w:val="00AC2B2C"/>
    <w:rsid w:val="00AF5599"/>
    <w:rsid w:val="00B74320"/>
    <w:rsid w:val="00B8659A"/>
    <w:rsid w:val="00B9310A"/>
    <w:rsid w:val="00BF3D6B"/>
    <w:rsid w:val="00C16523"/>
    <w:rsid w:val="00C24CC0"/>
    <w:rsid w:val="00CA2C9B"/>
    <w:rsid w:val="00CA4F4E"/>
    <w:rsid w:val="00D027EC"/>
    <w:rsid w:val="00D131DA"/>
    <w:rsid w:val="00D25FA5"/>
    <w:rsid w:val="00D303C1"/>
    <w:rsid w:val="00DB2183"/>
    <w:rsid w:val="00DC40BE"/>
    <w:rsid w:val="00E41DE7"/>
    <w:rsid w:val="00E72ACF"/>
    <w:rsid w:val="00E9573C"/>
    <w:rsid w:val="00F45B4F"/>
    <w:rsid w:val="00F77352"/>
    <w:rsid w:val="00FA7CB1"/>
    <w:rsid w:val="00FD5F35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0CD9"/>
  <w15:docId w15:val="{92E37A65-6534-7B45-92DC-E82569E1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5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1E"/>
    <w:pPr>
      <w:keepNext/>
      <w:keepLines/>
      <w:numPr>
        <w:ilvl w:val="2"/>
        <w:numId w:val="5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1E"/>
    <w:pPr>
      <w:keepNext/>
      <w:keepLines/>
      <w:numPr>
        <w:ilvl w:val="3"/>
        <w:numId w:val="5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1E"/>
    <w:pPr>
      <w:keepNext/>
      <w:keepLines/>
      <w:numPr>
        <w:ilvl w:val="4"/>
        <w:numId w:val="5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1E"/>
    <w:pPr>
      <w:keepNext/>
      <w:keepLines/>
      <w:numPr>
        <w:ilvl w:val="5"/>
        <w:numId w:val="5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5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5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5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8976FB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41D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mc-uk.org/professional-standards/professional-standards-for-doctors/decision-making-and-consent" TargetMode="External"/><Relationship Id="rId18" Type="http://schemas.openxmlformats.org/officeDocument/2006/relationships/hyperlink" Target="https://www.cqc.org.uk/guidance-providers/gps/gp-mythbusters/gp-mythbuster-15-chaperones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professional-standards/professional-standards-for-doctors/intimate-examinations-and-chaperones/intimate-examinations-and-chaperones" TargetMode="External"/><Relationship Id="rId17" Type="http://schemas.openxmlformats.org/officeDocument/2006/relationships/hyperlink" Target="https://www.cqc.org.uk/guidance-providers/gps/gp-mythbusters/gp-mythbuster-15-chaperon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guidance-providers/gps/gp-mythbusters/gp-mythbuster-15-chaperon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qc.org.uk/guidance-providers/gps/gp-mythbusters/gp-mythbuster-15-chaperones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legislation.gov.uk/ukpga/2010/15/contents" TargetMode="External"/><Relationship Id="rId19" Type="http://schemas.openxmlformats.org/officeDocument/2006/relationships/hyperlink" Target="https://assets.publishing.service.gov.uk/government/uploads/system/uploads/attachment_data/file/407209/KL_lessons_learned_report_FINAL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qc.org.uk/guidance-providers/gps/gp-mythbusters/gp-mythbuster-15-chaperones" TargetMode="External"/><Relationship Id="rId14" Type="http://schemas.openxmlformats.org/officeDocument/2006/relationships/hyperlink" Target="https://www.cqc.org.uk/guidance-providers/gps/gp-mythbusters/gp-mythbuster-15-chaperones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jgJnYiIY9hfdrW28+d05nDUAjw==">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</go:docsCustomData>
</go:gDocsCustomXmlDataStorage>
</file>

<file path=customXml/itemProps1.xml><?xml version="1.0" encoding="utf-8"?>
<ds:datastoreItem xmlns:ds="http://schemas.openxmlformats.org/officeDocument/2006/customXml" ds:itemID="{5A5FEDCB-63F8-4884-A9A7-C6F934C7C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9069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 ©</dc:description>
  <cp:lastModifiedBy>WILLIAMS, Aimee (THE ELMS PRACTICE - P81045)</cp:lastModifiedBy>
  <cp:revision>3</cp:revision>
  <dcterms:created xsi:type="dcterms:W3CDTF">2025-01-02T11:23:00Z</dcterms:created>
  <dcterms:modified xsi:type="dcterms:W3CDTF">2025-03-12T09:46:00Z</dcterms:modified>
  <cp:category/>
</cp:coreProperties>
</file>