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74532" w14:textId="0FDBFA4D" w:rsidR="000A3125" w:rsidRDefault="000A3125" w:rsidP="000A3125">
      <w:pPr>
        <w:rPr>
          <w:rFonts w:asciiTheme="majorHAnsi" w:hAnsiTheme="majorHAnsi" w:cstheme="majorHAnsi"/>
          <w:color w:val="0070C0"/>
        </w:rPr>
      </w:pPr>
      <w:r>
        <w:rPr>
          <w:noProof/>
          <w:lang w:eastAsia="en-GB"/>
        </w:rPr>
        <w:drawing>
          <wp:inline distT="0" distB="0" distL="0" distR="0" wp14:anchorId="50A2610A" wp14:editId="00719E6B">
            <wp:extent cx="2286000" cy="10691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KA Main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92032" cy="1072003"/>
                    </a:xfrm>
                    <a:prstGeom prst="rect">
                      <a:avLst/>
                    </a:prstGeom>
                  </pic:spPr>
                </pic:pic>
              </a:graphicData>
            </a:graphic>
          </wp:inline>
        </w:drawing>
      </w:r>
    </w:p>
    <w:p w14:paraId="313638FA" w14:textId="77777777" w:rsidR="000A3125" w:rsidRPr="00DC2C59" w:rsidRDefault="000A3125" w:rsidP="000A3125">
      <w:pPr>
        <w:rPr>
          <w:rFonts w:asciiTheme="majorHAnsi" w:hAnsiTheme="majorHAnsi" w:cstheme="majorHAnsi"/>
          <w:color w:val="0070C0"/>
        </w:rPr>
      </w:pPr>
      <w:r w:rsidRPr="00DC2C59">
        <w:rPr>
          <w:rFonts w:asciiTheme="majorHAnsi" w:hAnsiTheme="majorHAnsi" w:cstheme="majorHAnsi"/>
          <w:color w:val="0070C0"/>
        </w:rPr>
        <w:t xml:space="preserve">Getting the most from your Sodium Glucose Co-transporter-2 Inhibitors (SGLT2i) </w:t>
      </w:r>
    </w:p>
    <w:p w14:paraId="638297BE" w14:textId="77777777" w:rsidR="000A3125" w:rsidRPr="00DC2C59" w:rsidRDefault="000A3125" w:rsidP="000A3125">
      <w:pPr>
        <w:rPr>
          <w:rFonts w:asciiTheme="majorHAnsi" w:hAnsiTheme="majorHAnsi" w:cstheme="majorHAnsi"/>
          <w:color w:val="0070C0"/>
        </w:rPr>
      </w:pPr>
    </w:p>
    <w:p w14:paraId="24043EA6" w14:textId="77777777" w:rsidR="000A3125" w:rsidRPr="000A3125" w:rsidRDefault="000A3125" w:rsidP="000A3125">
      <w:pPr>
        <w:rPr>
          <w:rFonts w:asciiTheme="majorHAnsi" w:hAnsiTheme="majorHAnsi" w:cstheme="majorHAnsi"/>
          <w:b/>
          <w:bCs/>
        </w:rPr>
      </w:pPr>
      <w:r w:rsidRPr="000A3125">
        <w:rPr>
          <w:rFonts w:asciiTheme="majorHAnsi" w:hAnsiTheme="majorHAnsi" w:cstheme="majorHAnsi"/>
          <w:b/>
          <w:bCs/>
          <w:color w:val="00B050"/>
        </w:rPr>
        <w:t xml:space="preserve">What are SGLT2 Inhibitors? </w:t>
      </w:r>
    </w:p>
    <w:p w14:paraId="51E42BFD" w14:textId="77777777" w:rsidR="000A3125" w:rsidRPr="00DC2C59" w:rsidRDefault="000A3125" w:rsidP="000A3125">
      <w:pPr>
        <w:rPr>
          <w:rFonts w:asciiTheme="majorHAnsi" w:hAnsiTheme="majorHAnsi" w:cstheme="majorHAnsi"/>
        </w:rPr>
      </w:pPr>
      <w:r w:rsidRPr="00DC2C59">
        <w:rPr>
          <w:rFonts w:asciiTheme="majorHAnsi" w:hAnsiTheme="majorHAnsi" w:cstheme="majorHAnsi"/>
        </w:rPr>
        <w:t>You are being treated with one of the SGLT2 inhibitors medicines, sometimes known as ‘gliflozins’ or ‘</w:t>
      </w:r>
      <w:proofErr w:type="spellStart"/>
      <w:r w:rsidRPr="00DC2C59">
        <w:rPr>
          <w:rFonts w:asciiTheme="majorHAnsi" w:hAnsiTheme="majorHAnsi" w:cstheme="majorHAnsi"/>
        </w:rPr>
        <w:t>flozins</w:t>
      </w:r>
      <w:proofErr w:type="spellEnd"/>
      <w:r w:rsidRPr="00DC2C59">
        <w:rPr>
          <w:rFonts w:asciiTheme="majorHAnsi" w:hAnsiTheme="majorHAnsi" w:cstheme="majorHAnsi"/>
        </w:rPr>
        <w:t>’. These include: canagliflozin (Invokana®), dapagliflozin (</w:t>
      </w:r>
      <w:proofErr w:type="spellStart"/>
      <w:r w:rsidRPr="00DC2C59">
        <w:rPr>
          <w:rFonts w:asciiTheme="majorHAnsi" w:hAnsiTheme="majorHAnsi" w:cstheme="majorHAnsi"/>
        </w:rPr>
        <w:t>Forxiga</w:t>
      </w:r>
      <w:proofErr w:type="spellEnd"/>
      <w:r w:rsidRPr="00DC2C59">
        <w:rPr>
          <w:rFonts w:asciiTheme="majorHAnsi" w:hAnsiTheme="majorHAnsi" w:cstheme="majorHAnsi"/>
        </w:rPr>
        <w:t xml:space="preserve">®), </w:t>
      </w:r>
      <w:proofErr w:type="spellStart"/>
      <w:r w:rsidRPr="00DC2C59">
        <w:rPr>
          <w:rFonts w:asciiTheme="majorHAnsi" w:hAnsiTheme="majorHAnsi" w:cstheme="majorHAnsi"/>
        </w:rPr>
        <w:t>empaglaflozin</w:t>
      </w:r>
      <w:proofErr w:type="spellEnd"/>
      <w:r w:rsidRPr="00DC2C59">
        <w:rPr>
          <w:rFonts w:asciiTheme="majorHAnsi" w:hAnsiTheme="majorHAnsi" w:cstheme="majorHAnsi"/>
        </w:rPr>
        <w:t xml:space="preserve"> (Jardiance®) and </w:t>
      </w:r>
      <w:proofErr w:type="spellStart"/>
      <w:r w:rsidRPr="00DC2C59">
        <w:rPr>
          <w:rFonts w:asciiTheme="majorHAnsi" w:hAnsiTheme="majorHAnsi" w:cstheme="majorHAnsi"/>
        </w:rPr>
        <w:t>ertugiflozin</w:t>
      </w:r>
      <w:proofErr w:type="spellEnd"/>
      <w:r w:rsidRPr="00DC2C59">
        <w:rPr>
          <w:rFonts w:asciiTheme="majorHAnsi" w:hAnsiTheme="majorHAnsi" w:cstheme="majorHAnsi"/>
        </w:rPr>
        <w:t xml:space="preserve"> (</w:t>
      </w:r>
      <w:proofErr w:type="spellStart"/>
      <w:r w:rsidRPr="00DC2C59">
        <w:rPr>
          <w:rFonts w:asciiTheme="majorHAnsi" w:hAnsiTheme="majorHAnsi" w:cstheme="majorHAnsi"/>
        </w:rPr>
        <w:t>Steglatro</w:t>
      </w:r>
      <w:proofErr w:type="spellEnd"/>
      <w:r w:rsidRPr="00DC2C59">
        <w:rPr>
          <w:rFonts w:asciiTheme="majorHAnsi" w:hAnsiTheme="majorHAnsi" w:cstheme="majorHAnsi"/>
        </w:rPr>
        <w:t xml:space="preserve">®). </w:t>
      </w:r>
    </w:p>
    <w:p w14:paraId="39785FE7" w14:textId="77777777" w:rsidR="000A3125" w:rsidRPr="00DC2C59" w:rsidRDefault="000A3125" w:rsidP="000A3125">
      <w:pPr>
        <w:rPr>
          <w:rFonts w:asciiTheme="majorHAnsi" w:hAnsiTheme="majorHAnsi" w:cstheme="majorHAnsi"/>
        </w:rPr>
      </w:pPr>
      <w:r w:rsidRPr="00DC2C59">
        <w:rPr>
          <w:rFonts w:asciiTheme="majorHAnsi" w:hAnsiTheme="majorHAnsi" w:cstheme="majorHAnsi"/>
        </w:rPr>
        <w:t xml:space="preserve">These medicines were initially developed to treat people with diabetes as they lower blood glucose by increasing the amount of glucose in the urine. They have added benefits that include protecting the kidneys and heart, slowing the decline in kidney function and reducing the risk of heart failure and heart attacks in individuals at most risk. These kidney and heart benefits apply to all individuals, not just those with diabetes. </w:t>
      </w:r>
    </w:p>
    <w:p w14:paraId="650E1DC7" w14:textId="0DD761CF" w:rsidR="000A3125" w:rsidRDefault="000A3125" w:rsidP="000A3125">
      <w:pPr>
        <w:rPr>
          <w:rFonts w:asciiTheme="majorHAnsi" w:hAnsiTheme="majorHAnsi" w:cstheme="majorHAnsi"/>
        </w:rPr>
      </w:pPr>
      <w:r w:rsidRPr="00DC2C59">
        <w:rPr>
          <w:rFonts w:asciiTheme="majorHAnsi" w:hAnsiTheme="majorHAnsi" w:cstheme="majorHAnsi"/>
        </w:rPr>
        <w:t>Good genital hygiene is important when taking these medications to reduce the risks of unwanted side effects.</w:t>
      </w:r>
    </w:p>
    <w:p w14:paraId="1AD008A3" w14:textId="77777777" w:rsidR="000A3125" w:rsidRPr="00DC2C59" w:rsidRDefault="000A3125" w:rsidP="000A3125">
      <w:pPr>
        <w:rPr>
          <w:rFonts w:asciiTheme="majorHAnsi" w:hAnsiTheme="majorHAnsi" w:cstheme="majorHAnsi"/>
        </w:rPr>
      </w:pPr>
    </w:p>
    <w:p w14:paraId="699941A5" w14:textId="77777777" w:rsidR="000A3125" w:rsidRPr="000A3125" w:rsidRDefault="000A3125" w:rsidP="000A3125">
      <w:pPr>
        <w:rPr>
          <w:rFonts w:asciiTheme="majorHAnsi" w:hAnsiTheme="majorHAnsi" w:cstheme="majorHAnsi"/>
          <w:b/>
          <w:bCs/>
          <w:color w:val="00B050"/>
        </w:rPr>
      </w:pPr>
      <w:r w:rsidRPr="000A3125">
        <w:rPr>
          <w:rFonts w:asciiTheme="majorHAnsi" w:hAnsiTheme="majorHAnsi" w:cstheme="majorHAnsi"/>
          <w:b/>
          <w:bCs/>
          <w:color w:val="00B050"/>
        </w:rPr>
        <w:t xml:space="preserve">Side effects of SGLT2 Inhibitors </w:t>
      </w:r>
    </w:p>
    <w:p w14:paraId="3778356D" w14:textId="77777777" w:rsidR="000A3125" w:rsidRPr="00DC2C59" w:rsidRDefault="000A3125" w:rsidP="000A3125">
      <w:pPr>
        <w:rPr>
          <w:rFonts w:asciiTheme="majorHAnsi" w:hAnsiTheme="majorHAnsi" w:cstheme="majorHAnsi"/>
          <w:i/>
          <w:iCs/>
        </w:rPr>
      </w:pPr>
      <w:r w:rsidRPr="00DC2C59">
        <w:rPr>
          <w:rFonts w:asciiTheme="majorHAnsi" w:hAnsiTheme="majorHAnsi" w:cstheme="majorHAnsi"/>
          <w:i/>
          <w:iCs/>
        </w:rPr>
        <w:t xml:space="preserve">Common: </w:t>
      </w:r>
    </w:p>
    <w:p w14:paraId="19A67250" w14:textId="77777777" w:rsidR="000A3125" w:rsidRPr="00DC2C59" w:rsidRDefault="000A3125" w:rsidP="000A3125">
      <w:pPr>
        <w:rPr>
          <w:rFonts w:asciiTheme="majorHAnsi" w:hAnsiTheme="majorHAnsi" w:cstheme="majorHAnsi"/>
        </w:rPr>
      </w:pPr>
      <w:r w:rsidRPr="00DC2C59">
        <w:rPr>
          <w:rFonts w:asciiTheme="majorHAnsi" w:hAnsiTheme="majorHAnsi" w:cstheme="majorHAnsi"/>
          <w:b/>
          <w:bCs/>
        </w:rPr>
        <w:sym w:font="Symbol" w:char="F0B7"/>
      </w:r>
      <w:r w:rsidRPr="00DC2C59">
        <w:rPr>
          <w:rFonts w:asciiTheme="majorHAnsi" w:hAnsiTheme="majorHAnsi" w:cstheme="majorHAnsi"/>
          <w:b/>
          <w:bCs/>
        </w:rPr>
        <w:t xml:space="preserve"> Hypoglycaemia (low blood glucose)</w:t>
      </w:r>
      <w:r w:rsidRPr="00DC2C59">
        <w:rPr>
          <w:rFonts w:asciiTheme="majorHAnsi" w:hAnsiTheme="majorHAnsi" w:cstheme="majorHAnsi"/>
        </w:rPr>
        <w:t xml:space="preserve"> – this usually only occurs in people with diabetes if SGLT2 inhibitors are used together with other diabetic medicines and your doctor may, therefore, need to reduce other diabetes medicines. However, never stop insulin all together if you are already on this. Hypoglycaemia is uncommon in people without diabetes </w:t>
      </w:r>
    </w:p>
    <w:p w14:paraId="217C2721" w14:textId="77777777" w:rsidR="000A3125" w:rsidRPr="00DC2C59" w:rsidRDefault="000A3125" w:rsidP="000A3125">
      <w:pPr>
        <w:rPr>
          <w:rFonts w:asciiTheme="majorHAnsi" w:hAnsiTheme="majorHAnsi" w:cstheme="majorHAnsi"/>
        </w:rPr>
      </w:pPr>
      <w:r w:rsidRPr="00DC2C59">
        <w:rPr>
          <w:rFonts w:asciiTheme="majorHAnsi" w:hAnsiTheme="majorHAnsi" w:cstheme="majorHAnsi"/>
          <w:b/>
          <w:bCs/>
        </w:rPr>
        <w:sym w:font="Symbol" w:char="F0B7"/>
      </w:r>
      <w:r w:rsidRPr="00DC2C59">
        <w:rPr>
          <w:rFonts w:asciiTheme="majorHAnsi" w:hAnsiTheme="majorHAnsi" w:cstheme="majorHAnsi"/>
          <w:b/>
          <w:bCs/>
        </w:rPr>
        <w:t xml:space="preserve"> Dehydration –</w:t>
      </w:r>
      <w:r w:rsidRPr="00DC2C59">
        <w:rPr>
          <w:rFonts w:asciiTheme="majorHAnsi" w:hAnsiTheme="majorHAnsi" w:cstheme="majorHAnsi"/>
        </w:rPr>
        <w:t xml:space="preserve"> these medicines increase your urine volume so may cause dehydration. To prevent dehydration, drink fluids when you feel dehydration symptoms and </w:t>
      </w:r>
      <w:proofErr w:type="gramStart"/>
      <w:r w:rsidRPr="00DC2C59">
        <w:rPr>
          <w:rFonts w:asciiTheme="majorHAnsi" w:hAnsiTheme="majorHAnsi" w:cstheme="majorHAnsi"/>
        </w:rPr>
        <w:t>also</w:t>
      </w:r>
      <w:proofErr w:type="gramEnd"/>
      <w:r w:rsidRPr="00DC2C59">
        <w:rPr>
          <w:rFonts w:asciiTheme="majorHAnsi" w:hAnsiTheme="majorHAnsi" w:cstheme="majorHAnsi"/>
        </w:rPr>
        <w:t xml:space="preserve"> so your urine is a pale, clear colour </w:t>
      </w:r>
    </w:p>
    <w:p w14:paraId="32F5DC14" w14:textId="77777777" w:rsidR="000A3125" w:rsidRPr="00DC2C59" w:rsidRDefault="000A3125" w:rsidP="000A3125">
      <w:pPr>
        <w:rPr>
          <w:rFonts w:asciiTheme="majorHAnsi" w:hAnsiTheme="majorHAnsi" w:cstheme="majorHAnsi"/>
        </w:rPr>
      </w:pPr>
      <w:r w:rsidRPr="00DC2C59">
        <w:rPr>
          <w:rFonts w:asciiTheme="majorHAnsi" w:hAnsiTheme="majorHAnsi" w:cstheme="majorHAnsi"/>
          <w:b/>
          <w:bCs/>
        </w:rPr>
        <w:sym w:font="Symbol" w:char="F0B7"/>
      </w:r>
      <w:r w:rsidRPr="00DC2C59">
        <w:rPr>
          <w:rFonts w:asciiTheme="majorHAnsi" w:hAnsiTheme="majorHAnsi" w:cstheme="majorHAnsi"/>
          <w:b/>
          <w:bCs/>
        </w:rPr>
        <w:t xml:space="preserve"> Fungal genital infections</w:t>
      </w:r>
      <w:r w:rsidRPr="00DC2C59">
        <w:rPr>
          <w:rFonts w:asciiTheme="majorHAnsi" w:hAnsiTheme="majorHAnsi" w:cstheme="majorHAnsi"/>
        </w:rPr>
        <w:t xml:space="preserve"> – as the medicines increase the glucose in your urine, there is an increased risk of infection, such as thrush around the vagina and penis. However, this is easily treated and a pharmacist or your GP can give you advice if irritation or itching occurs in these areas. Washing your genital area with warm water using non-perfumed soap and avoiding wearing tight underwear will reduce your risk </w:t>
      </w:r>
    </w:p>
    <w:p w14:paraId="1D08C2DC" w14:textId="77777777" w:rsidR="000A3125" w:rsidRPr="00DC2C59" w:rsidRDefault="000A3125" w:rsidP="000A3125">
      <w:pPr>
        <w:rPr>
          <w:rFonts w:asciiTheme="majorHAnsi" w:hAnsiTheme="majorHAnsi" w:cstheme="majorHAnsi"/>
          <w:i/>
          <w:iCs/>
        </w:rPr>
      </w:pPr>
      <w:r w:rsidRPr="00DC2C59">
        <w:rPr>
          <w:rFonts w:asciiTheme="majorHAnsi" w:hAnsiTheme="majorHAnsi" w:cstheme="majorHAnsi"/>
          <w:i/>
          <w:iCs/>
        </w:rPr>
        <w:t xml:space="preserve">Uncommon: </w:t>
      </w:r>
    </w:p>
    <w:p w14:paraId="7428325B" w14:textId="3BD892FD" w:rsidR="000A3125" w:rsidRPr="00DC2C59" w:rsidRDefault="000A3125" w:rsidP="000A3125">
      <w:pPr>
        <w:rPr>
          <w:rFonts w:asciiTheme="majorHAnsi" w:hAnsiTheme="majorHAnsi" w:cstheme="majorHAnsi"/>
        </w:rPr>
      </w:pPr>
      <w:r w:rsidRPr="00DC2C59">
        <w:rPr>
          <w:rFonts w:asciiTheme="majorHAnsi" w:hAnsiTheme="majorHAnsi" w:cstheme="majorHAnsi"/>
          <w:b/>
          <w:bCs/>
        </w:rPr>
        <w:t>An increase of acid in the blood</w:t>
      </w:r>
      <w:r w:rsidRPr="00DC2C59">
        <w:rPr>
          <w:rFonts w:asciiTheme="majorHAnsi" w:hAnsiTheme="majorHAnsi" w:cstheme="majorHAnsi"/>
        </w:rPr>
        <w:t xml:space="preserve"> – SGLT2 inhibitors may cause certain acids (ketones) to build up in the blood. This is called </w:t>
      </w:r>
      <w:r w:rsidRPr="00DC2C59">
        <w:rPr>
          <w:rFonts w:asciiTheme="majorHAnsi" w:hAnsiTheme="majorHAnsi" w:cstheme="majorHAnsi"/>
          <w:b/>
          <w:bCs/>
        </w:rPr>
        <w:t>diabetic ketoacidosis (DKA)</w:t>
      </w:r>
      <w:r w:rsidRPr="00DC2C59">
        <w:rPr>
          <w:rFonts w:asciiTheme="majorHAnsi" w:hAnsiTheme="majorHAnsi" w:cstheme="majorHAnsi"/>
        </w:rPr>
        <w:t xml:space="preserve">. This is a rare event in people with diabetes and is extremely rare in people treated with SGLT2 inhibitors without diabetes. DKA can happen </w:t>
      </w:r>
      <w:r w:rsidRPr="00DC2C59">
        <w:rPr>
          <w:rFonts w:asciiTheme="majorHAnsi" w:hAnsiTheme="majorHAnsi" w:cstheme="majorHAnsi"/>
          <w:b/>
          <w:bCs/>
        </w:rPr>
        <w:t>even when your blood glucose is normal.</w:t>
      </w:r>
      <w:r w:rsidRPr="00DC2C59">
        <w:rPr>
          <w:rFonts w:asciiTheme="majorHAnsi" w:hAnsiTheme="majorHAnsi" w:cstheme="majorHAnsi"/>
        </w:rPr>
        <w:t xml:space="preserve"> Symptoms include nausea and vomiting, abdominal (stomach) pain, rapid breathing and dehydration e.g. dizziness and thirst. The breath</w:t>
      </w:r>
      <w:r>
        <w:rPr>
          <w:rFonts w:asciiTheme="majorHAnsi" w:hAnsiTheme="majorHAnsi" w:cstheme="majorHAnsi"/>
        </w:rPr>
        <w:t xml:space="preserve"> </w:t>
      </w:r>
      <w:r w:rsidRPr="00DC2C59">
        <w:rPr>
          <w:rFonts w:asciiTheme="majorHAnsi" w:hAnsiTheme="majorHAnsi" w:cstheme="majorHAnsi"/>
        </w:rPr>
        <w:t xml:space="preserve">smells like pear-drops or nail varnish remover. The risk of DKA is increased if you do not eat for long periods, become dehydrated, reduce your insulin dose too quickly, drink too much alcohol or are unwell. </w:t>
      </w:r>
    </w:p>
    <w:p w14:paraId="4520D55A" w14:textId="77777777" w:rsidR="000A3125" w:rsidRPr="00DC2C59" w:rsidRDefault="000A3125" w:rsidP="000A3125">
      <w:pPr>
        <w:rPr>
          <w:rFonts w:asciiTheme="majorHAnsi" w:hAnsiTheme="majorHAnsi" w:cstheme="majorHAnsi"/>
        </w:rPr>
      </w:pPr>
      <w:r w:rsidRPr="00DC2C59">
        <w:rPr>
          <w:rFonts w:asciiTheme="majorHAnsi" w:hAnsiTheme="majorHAnsi" w:cstheme="majorHAnsi"/>
          <w:b/>
          <w:bCs/>
        </w:rPr>
        <w:lastRenderedPageBreak/>
        <w:t xml:space="preserve">Please seek medical advice from your GP/Pharmacist/NHS 111 before starting any new diet </w:t>
      </w:r>
      <w:r w:rsidRPr="00DC2C59">
        <w:rPr>
          <w:rFonts w:asciiTheme="majorHAnsi" w:hAnsiTheme="majorHAnsi" w:cstheme="majorHAnsi"/>
        </w:rPr>
        <w:t xml:space="preserve">particularly very low carbohydrate diets (also called ketogenic diets) as these can increase the ketones in the blood. DKA is a serious health condition. If you believe you are developing symptoms of DKA then please seek urgent medical help and tell the doctor about the medication you are taking. </w:t>
      </w:r>
    </w:p>
    <w:p w14:paraId="17A5C71F" w14:textId="77777777" w:rsidR="000A3125" w:rsidRPr="00DC2C59" w:rsidRDefault="000A3125" w:rsidP="000A3125">
      <w:pPr>
        <w:rPr>
          <w:rFonts w:asciiTheme="majorHAnsi" w:hAnsiTheme="majorHAnsi" w:cstheme="majorHAnsi"/>
        </w:rPr>
      </w:pPr>
      <w:r w:rsidRPr="00DC2C59">
        <w:rPr>
          <w:rFonts w:asciiTheme="majorHAnsi" w:hAnsiTheme="majorHAnsi" w:cstheme="majorHAnsi"/>
          <w:b/>
          <w:bCs/>
        </w:rPr>
        <w:sym w:font="Symbol" w:char="F0B7"/>
      </w:r>
      <w:r w:rsidRPr="00DC2C59">
        <w:rPr>
          <w:rFonts w:asciiTheme="majorHAnsi" w:hAnsiTheme="majorHAnsi" w:cstheme="majorHAnsi"/>
          <w:b/>
          <w:bCs/>
        </w:rPr>
        <w:t xml:space="preserve"> Foot disease -</w:t>
      </w:r>
      <w:r w:rsidRPr="00DC2C59">
        <w:rPr>
          <w:rFonts w:asciiTheme="majorHAnsi" w:hAnsiTheme="majorHAnsi" w:cstheme="majorHAnsi"/>
        </w:rPr>
        <w:t xml:space="preserve"> if you have been told you have an ‘at risk foot’ confirm with your doctor if you should start or remain on one of these medicines. If you have an active foot ulcer or circulatory problem in your leg you should stop these medicines but please discuss with one of our team. </w:t>
      </w:r>
    </w:p>
    <w:p w14:paraId="4DD4B98B" w14:textId="61756049" w:rsidR="000A3125" w:rsidRPr="00DC2C59" w:rsidRDefault="000A3125" w:rsidP="000A3125">
      <w:pPr>
        <w:rPr>
          <w:rFonts w:asciiTheme="majorHAnsi" w:hAnsiTheme="majorHAnsi" w:cstheme="majorHAnsi"/>
          <w:b/>
          <w:bCs/>
        </w:rPr>
      </w:pPr>
      <w:r w:rsidRPr="00DC2C59">
        <w:rPr>
          <w:rFonts w:asciiTheme="majorHAnsi" w:hAnsiTheme="majorHAnsi" w:cstheme="majorHAnsi"/>
          <w:b/>
          <w:bCs/>
        </w:rPr>
        <w:t>Exceedingly Rare</w:t>
      </w:r>
      <w:r>
        <w:rPr>
          <w:rFonts w:asciiTheme="majorHAnsi" w:hAnsiTheme="majorHAnsi" w:cstheme="majorHAnsi"/>
          <w:b/>
          <w:bCs/>
        </w:rPr>
        <w:t xml:space="preserve"> -</w:t>
      </w:r>
      <w:r w:rsidR="00ED72E7">
        <w:rPr>
          <w:rFonts w:asciiTheme="majorHAnsi" w:hAnsiTheme="majorHAnsi" w:cstheme="majorHAnsi"/>
          <w:b/>
          <w:bCs/>
        </w:rPr>
        <w:t>that’s,</w:t>
      </w:r>
      <w:r>
        <w:rPr>
          <w:rFonts w:asciiTheme="majorHAnsi" w:hAnsiTheme="majorHAnsi" w:cstheme="majorHAnsi"/>
          <w:b/>
          <w:bCs/>
        </w:rPr>
        <w:t xml:space="preserve"> 1 in 100,000 that’s 0.00001% chance.</w:t>
      </w:r>
    </w:p>
    <w:p w14:paraId="23B90374" w14:textId="5A183B4D" w:rsidR="000A3125" w:rsidRPr="000A3125" w:rsidRDefault="000A3125" w:rsidP="000A3125">
      <w:pPr>
        <w:pStyle w:val="ListParagraph"/>
        <w:numPr>
          <w:ilvl w:val="0"/>
          <w:numId w:val="2"/>
        </w:numPr>
        <w:rPr>
          <w:rFonts w:asciiTheme="majorHAnsi" w:hAnsiTheme="majorHAnsi" w:cstheme="majorHAnsi"/>
        </w:rPr>
      </w:pPr>
      <w:r w:rsidRPr="00DC2C59">
        <w:rPr>
          <w:rFonts w:asciiTheme="majorHAnsi" w:hAnsiTheme="majorHAnsi" w:cstheme="majorHAnsi"/>
          <w:b/>
          <w:lang w:val="en-US"/>
        </w:rPr>
        <w:t>“Fournier’s gangrene”</w:t>
      </w:r>
      <w:r w:rsidRPr="00DC2C59">
        <w:rPr>
          <w:rFonts w:asciiTheme="majorHAnsi" w:hAnsiTheme="majorHAnsi" w:cstheme="majorHAnsi"/>
          <w:lang w:val="en-US"/>
        </w:rPr>
        <w:t xml:space="preserve"> – this is an exceedingly rare infection in the groin area requiring urgent medical attention. The main symptom to be aware of is severe pain on pressing the skin over the groin area. If this develops, stop your SGLT-2 inhibitor and seek clinical advice.</w:t>
      </w:r>
    </w:p>
    <w:p w14:paraId="0BC6414D" w14:textId="77777777" w:rsidR="000A3125" w:rsidRPr="000A3125" w:rsidRDefault="000A3125" w:rsidP="000A3125">
      <w:pPr>
        <w:rPr>
          <w:rFonts w:asciiTheme="majorHAnsi" w:hAnsiTheme="majorHAnsi" w:cstheme="majorHAnsi"/>
          <w:b/>
          <w:bCs/>
          <w:color w:val="00B050"/>
        </w:rPr>
      </w:pPr>
      <w:r w:rsidRPr="000A3125">
        <w:rPr>
          <w:rFonts w:asciiTheme="majorHAnsi" w:hAnsiTheme="majorHAnsi" w:cstheme="majorHAnsi"/>
          <w:b/>
          <w:bCs/>
          <w:color w:val="00B050"/>
        </w:rPr>
        <w:t xml:space="preserve">When to stop taking SGLT2 inhibitors if you become unwell </w:t>
      </w:r>
    </w:p>
    <w:p w14:paraId="4FC3D760" w14:textId="210A3F30" w:rsidR="000A3125" w:rsidRDefault="000A3125" w:rsidP="000A3125">
      <w:pPr>
        <w:rPr>
          <w:rFonts w:asciiTheme="majorHAnsi" w:hAnsiTheme="majorHAnsi" w:cstheme="majorHAnsi"/>
        </w:rPr>
      </w:pPr>
      <w:r w:rsidRPr="00DC2C59">
        <w:rPr>
          <w:rFonts w:asciiTheme="majorHAnsi" w:hAnsiTheme="majorHAnsi" w:cstheme="majorHAnsi"/>
        </w:rPr>
        <w:t xml:space="preserve">It is best practice to use </w:t>
      </w:r>
      <w:r w:rsidRPr="00DC2C59">
        <w:rPr>
          <w:rFonts w:asciiTheme="majorHAnsi" w:hAnsiTheme="majorHAnsi" w:cstheme="majorHAnsi"/>
          <w:b/>
          <w:bCs/>
        </w:rPr>
        <w:t>good sick day guidance</w:t>
      </w:r>
      <w:r w:rsidRPr="00DC2C59">
        <w:rPr>
          <w:rFonts w:asciiTheme="majorHAnsi" w:hAnsiTheme="majorHAnsi" w:cstheme="majorHAnsi"/>
        </w:rPr>
        <w:t xml:space="preserve"> with these medicines. You should temporarily stop taking SGLT2 inhibitors if unwell especially with vomiting, diarrhoea or fever (high temperature) or if you are fasting e.g. before an operation. If you are taking these medications for heart </w:t>
      </w:r>
      <w:r w:rsidR="00FA16B4" w:rsidRPr="00DC2C59">
        <w:rPr>
          <w:rFonts w:asciiTheme="majorHAnsi" w:hAnsiTheme="majorHAnsi" w:cstheme="majorHAnsi"/>
        </w:rPr>
        <w:t>failure,</w:t>
      </w:r>
      <w:r w:rsidRPr="00DC2C59">
        <w:rPr>
          <w:rFonts w:asciiTheme="majorHAnsi" w:hAnsiTheme="majorHAnsi" w:cstheme="majorHAnsi"/>
        </w:rPr>
        <w:t xml:space="preserve"> please contact your heart failure specialist nurse or specialist pharmacist for advice about whether to stop these medications. </w:t>
      </w:r>
    </w:p>
    <w:p w14:paraId="7DE9D143" w14:textId="77777777" w:rsidR="000A527C" w:rsidRPr="00DC2C59" w:rsidRDefault="000A527C" w:rsidP="000A3125">
      <w:pPr>
        <w:rPr>
          <w:rFonts w:asciiTheme="majorHAnsi" w:hAnsiTheme="majorHAnsi" w:cstheme="majorHAnsi"/>
        </w:rPr>
      </w:pPr>
    </w:p>
    <w:p w14:paraId="272A64C1" w14:textId="77777777" w:rsidR="000A3125" w:rsidRPr="000A3125" w:rsidRDefault="000A3125" w:rsidP="000A3125">
      <w:pPr>
        <w:pBdr>
          <w:top w:val="single" w:sz="4" w:space="1" w:color="auto"/>
          <w:left w:val="single" w:sz="4" w:space="4" w:color="auto"/>
          <w:bottom w:val="single" w:sz="4" w:space="1" w:color="auto"/>
          <w:right w:val="single" w:sz="4" w:space="4" w:color="auto"/>
        </w:pBdr>
        <w:rPr>
          <w:rFonts w:asciiTheme="majorHAnsi" w:hAnsiTheme="majorHAnsi" w:cstheme="majorHAnsi"/>
          <w:b/>
          <w:bCs/>
          <w:color w:val="00B050"/>
        </w:rPr>
      </w:pPr>
      <w:r w:rsidRPr="000A3125">
        <w:rPr>
          <w:rFonts w:asciiTheme="majorHAnsi" w:hAnsiTheme="majorHAnsi" w:cstheme="majorHAnsi"/>
          <w:b/>
          <w:bCs/>
          <w:color w:val="00B050"/>
        </w:rPr>
        <w:t xml:space="preserve">Sick day guidance </w:t>
      </w:r>
    </w:p>
    <w:p w14:paraId="206802A7" w14:textId="5B3CDD98" w:rsidR="000A3125" w:rsidRPr="00DC2C59" w:rsidRDefault="000A3125" w:rsidP="000A3125">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DC2C59">
        <w:rPr>
          <w:rFonts w:asciiTheme="majorHAnsi" w:hAnsiTheme="majorHAnsi" w:cstheme="majorHAnsi"/>
        </w:rPr>
        <w:t xml:space="preserve">If you are unwell (vomiting, diarrhoea, fever (high temperature), sweats and shaking), you should </w:t>
      </w:r>
      <w:r w:rsidRPr="00DC2C59">
        <w:rPr>
          <w:rFonts w:asciiTheme="majorHAnsi" w:hAnsiTheme="majorHAnsi" w:cstheme="majorHAnsi"/>
          <w:b/>
          <w:bCs/>
        </w:rPr>
        <w:t>temporarily</w:t>
      </w:r>
      <w:r w:rsidRPr="00DC2C59">
        <w:rPr>
          <w:rFonts w:asciiTheme="majorHAnsi" w:hAnsiTheme="majorHAnsi" w:cstheme="majorHAnsi"/>
        </w:rPr>
        <w:t xml:space="preserve"> stop taking the medicines listed below. If you are unsure or have any </w:t>
      </w:r>
      <w:r w:rsidR="000A527C" w:rsidRPr="00DC2C59">
        <w:rPr>
          <w:rFonts w:asciiTheme="majorHAnsi" w:hAnsiTheme="majorHAnsi" w:cstheme="majorHAnsi"/>
        </w:rPr>
        <w:t>questions,</w:t>
      </w:r>
      <w:r w:rsidRPr="00DC2C59">
        <w:rPr>
          <w:rFonts w:asciiTheme="majorHAnsi" w:hAnsiTheme="majorHAnsi" w:cstheme="majorHAnsi"/>
        </w:rPr>
        <w:t xml:space="preserve"> please seek medical advice from your GP/Pharmacist/NHS 111. </w:t>
      </w:r>
    </w:p>
    <w:p w14:paraId="513A7F88" w14:textId="77777777" w:rsidR="000A3125" w:rsidRPr="00DC2C59" w:rsidRDefault="000A3125" w:rsidP="000A3125">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DC2C59">
        <w:rPr>
          <w:rFonts w:asciiTheme="majorHAnsi" w:hAnsiTheme="majorHAnsi" w:cstheme="majorHAnsi"/>
          <w:b/>
          <w:bCs/>
        </w:rPr>
        <w:sym w:font="Symbol" w:char="F0B7"/>
      </w:r>
      <w:r w:rsidRPr="00DC2C59">
        <w:rPr>
          <w:rFonts w:asciiTheme="majorHAnsi" w:hAnsiTheme="majorHAnsi" w:cstheme="majorHAnsi"/>
          <w:b/>
          <w:bCs/>
        </w:rPr>
        <w:t xml:space="preserve"> Blood pressure pills</w:t>
      </w:r>
      <w:r w:rsidRPr="00DC2C59">
        <w:rPr>
          <w:rFonts w:asciiTheme="majorHAnsi" w:hAnsiTheme="majorHAnsi" w:cstheme="majorHAnsi"/>
        </w:rPr>
        <w:t xml:space="preserve"> – e.g. ramipril, lisinopril, losartan or medicines ending with ‘</w:t>
      </w:r>
      <w:proofErr w:type="spellStart"/>
      <w:r w:rsidRPr="00DC2C59">
        <w:rPr>
          <w:rFonts w:asciiTheme="majorHAnsi" w:hAnsiTheme="majorHAnsi" w:cstheme="majorHAnsi"/>
        </w:rPr>
        <w:t>artan</w:t>
      </w:r>
      <w:proofErr w:type="spellEnd"/>
      <w:r w:rsidRPr="00DC2C59">
        <w:rPr>
          <w:rFonts w:asciiTheme="majorHAnsi" w:hAnsiTheme="majorHAnsi" w:cstheme="majorHAnsi"/>
        </w:rPr>
        <w:t>’ or ‘</w:t>
      </w:r>
      <w:proofErr w:type="spellStart"/>
      <w:r w:rsidRPr="00DC2C59">
        <w:rPr>
          <w:rFonts w:asciiTheme="majorHAnsi" w:hAnsiTheme="majorHAnsi" w:cstheme="majorHAnsi"/>
        </w:rPr>
        <w:t>pril</w:t>
      </w:r>
      <w:proofErr w:type="spellEnd"/>
      <w:r w:rsidRPr="00DC2C59">
        <w:rPr>
          <w:rFonts w:asciiTheme="majorHAnsi" w:hAnsiTheme="majorHAnsi" w:cstheme="majorHAnsi"/>
        </w:rPr>
        <w:t xml:space="preserve">’ </w:t>
      </w:r>
    </w:p>
    <w:p w14:paraId="4C3B6D75" w14:textId="77777777" w:rsidR="000A3125" w:rsidRPr="00DC2C59" w:rsidRDefault="000A3125" w:rsidP="000A3125">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DC2C59">
        <w:rPr>
          <w:rFonts w:asciiTheme="majorHAnsi" w:hAnsiTheme="majorHAnsi" w:cstheme="majorHAnsi"/>
          <w:b/>
          <w:bCs/>
        </w:rPr>
        <w:sym w:font="Symbol" w:char="F0B7"/>
      </w:r>
      <w:r w:rsidRPr="00DC2C59">
        <w:rPr>
          <w:rFonts w:asciiTheme="majorHAnsi" w:hAnsiTheme="majorHAnsi" w:cstheme="majorHAnsi"/>
          <w:b/>
          <w:bCs/>
        </w:rPr>
        <w:t xml:space="preserve"> Diuretics</w:t>
      </w:r>
      <w:r w:rsidRPr="00DC2C59">
        <w:rPr>
          <w:rFonts w:asciiTheme="majorHAnsi" w:hAnsiTheme="majorHAnsi" w:cstheme="majorHAnsi"/>
        </w:rPr>
        <w:t xml:space="preserve"> – (water tablets) e.g. furosemide, bumetanide, spironolactone </w:t>
      </w:r>
    </w:p>
    <w:p w14:paraId="1EE2EE4F" w14:textId="77777777" w:rsidR="000A3125" w:rsidRPr="00DC2C59" w:rsidRDefault="000A3125" w:rsidP="000A3125">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DC2C59">
        <w:rPr>
          <w:rFonts w:asciiTheme="majorHAnsi" w:hAnsiTheme="majorHAnsi" w:cstheme="majorHAnsi"/>
          <w:b/>
          <w:bCs/>
        </w:rPr>
        <w:sym w:font="Symbol" w:char="F0B7"/>
      </w:r>
      <w:r w:rsidRPr="00DC2C59">
        <w:rPr>
          <w:rFonts w:asciiTheme="majorHAnsi" w:hAnsiTheme="majorHAnsi" w:cstheme="majorHAnsi"/>
          <w:b/>
          <w:bCs/>
        </w:rPr>
        <w:t xml:space="preserve"> SGLT2 inhibitors</w:t>
      </w:r>
      <w:r w:rsidRPr="00DC2C59">
        <w:rPr>
          <w:rFonts w:asciiTheme="majorHAnsi" w:hAnsiTheme="majorHAnsi" w:cstheme="majorHAnsi"/>
        </w:rPr>
        <w:t xml:space="preserve"> – e.g. canagliflozin, dapagliflozin, empagliflozin or ertugliflozin if being used to treat your diabetes or kidney disease </w:t>
      </w:r>
    </w:p>
    <w:p w14:paraId="02DD0726" w14:textId="77777777" w:rsidR="000A3125" w:rsidRPr="00DC2C59" w:rsidRDefault="000A3125" w:rsidP="000A3125">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DC2C59">
        <w:rPr>
          <w:rFonts w:asciiTheme="majorHAnsi" w:hAnsiTheme="majorHAnsi" w:cstheme="majorHAnsi"/>
          <w:b/>
          <w:bCs/>
        </w:rPr>
        <w:sym w:font="Symbol" w:char="F0B7"/>
      </w:r>
      <w:r w:rsidRPr="00DC2C59">
        <w:rPr>
          <w:rFonts w:asciiTheme="majorHAnsi" w:hAnsiTheme="majorHAnsi" w:cstheme="majorHAnsi"/>
          <w:b/>
          <w:bCs/>
        </w:rPr>
        <w:t xml:space="preserve"> Other diabetes medications</w:t>
      </w:r>
      <w:r w:rsidRPr="00DC2C59">
        <w:rPr>
          <w:rFonts w:asciiTheme="majorHAnsi" w:hAnsiTheme="majorHAnsi" w:cstheme="majorHAnsi"/>
        </w:rPr>
        <w:t xml:space="preserve"> - e.g. metformin. Do </w:t>
      </w:r>
      <w:r w:rsidRPr="00DC2C59">
        <w:rPr>
          <w:rFonts w:asciiTheme="majorHAnsi" w:hAnsiTheme="majorHAnsi" w:cstheme="majorHAnsi"/>
          <w:b/>
          <w:bCs/>
        </w:rPr>
        <w:t xml:space="preserve">not </w:t>
      </w:r>
      <w:r w:rsidRPr="00DC2C59">
        <w:rPr>
          <w:rFonts w:asciiTheme="majorHAnsi" w:hAnsiTheme="majorHAnsi" w:cstheme="majorHAnsi"/>
        </w:rPr>
        <w:t xml:space="preserve">stop taking your insulin If you have diabetes, you must increase the number of times you check your blood glucose levels. If they run too high or low, please seek medical advice. If you are taking sacubitril/valsartan (Entresto®), please contact your heart failure specialist nurse or specialist pharmacist before stopping. </w:t>
      </w:r>
    </w:p>
    <w:p w14:paraId="7467E3FD" w14:textId="77777777" w:rsidR="000A3125" w:rsidRDefault="000A3125" w:rsidP="000A3125">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DC2C59">
        <w:rPr>
          <w:rFonts w:asciiTheme="majorHAnsi" w:hAnsiTheme="majorHAnsi" w:cstheme="majorHAnsi"/>
        </w:rPr>
        <w:t>You can restart any medicines you have temporarily stopped when you are better but, if you remain unwell after 48 hours, seek medical advice.</w:t>
      </w:r>
    </w:p>
    <w:p w14:paraId="375D21AA" w14:textId="77777777" w:rsidR="000A527C" w:rsidRPr="00DC2C59" w:rsidRDefault="000A527C" w:rsidP="000A3125">
      <w:pPr>
        <w:pBdr>
          <w:top w:val="single" w:sz="4" w:space="1" w:color="auto"/>
          <w:left w:val="single" w:sz="4" w:space="4" w:color="auto"/>
          <w:bottom w:val="single" w:sz="4" w:space="1" w:color="auto"/>
          <w:right w:val="single" w:sz="4" w:space="4" w:color="auto"/>
        </w:pBdr>
        <w:rPr>
          <w:rFonts w:asciiTheme="majorHAnsi" w:hAnsiTheme="majorHAnsi" w:cstheme="majorHAnsi"/>
        </w:rPr>
      </w:pPr>
    </w:p>
    <w:p w14:paraId="78B334D4" w14:textId="0DFE94D7" w:rsidR="00FF5555" w:rsidRPr="00FF5555" w:rsidRDefault="00FF5555" w:rsidP="00FF5555">
      <w:pPr>
        <w:rPr>
          <w:rFonts w:ascii="Arial" w:hAnsi="Arial" w:cs="Arial"/>
          <w:sz w:val="20"/>
          <w:szCs w:val="20"/>
        </w:rPr>
      </w:pPr>
    </w:p>
    <w:p w14:paraId="7AA0BE44" w14:textId="03B01F75" w:rsidR="00FF5555" w:rsidRPr="00FF5555" w:rsidRDefault="00FF5555" w:rsidP="00FF5555">
      <w:pPr>
        <w:rPr>
          <w:rFonts w:ascii="Arial" w:hAnsi="Arial" w:cs="Arial"/>
          <w:sz w:val="20"/>
          <w:szCs w:val="20"/>
        </w:rPr>
      </w:pPr>
    </w:p>
    <w:p w14:paraId="57A1AA17" w14:textId="700726B2" w:rsidR="00FF5555" w:rsidRPr="00FF5555" w:rsidRDefault="00FF5555" w:rsidP="00FF5555">
      <w:pPr>
        <w:rPr>
          <w:rFonts w:ascii="Arial" w:hAnsi="Arial" w:cs="Arial"/>
          <w:sz w:val="20"/>
          <w:szCs w:val="20"/>
        </w:rPr>
      </w:pPr>
    </w:p>
    <w:p w14:paraId="34C7C5A9" w14:textId="6EF6BF5B" w:rsidR="00FF5555" w:rsidRPr="00FF5555" w:rsidRDefault="00FF5555" w:rsidP="00FF5555">
      <w:pPr>
        <w:rPr>
          <w:rFonts w:ascii="Arial" w:hAnsi="Arial" w:cs="Arial"/>
          <w:sz w:val="20"/>
          <w:szCs w:val="20"/>
        </w:rPr>
      </w:pPr>
    </w:p>
    <w:p w14:paraId="0B17F388" w14:textId="30E66A6B" w:rsidR="00FF5555" w:rsidRPr="00FF5555" w:rsidRDefault="00FF5555" w:rsidP="00FF5555">
      <w:pPr>
        <w:rPr>
          <w:rFonts w:ascii="Arial" w:hAnsi="Arial" w:cs="Arial"/>
          <w:sz w:val="20"/>
          <w:szCs w:val="20"/>
        </w:rPr>
      </w:pPr>
    </w:p>
    <w:p w14:paraId="128D65B0" w14:textId="5582CA1B" w:rsidR="00FF5555" w:rsidRPr="00FF5555" w:rsidRDefault="00FF5555" w:rsidP="00FF5555">
      <w:pPr>
        <w:rPr>
          <w:rFonts w:ascii="Arial" w:hAnsi="Arial" w:cs="Arial"/>
          <w:sz w:val="20"/>
          <w:szCs w:val="20"/>
        </w:rPr>
      </w:pPr>
    </w:p>
    <w:p w14:paraId="15905E5B" w14:textId="5E8075CA" w:rsidR="00FF5555" w:rsidRPr="00FF5555" w:rsidRDefault="00FF5555" w:rsidP="00FF5555">
      <w:pPr>
        <w:rPr>
          <w:rFonts w:ascii="Arial" w:hAnsi="Arial" w:cs="Arial"/>
          <w:sz w:val="20"/>
          <w:szCs w:val="20"/>
        </w:rPr>
      </w:pPr>
    </w:p>
    <w:p w14:paraId="0133B116" w14:textId="371D3F48" w:rsidR="00FF5555" w:rsidRPr="00FF5555" w:rsidRDefault="00FF5555" w:rsidP="00FF5555">
      <w:pPr>
        <w:rPr>
          <w:rFonts w:ascii="Arial" w:hAnsi="Arial" w:cs="Arial"/>
          <w:sz w:val="20"/>
          <w:szCs w:val="20"/>
        </w:rPr>
      </w:pPr>
    </w:p>
    <w:p w14:paraId="78118006" w14:textId="52696DCD" w:rsidR="00FF5555" w:rsidRPr="00FF5555" w:rsidRDefault="00FF5555" w:rsidP="00FF5555">
      <w:pPr>
        <w:rPr>
          <w:rFonts w:ascii="Arial" w:hAnsi="Arial" w:cs="Arial"/>
          <w:sz w:val="20"/>
          <w:szCs w:val="20"/>
        </w:rPr>
      </w:pPr>
    </w:p>
    <w:p w14:paraId="2AEB0DA7" w14:textId="019A0C52" w:rsidR="000A3125" w:rsidRPr="00FF5555" w:rsidRDefault="000A3125" w:rsidP="00FF5555">
      <w:pPr>
        <w:rPr>
          <w:rFonts w:ascii="Arial" w:hAnsi="Arial" w:cs="Arial"/>
          <w:sz w:val="20"/>
          <w:szCs w:val="20"/>
        </w:rPr>
      </w:pPr>
    </w:p>
    <w:sectPr w:rsidR="000A3125" w:rsidRPr="00FF5555" w:rsidSect="008907E1">
      <w:headerReference w:type="default" r:id="rId8"/>
      <w:footerReference w:type="default" r:id="rId9"/>
      <w:pgSz w:w="11906" w:h="16838" w:code="9"/>
      <w:pgMar w:top="140" w:right="907" w:bottom="680"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05E4F" w14:textId="77777777" w:rsidR="0088496F" w:rsidRDefault="0088496F">
      <w:r>
        <w:separator/>
      </w:r>
    </w:p>
  </w:endnote>
  <w:endnote w:type="continuationSeparator" w:id="0">
    <w:p w14:paraId="495A0B0D" w14:textId="77777777" w:rsidR="0088496F" w:rsidRDefault="0088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nhardMod BT">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3B0E" w14:textId="77777777" w:rsidR="00950B60" w:rsidRPr="001B2824" w:rsidRDefault="00950B60" w:rsidP="00950B60">
    <w:pPr>
      <w:pStyle w:val="Footer"/>
      <w:jc w:val="center"/>
      <w:rPr>
        <w:rFonts w:ascii="Arial" w:hAnsi="Arial" w:cs="Arial"/>
        <w:b/>
        <w:bCs/>
        <w:sz w:val="20"/>
        <w:szCs w:val="20"/>
      </w:rPr>
    </w:pPr>
    <w:r w:rsidRPr="001B2824">
      <w:rPr>
        <w:rFonts w:ascii="Arial" w:hAnsi="Arial" w:cs="Arial"/>
        <w:sz w:val="20"/>
        <w:szCs w:val="20"/>
      </w:rPr>
      <w:t xml:space="preserve">Partners:         </w:t>
    </w:r>
    <w:r w:rsidRPr="001B2824">
      <w:rPr>
        <w:rFonts w:ascii="Arial" w:hAnsi="Arial" w:cs="Arial"/>
        <w:b/>
        <w:bCs/>
        <w:sz w:val="20"/>
        <w:szCs w:val="20"/>
      </w:rPr>
      <w:t xml:space="preserve"> Dr M Ruiz-Huertas, Dr N Anderson, Dr D Narayana, Dr M Dunn, MS S Wisdom</w:t>
    </w:r>
  </w:p>
  <w:p w14:paraId="0646848E" w14:textId="77777777" w:rsidR="00EF17AB" w:rsidRPr="00EF17AB" w:rsidRDefault="00EF17AB" w:rsidP="00335BE8">
    <w:pPr>
      <w:pStyle w:val="Footer"/>
      <w:jc w:val="center"/>
      <w:rPr>
        <w:rFonts w:ascii="Arial" w:hAnsi="Arial" w:cs="Arial"/>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A7C30" w14:textId="77777777" w:rsidR="0088496F" w:rsidRDefault="0088496F">
      <w:r>
        <w:separator/>
      </w:r>
    </w:p>
  </w:footnote>
  <w:footnote w:type="continuationSeparator" w:id="0">
    <w:p w14:paraId="10881807" w14:textId="77777777" w:rsidR="0088496F" w:rsidRDefault="00884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CD9A" w14:textId="77777777" w:rsidR="00D64E84" w:rsidRDefault="00D64E84" w:rsidP="00D64E84">
    <w:pPr>
      <w:pStyle w:val="Header"/>
      <w:jc w:val="center"/>
    </w:pPr>
    <w:r>
      <w:rPr>
        <w:noProof/>
      </w:rPr>
      <w:drawing>
        <wp:inline distT="0" distB="0" distL="0" distR="0" wp14:anchorId="74A8EBAB" wp14:editId="0F65E5A0">
          <wp:extent cx="2266950" cy="857250"/>
          <wp:effectExtent l="0" t="0" r="0" b="0"/>
          <wp:docPr id="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857250"/>
                  </a:xfrm>
                  <a:prstGeom prst="rect">
                    <a:avLst/>
                  </a:prstGeom>
                  <a:noFill/>
                  <a:ln>
                    <a:noFill/>
                  </a:ln>
                </pic:spPr>
              </pic:pic>
            </a:graphicData>
          </a:graphic>
        </wp:inline>
      </w:drawing>
    </w:r>
  </w:p>
  <w:tbl>
    <w:tblPr>
      <w:tblW w:w="0" w:type="auto"/>
      <w:tblLook w:val="04A0" w:firstRow="1" w:lastRow="0" w:firstColumn="1" w:lastColumn="0" w:noHBand="0" w:noVBand="1"/>
    </w:tblPr>
    <w:tblGrid>
      <w:gridCol w:w="5044"/>
      <w:gridCol w:w="5048"/>
    </w:tblGrid>
    <w:tr w:rsidR="00D64E84" w14:paraId="14A0B769" w14:textId="77777777" w:rsidTr="008B1EF8">
      <w:tc>
        <w:tcPr>
          <w:tcW w:w="5154" w:type="dxa"/>
          <w:shd w:val="clear" w:color="auto" w:fill="auto"/>
        </w:tcPr>
        <w:p w14:paraId="11B840CD" w14:textId="77777777" w:rsidR="00D64E84" w:rsidRPr="00EF6F0D" w:rsidRDefault="00D64E84" w:rsidP="00D64E84">
          <w:pPr>
            <w:pStyle w:val="Footer"/>
            <w:rPr>
              <w:rFonts w:ascii="Arial" w:hAnsi="Arial" w:cs="Arial"/>
              <w:sz w:val="20"/>
              <w:szCs w:val="20"/>
            </w:rPr>
          </w:pPr>
          <w:r w:rsidRPr="00EF6F0D">
            <w:rPr>
              <w:rFonts w:ascii="Arial" w:hAnsi="Arial" w:cs="Arial"/>
              <w:sz w:val="20"/>
              <w:szCs w:val="20"/>
            </w:rPr>
            <w:t>Harrogate Road Surgery</w:t>
          </w:r>
        </w:p>
        <w:p w14:paraId="649AA042" w14:textId="77777777" w:rsidR="00D64E84" w:rsidRPr="00EF6F0D" w:rsidRDefault="00D64E84" w:rsidP="00D64E84">
          <w:pPr>
            <w:pStyle w:val="Footer"/>
            <w:rPr>
              <w:rFonts w:ascii="Arial" w:hAnsi="Arial" w:cs="Arial"/>
              <w:sz w:val="20"/>
              <w:szCs w:val="20"/>
            </w:rPr>
          </w:pPr>
          <w:r w:rsidRPr="00EF6F0D">
            <w:rPr>
              <w:rFonts w:ascii="Arial" w:hAnsi="Arial" w:cs="Arial"/>
              <w:sz w:val="20"/>
              <w:szCs w:val="20"/>
            </w:rPr>
            <w:t>355 Harrogate Road</w:t>
          </w:r>
        </w:p>
        <w:p w14:paraId="1B02FAA1" w14:textId="77777777" w:rsidR="00D64E84" w:rsidRPr="00EF6F0D" w:rsidRDefault="00D64E84" w:rsidP="00D64E84">
          <w:pPr>
            <w:pStyle w:val="Footer"/>
            <w:rPr>
              <w:rFonts w:ascii="Arial" w:hAnsi="Arial" w:cs="Arial"/>
              <w:sz w:val="20"/>
              <w:szCs w:val="20"/>
            </w:rPr>
          </w:pPr>
          <w:r w:rsidRPr="00EF6F0D">
            <w:rPr>
              <w:rFonts w:ascii="Arial" w:hAnsi="Arial" w:cs="Arial"/>
              <w:sz w:val="20"/>
              <w:szCs w:val="20"/>
            </w:rPr>
            <w:t>Leeds</w:t>
          </w:r>
          <w:r>
            <w:rPr>
              <w:rFonts w:ascii="Arial" w:hAnsi="Arial" w:cs="Arial"/>
              <w:sz w:val="20"/>
              <w:szCs w:val="20"/>
            </w:rPr>
            <w:t xml:space="preserve"> </w:t>
          </w:r>
          <w:r w:rsidRPr="00EF6F0D">
            <w:rPr>
              <w:rFonts w:ascii="Arial" w:hAnsi="Arial" w:cs="Arial"/>
              <w:sz w:val="20"/>
              <w:szCs w:val="20"/>
            </w:rPr>
            <w:t>LS17 6PZ</w:t>
          </w:r>
        </w:p>
        <w:p w14:paraId="5C55AAD5" w14:textId="77777777" w:rsidR="00D64E84" w:rsidRPr="00EF6F0D" w:rsidRDefault="00D64E84" w:rsidP="00D64E84">
          <w:pPr>
            <w:pStyle w:val="Footer"/>
            <w:rPr>
              <w:rFonts w:ascii="Arial" w:hAnsi="Arial" w:cs="Arial"/>
              <w:sz w:val="20"/>
              <w:szCs w:val="20"/>
            </w:rPr>
          </w:pPr>
          <w:r w:rsidRPr="00EF6F0D">
            <w:rPr>
              <w:rFonts w:ascii="Arial" w:hAnsi="Arial" w:cs="Arial"/>
              <w:sz w:val="20"/>
              <w:szCs w:val="20"/>
            </w:rPr>
            <w:t>Tel: 0113</w:t>
          </w:r>
          <w:r>
            <w:rPr>
              <w:rFonts w:ascii="Arial" w:hAnsi="Arial" w:cs="Arial"/>
              <w:sz w:val="20"/>
              <w:szCs w:val="20"/>
            </w:rPr>
            <w:t xml:space="preserve"> </w:t>
          </w:r>
          <w:r w:rsidRPr="00EF6F0D">
            <w:rPr>
              <w:rFonts w:ascii="Arial" w:hAnsi="Arial" w:cs="Arial"/>
              <w:sz w:val="20"/>
              <w:szCs w:val="20"/>
            </w:rPr>
            <w:t>268</w:t>
          </w:r>
          <w:r>
            <w:rPr>
              <w:rFonts w:ascii="Arial" w:hAnsi="Arial" w:cs="Arial"/>
              <w:sz w:val="20"/>
              <w:szCs w:val="20"/>
            </w:rPr>
            <w:t xml:space="preserve"> </w:t>
          </w:r>
          <w:r w:rsidRPr="00EF6F0D">
            <w:rPr>
              <w:rFonts w:ascii="Arial" w:hAnsi="Arial" w:cs="Arial"/>
              <w:sz w:val="20"/>
              <w:szCs w:val="20"/>
            </w:rPr>
            <w:t>0066</w:t>
          </w:r>
        </w:p>
        <w:p w14:paraId="5D879DFF" w14:textId="77777777" w:rsidR="00D64E84" w:rsidRPr="00EF6F0D" w:rsidRDefault="00D64E84" w:rsidP="00D64E84">
          <w:pPr>
            <w:pStyle w:val="Footer"/>
            <w:rPr>
              <w:rFonts w:ascii="Arial" w:hAnsi="Arial" w:cs="Arial"/>
              <w:sz w:val="20"/>
              <w:szCs w:val="20"/>
            </w:rPr>
          </w:pPr>
        </w:p>
      </w:tc>
      <w:tc>
        <w:tcPr>
          <w:tcW w:w="5154" w:type="dxa"/>
          <w:shd w:val="clear" w:color="auto" w:fill="auto"/>
        </w:tcPr>
        <w:p w14:paraId="36C519B4" w14:textId="77777777" w:rsidR="00D64E84" w:rsidRPr="00EF6F0D" w:rsidRDefault="00D64E84" w:rsidP="00D64E84">
          <w:pPr>
            <w:pStyle w:val="Footer"/>
            <w:jc w:val="right"/>
            <w:rPr>
              <w:rFonts w:ascii="Arial" w:hAnsi="Arial" w:cs="Arial"/>
              <w:sz w:val="20"/>
              <w:szCs w:val="20"/>
            </w:rPr>
          </w:pPr>
          <w:r>
            <w:rPr>
              <w:rFonts w:ascii="Arial" w:hAnsi="Arial" w:cs="Arial"/>
              <w:sz w:val="20"/>
              <w:szCs w:val="20"/>
            </w:rPr>
            <w:t>Harehills Community Health Centre</w:t>
          </w:r>
        </w:p>
        <w:p w14:paraId="4277CE9B" w14:textId="77777777" w:rsidR="00D64E84" w:rsidRPr="00EF6F0D" w:rsidRDefault="00D64E84" w:rsidP="00D64E84">
          <w:pPr>
            <w:pStyle w:val="Footer"/>
            <w:jc w:val="right"/>
            <w:rPr>
              <w:rFonts w:ascii="Arial" w:hAnsi="Arial" w:cs="Arial"/>
              <w:sz w:val="20"/>
              <w:szCs w:val="20"/>
            </w:rPr>
          </w:pPr>
          <w:r>
            <w:rPr>
              <w:rFonts w:ascii="Arial" w:hAnsi="Arial" w:cs="Arial"/>
              <w:sz w:val="20"/>
              <w:szCs w:val="20"/>
            </w:rPr>
            <w:t>427 Harehills Lane</w:t>
          </w:r>
        </w:p>
        <w:p w14:paraId="093DDD57" w14:textId="77777777" w:rsidR="00D64E84" w:rsidRPr="00EF6F0D" w:rsidRDefault="00D64E84" w:rsidP="00D64E84">
          <w:pPr>
            <w:pStyle w:val="Footer"/>
            <w:jc w:val="right"/>
            <w:rPr>
              <w:rFonts w:ascii="Arial" w:hAnsi="Arial" w:cs="Arial"/>
              <w:sz w:val="20"/>
              <w:szCs w:val="20"/>
            </w:rPr>
          </w:pPr>
          <w:r w:rsidRPr="00EF6F0D">
            <w:rPr>
              <w:rFonts w:ascii="Arial" w:hAnsi="Arial" w:cs="Arial"/>
              <w:sz w:val="20"/>
              <w:szCs w:val="20"/>
            </w:rPr>
            <w:t>Leeds</w:t>
          </w:r>
          <w:r>
            <w:rPr>
              <w:rFonts w:ascii="Arial" w:hAnsi="Arial" w:cs="Arial"/>
              <w:sz w:val="20"/>
              <w:szCs w:val="20"/>
            </w:rPr>
            <w:t xml:space="preserve"> </w:t>
          </w:r>
          <w:r w:rsidRPr="00EF6F0D">
            <w:rPr>
              <w:rFonts w:ascii="Arial" w:hAnsi="Arial" w:cs="Arial"/>
              <w:sz w:val="20"/>
              <w:szCs w:val="20"/>
            </w:rPr>
            <w:t>LS</w:t>
          </w:r>
          <w:r>
            <w:rPr>
              <w:rFonts w:ascii="Arial" w:hAnsi="Arial" w:cs="Arial"/>
              <w:sz w:val="20"/>
              <w:szCs w:val="20"/>
            </w:rPr>
            <w:t>9 6EY</w:t>
          </w:r>
        </w:p>
        <w:p w14:paraId="2560FB98" w14:textId="77777777" w:rsidR="00D64E84" w:rsidRPr="00EF6F0D" w:rsidRDefault="00D64E84" w:rsidP="00D64E84">
          <w:pPr>
            <w:pStyle w:val="Footer"/>
            <w:jc w:val="right"/>
            <w:rPr>
              <w:rFonts w:ascii="Arial" w:hAnsi="Arial" w:cs="Arial"/>
              <w:sz w:val="20"/>
              <w:szCs w:val="20"/>
            </w:rPr>
          </w:pPr>
          <w:r w:rsidRPr="00EF6F0D">
            <w:rPr>
              <w:rFonts w:ascii="Arial" w:hAnsi="Arial" w:cs="Arial"/>
              <w:sz w:val="20"/>
              <w:szCs w:val="20"/>
            </w:rPr>
            <w:t>Tel: 0113</w:t>
          </w:r>
          <w:r>
            <w:rPr>
              <w:rFonts w:ascii="Arial" w:hAnsi="Arial" w:cs="Arial"/>
              <w:sz w:val="20"/>
              <w:szCs w:val="20"/>
            </w:rPr>
            <w:t xml:space="preserve"> </w:t>
          </w:r>
          <w:r w:rsidRPr="00EF6F0D">
            <w:rPr>
              <w:rFonts w:ascii="Arial" w:hAnsi="Arial" w:cs="Arial"/>
              <w:sz w:val="20"/>
              <w:szCs w:val="20"/>
            </w:rPr>
            <w:t>249</w:t>
          </w:r>
          <w:r>
            <w:rPr>
              <w:rFonts w:ascii="Arial" w:hAnsi="Arial" w:cs="Arial"/>
              <w:sz w:val="20"/>
              <w:szCs w:val="20"/>
            </w:rPr>
            <w:t xml:space="preserve"> </w:t>
          </w:r>
          <w:r w:rsidRPr="00EF6F0D">
            <w:rPr>
              <w:rFonts w:ascii="Arial" w:hAnsi="Arial" w:cs="Arial"/>
              <w:sz w:val="20"/>
              <w:szCs w:val="20"/>
            </w:rPr>
            <w:t>0598</w:t>
          </w:r>
        </w:p>
      </w:tc>
    </w:tr>
  </w:tbl>
  <w:p w14:paraId="5E73D4D3" w14:textId="77777777" w:rsidR="004E5C4E" w:rsidRDefault="004E5C4E" w:rsidP="00890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F16B8"/>
    <w:multiLevelType w:val="hybridMultilevel"/>
    <w:tmpl w:val="7BB43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7651D59"/>
    <w:multiLevelType w:val="hybridMultilevel"/>
    <w:tmpl w:val="3FE0D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6504507">
    <w:abstractNumId w:val="0"/>
  </w:num>
  <w:num w:numId="2" w16cid:durableId="463500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6F"/>
    <w:rsid w:val="00014D33"/>
    <w:rsid w:val="00040CF2"/>
    <w:rsid w:val="000A0328"/>
    <w:rsid w:val="000A3125"/>
    <w:rsid w:val="000A527C"/>
    <w:rsid w:val="000A7B09"/>
    <w:rsid w:val="000C5B99"/>
    <w:rsid w:val="00103027"/>
    <w:rsid w:val="00137734"/>
    <w:rsid w:val="00214806"/>
    <w:rsid w:val="00222D81"/>
    <w:rsid w:val="002405BA"/>
    <w:rsid w:val="0024615F"/>
    <w:rsid w:val="00250EE0"/>
    <w:rsid w:val="002A5278"/>
    <w:rsid w:val="002A6EA4"/>
    <w:rsid w:val="002D7D23"/>
    <w:rsid w:val="002E21CB"/>
    <w:rsid w:val="002E4557"/>
    <w:rsid w:val="00306B63"/>
    <w:rsid w:val="00316190"/>
    <w:rsid w:val="00335BE8"/>
    <w:rsid w:val="00337BC8"/>
    <w:rsid w:val="003758DD"/>
    <w:rsid w:val="00383F39"/>
    <w:rsid w:val="00387B54"/>
    <w:rsid w:val="00394DC9"/>
    <w:rsid w:val="0039503F"/>
    <w:rsid w:val="003B401A"/>
    <w:rsid w:val="003C1D0E"/>
    <w:rsid w:val="003D41BF"/>
    <w:rsid w:val="003E0504"/>
    <w:rsid w:val="003F0C88"/>
    <w:rsid w:val="003F417D"/>
    <w:rsid w:val="004009DD"/>
    <w:rsid w:val="0040399B"/>
    <w:rsid w:val="00404AB0"/>
    <w:rsid w:val="004059BB"/>
    <w:rsid w:val="00435A48"/>
    <w:rsid w:val="0046155A"/>
    <w:rsid w:val="004A3F33"/>
    <w:rsid w:val="004A5E7E"/>
    <w:rsid w:val="004C1218"/>
    <w:rsid w:val="004C5BE3"/>
    <w:rsid w:val="004D57C9"/>
    <w:rsid w:val="004E5C4E"/>
    <w:rsid w:val="005310F9"/>
    <w:rsid w:val="00544C4A"/>
    <w:rsid w:val="0056063C"/>
    <w:rsid w:val="00594349"/>
    <w:rsid w:val="005C155E"/>
    <w:rsid w:val="005E7F34"/>
    <w:rsid w:val="0061421D"/>
    <w:rsid w:val="0062197F"/>
    <w:rsid w:val="0062399A"/>
    <w:rsid w:val="00634BAE"/>
    <w:rsid w:val="0063619A"/>
    <w:rsid w:val="00657A20"/>
    <w:rsid w:val="006731DA"/>
    <w:rsid w:val="00673504"/>
    <w:rsid w:val="006B3472"/>
    <w:rsid w:val="006B7749"/>
    <w:rsid w:val="006C35D3"/>
    <w:rsid w:val="006F1A3D"/>
    <w:rsid w:val="0071793F"/>
    <w:rsid w:val="007324B2"/>
    <w:rsid w:val="00734529"/>
    <w:rsid w:val="00765BE4"/>
    <w:rsid w:val="007776B7"/>
    <w:rsid w:val="007818B2"/>
    <w:rsid w:val="00796676"/>
    <w:rsid w:val="007B4BDB"/>
    <w:rsid w:val="007E3AAC"/>
    <w:rsid w:val="00840E63"/>
    <w:rsid w:val="008805E4"/>
    <w:rsid w:val="0088496F"/>
    <w:rsid w:val="008907E1"/>
    <w:rsid w:val="008B02E4"/>
    <w:rsid w:val="008B4C86"/>
    <w:rsid w:val="008F24DB"/>
    <w:rsid w:val="009163CA"/>
    <w:rsid w:val="00926587"/>
    <w:rsid w:val="00933284"/>
    <w:rsid w:val="00950B60"/>
    <w:rsid w:val="00953E56"/>
    <w:rsid w:val="00961CA6"/>
    <w:rsid w:val="00966062"/>
    <w:rsid w:val="00983362"/>
    <w:rsid w:val="00983850"/>
    <w:rsid w:val="009B4765"/>
    <w:rsid w:val="009C6F11"/>
    <w:rsid w:val="009E5C09"/>
    <w:rsid w:val="009F0016"/>
    <w:rsid w:val="00A22919"/>
    <w:rsid w:val="00A25256"/>
    <w:rsid w:val="00A50185"/>
    <w:rsid w:val="00A6163B"/>
    <w:rsid w:val="00A930C2"/>
    <w:rsid w:val="00AD4B8A"/>
    <w:rsid w:val="00AE7277"/>
    <w:rsid w:val="00B04E1C"/>
    <w:rsid w:val="00B21B43"/>
    <w:rsid w:val="00B2480E"/>
    <w:rsid w:val="00B57E60"/>
    <w:rsid w:val="00B7122B"/>
    <w:rsid w:val="00B7330E"/>
    <w:rsid w:val="00B977F7"/>
    <w:rsid w:val="00BA1C5B"/>
    <w:rsid w:val="00BB6599"/>
    <w:rsid w:val="00BB734D"/>
    <w:rsid w:val="00BD1806"/>
    <w:rsid w:val="00C1704B"/>
    <w:rsid w:val="00C231AF"/>
    <w:rsid w:val="00C24FB7"/>
    <w:rsid w:val="00C51576"/>
    <w:rsid w:val="00C721F5"/>
    <w:rsid w:val="00C85D05"/>
    <w:rsid w:val="00C87947"/>
    <w:rsid w:val="00C879B4"/>
    <w:rsid w:val="00CC2AC4"/>
    <w:rsid w:val="00CC68F7"/>
    <w:rsid w:val="00CE60A5"/>
    <w:rsid w:val="00CF1D23"/>
    <w:rsid w:val="00CF728D"/>
    <w:rsid w:val="00D00460"/>
    <w:rsid w:val="00D053B3"/>
    <w:rsid w:val="00D10558"/>
    <w:rsid w:val="00D20C2E"/>
    <w:rsid w:val="00D436AB"/>
    <w:rsid w:val="00D437E0"/>
    <w:rsid w:val="00D44F8C"/>
    <w:rsid w:val="00D51668"/>
    <w:rsid w:val="00D64E84"/>
    <w:rsid w:val="00D73937"/>
    <w:rsid w:val="00D84D0E"/>
    <w:rsid w:val="00D8621B"/>
    <w:rsid w:val="00DA6BDF"/>
    <w:rsid w:val="00DC39A4"/>
    <w:rsid w:val="00DE5828"/>
    <w:rsid w:val="00DE67C2"/>
    <w:rsid w:val="00DF3A11"/>
    <w:rsid w:val="00E03897"/>
    <w:rsid w:val="00E56535"/>
    <w:rsid w:val="00E64763"/>
    <w:rsid w:val="00E673C7"/>
    <w:rsid w:val="00EB01A3"/>
    <w:rsid w:val="00ED72E7"/>
    <w:rsid w:val="00EE1F32"/>
    <w:rsid w:val="00EF17AB"/>
    <w:rsid w:val="00EF6673"/>
    <w:rsid w:val="00EF6F0D"/>
    <w:rsid w:val="00EF707E"/>
    <w:rsid w:val="00F002CC"/>
    <w:rsid w:val="00F068CC"/>
    <w:rsid w:val="00F1352E"/>
    <w:rsid w:val="00F33D86"/>
    <w:rsid w:val="00F35336"/>
    <w:rsid w:val="00F45548"/>
    <w:rsid w:val="00F521B0"/>
    <w:rsid w:val="00F6556A"/>
    <w:rsid w:val="00FA16B4"/>
    <w:rsid w:val="00FB1BEB"/>
    <w:rsid w:val="00FB29D7"/>
    <w:rsid w:val="00FB3146"/>
    <w:rsid w:val="00FC7554"/>
    <w:rsid w:val="00FE5866"/>
    <w:rsid w:val="00FE7982"/>
    <w:rsid w:val="00FF5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0EAB701"/>
  <w15:docId w15:val="{6387A85A-FAA0-43AD-97B3-B2ABCDF0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ernhardMod BT" w:hAnsi="BernhardMod BT" w:cs="BernhardMod BT"/>
      <w:sz w:val="24"/>
      <w:szCs w:val="24"/>
      <w:lang w:eastAsia="en-US"/>
    </w:rPr>
  </w:style>
  <w:style w:type="paragraph" w:styleId="Heading1">
    <w:name w:val="heading 1"/>
    <w:basedOn w:val="Normal"/>
    <w:next w:val="Normal"/>
    <w:qFormat/>
    <w:pPr>
      <w:keepNext/>
      <w:outlineLvl w:val="0"/>
    </w:pPr>
    <w:rPr>
      <w:rFonts w:ascii="Book Antiqua" w:hAnsi="Book Antiqua" w:cs="Book Antiqua"/>
    </w:rPr>
  </w:style>
  <w:style w:type="paragraph" w:styleId="Heading2">
    <w:name w:val="heading 2"/>
    <w:basedOn w:val="Normal"/>
    <w:next w:val="Normal"/>
    <w:qFormat/>
    <w:pPr>
      <w:keepNext/>
      <w:jc w:val="center"/>
      <w:outlineLvl w:val="1"/>
    </w:pPr>
    <w:rPr>
      <w:b/>
      <w:bCs/>
      <w:u w:val="single"/>
    </w:rPr>
  </w:style>
  <w:style w:type="paragraph" w:styleId="Heading3">
    <w:name w:val="heading 3"/>
    <w:basedOn w:val="Normal"/>
    <w:next w:val="Normal"/>
    <w:qFormat/>
    <w:pPr>
      <w:keepNext/>
      <w:outlineLvl w:val="2"/>
    </w:pPr>
    <w:rPr>
      <w:b/>
      <w:bCs/>
      <w:sz w:val="20"/>
      <w:szCs w:val="20"/>
    </w:rPr>
  </w:style>
  <w:style w:type="paragraph" w:styleId="Heading8">
    <w:name w:val="heading 8"/>
    <w:basedOn w:val="Normal"/>
    <w:next w:val="Normal"/>
    <w:qFormat/>
    <w:rsid w:val="00966062"/>
    <w:pPr>
      <w:spacing w:before="240" w:after="60"/>
      <w:outlineLvl w:val="7"/>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239"/>
      <w:jc w:val="both"/>
    </w:pPr>
  </w:style>
  <w:style w:type="paragraph" w:styleId="Header">
    <w:name w:val="header"/>
    <w:basedOn w:val="Normal"/>
    <w:rsid w:val="00EF17AB"/>
    <w:pPr>
      <w:tabs>
        <w:tab w:val="center" w:pos="4153"/>
        <w:tab w:val="right" w:pos="8306"/>
      </w:tabs>
    </w:pPr>
  </w:style>
  <w:style w:type="paragraph" w:styleId="Footer">
    <w:name w:val="footer"/>
    <w:basedOn w:val="Normal"/>
    <w:rsid w:val="00EF17AB"/>
    <w:pPr>
      <w:tabs>
        <w:tab w:val="center" w:pos="4153"/>
        <w:tab w:val="right" w:pos="8306"/>
      </w:tabs>
    </w:pPr>
  </w:style>
  <w:style w:type="table" w:styleId="TableGrid">
    <w:name w:val="Table Grid"/>
    <w:basedOn w:val="TableNormal"/>
    <w:uiPriority w:val="99"/>
    <w:rsid w:val="00765BE4"/>
    <w:rPr>
      <w:rFonts w:ascii="BernhardMod BT" w:hAnsi="BernhardMod BT" w:cs="BernhardMod B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966062"/>
    <w:pPr>
      <w:spacing w:after="120"/>
      <w:ind w:left="283"/>
    </w:pPr>
  </w:style>
  <w:style w:type="paragraph" w:styleId="BodyTextIndent2">
    <w:name w:val="Body Text Indent 2"/>
    <w:basedOn w:val="Normal"/>
    <w:rsid w:val="00966062"/>
    <w:pPr>
      <w:spacing w:after="120" w:line="480" w:lineRule="auto"/>
      <w:ind w:left="283"/>
    </w:pPr>
  </w:style>
  <w:style w:type="paragraph" w:styleId="BalloonText">
    <w:name w:val="Balloon Text"/>
    <w:basedOn w:val="Normal"/>
    <w:link w:val="BalloonTextChar"/>
    <w:rsid w:val="00C1704B"/>
    <w:rPr>
      <w:rFonts w:ascii="Tahoma" w:hAnsi="Tahoma" w:cs="Tahoma"/>
      <w:sz w:val="16"/>
      <w:szCs w:val="16"/>
    </w:rPr>
  </w:style>
  <w:style w:type="character" w:customStyle="1" w:styleId="BalloonTextChar">
    <w:name w:val="Balloon Text Char"/>
    <w:basedOn w:val="DefaultParagraphFont"/>
    <w:link w:val="BalloonText"/>
    <w:rsid w:val="00C1704B"/>
    <w:rPr>
      <w:rFonts w:ascii="Tahoma" w:hAnsi="Tahoma" w:cs="Tahoma"/>
      <w:sz w:val="16"/>
      <w:szCs w:val="16"/>
      <w:lang w:eastAsia="en-US"/>
    </w:rPr>
  </w:style>
  <w:style w:type="paragraph" w:styleId="ListParagraph">
    <w:name w:val="List Paragraph"/>
    <w:basedOn w:val="Normal"/>
    <w:uiPriority w:val="34"/>
    <w:qFormat/>
    <w:rsid w:val="000A3125"/>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153839047">
      <w:bodyDiv w:val="1"/>
      <w:marLeft w:val="0"/>
      <w:marRight w:val="0"/>
      <w:marTop w:val="0"/>
      <w:marBottom w:val="0"/>
      <w:divBdr>
        <w:top w:val="none" w:sz="0" w:space="0" w:color="auto"/>
        <w:left w:val="none" w:sz="0" w:space="0" w:color="auto"/>
        <w:bottom w:val="none" w:sz="0" w:space="0" w:color="auto"/>
        <w:right w:val="none" w:sz="0" w:space="0" w:color="auto"/>
      </w:divBdr>
    </w:div>
    <w:div w:id="1886019528">
      <w:bodyDiv w:val="1"/>
      <w:marLeft w:val="0"/>
      <w:marRight w:val="0"/>
      <w:marTop w:val="0"/>
      <w:marBottom w:val="0"/>
      <w:divBdr>
        <w:top w:val="none" w:sz="0" w:space="0" w:color="auto"/>
        <w:left w:val="none" w:sz="0" w:space="0" w:color="auto"/>
        <w:bottom w:val="none" w:sz="0" w:space="0" w:color="auto"/>
        <w:right w:val="none" w:sz="0" w:space="0" w:color="auto"/>
      </w:divBdr>
    </w:div>
    <w:div w:id="200731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Dr G A W Hornett</vt:lpstr>
    </vt:vector>
  </TitlesOfParts>
  <Company>Wonersh Surgery</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G A W Hornett</dc:title>
  <dc:creator>Administrator</dc:creator>
  <cp:lastModifiedBy>IDOWU, Christiana (THE NORTH LEEDS MEDICAL PRACTICE)</cp:lastModifiedBy>
  <cp:revision>2</cp:revision>
  <cp:lastPrinted>2017-08-03T12:11:00Z</cp:lastPrinted>
  <dcterms:created xsi:type="dcterms:W3CDTF">2025-04-24T10:41:00Z</dcterms:created>
  <dcterms:modified xsi:type="dcterms:W3CDTF">2025-04-24T10:41:00Z</dcterms:modified>
</cp:coreProperties>
</file>