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48D9" w14:textId="77777777" w:rsidR="00C12A06" w:rsidRDefault="00C12A06" w:rsidP="00A46271">
      <w:pPr>
        <w:jc w:val="center"/>
        <w:rPr>
          <w:b/>
          <w:bCs/>
          <w:sz w:val="28"/>
          <w:szCs w:val="28"/>
        </w:rPr>
      </w:pPr>
      <w:r w:rsidRPr="00A46271">
        <w:rPr>
          <w:b/>
          <w:bCs/>
          <w:sz w:val="28"/>
          <w:szCs w:val="28"/>
        </w:rPr>
        <w:t>BRIDGEWATER SURGERIES</w:t>
      </w:r>
    </w:p>
    <w:p w14:paraId="11D8AFD0" w14:textId="77777777" w:rsidR="00A46271" w:rsidRPr="00A46271" w:rsidRDefault="00A46271" w:rsidP="00A46271">
      <w:pPr>
        <w:jc w:val="center"/>
        <w:rPr>
          <w:b/>
          <w:bCs/>
          <w:sz w:val="8"/>
          <w:szCs w:val="8"/>
        </w:rPr>
      </w:pPr>
    </w:p>
    <w:p w14:paraId="5EB42B19" w14:textId="1698AEE0" w:rsidR="00A46271" w:rsidRPr="00A46271" w:rsidRDefault="00A46271" w:rsidP="00A46271">
      <w:pPr>
        <w:jc w:val="center"/>
        <w:rPr>
          <w:b/>
          <w:bCs/>
          <w:sz w:val="28"/>
          <w:szCs w:val="28"/>
        </w:rPr>
      </w:pPr>
      <w:r w:rsidRPr="00A46271">
        <w:rPr>
          <w:b/>
          <w:bCs/>
          <w:sz w:val="28"/>
          <w:szCs w:val="28"/>
        </w:rPr>
        <w:t>Fournier’s Gangrene Advice Leaflet</w:t>
      </w:r>
    </w:p>
    <w:p w14:paraId="255BE5C5" w14:textId="77777777" w:rsidR="00C12A06" w:rsidRPr="00A46271" w:rsidRDefault="00C12A06" w:rsidP="00FF2437">
      <w:pPr>
        <w:jc w:val="both"/>
        <w:rPr>
          <w:sz w:val="23"/>
          <w:szCs w:val="23"/>
        </w:rPr>
      </w:pPr>
    </w:p>
    <w:p w14:paraId="74DA2FDB" w14:textId="77777777" w:rsidR="00FF2437" w:rsidRPr="00A46271" w:rsidRDefault="00C12A06" w:rsidP="00FF2437">
      <w:pPr>
        <w:jc w:val="both"/>
        <w:rPr>
          <w:b/>
          <w:bCs/>
        </w:rPr>
      </w:pPr>
      <w:r w:rsidRPr="00A46271">
        <w:rPr>
          <w:b/>
          <w:bCs/>
        </w:rPr>
        <w:t xml:space="preserve">Why have I been given this leaflet? </w:t>
      </w:r>
    </w:p>
    <w:p w14:paraId="49E72D91" w14:textId="716AD70C" w:rsidR="00C12A06" w:rsidRPr="00A46271" w:rsidRDefault="00C12A06" w:rsidP="00FF2437">
      <w:pPr>
        <w:jc w:val="both"/>
        <w:rPr>
          <w:sz w:val="23"/>
          <w:szCs w:val="23"/>
        </w:rPr>
      </w:pPr>
      <w:r w:rsidRPr="00A46271">
        <w:rPr>
          <w:sz w:val="23"/>
          <w:szCs w:val="23"/>
        </w:rPr>
        <w:t xml:space="preserve">You have been given this leaflet because you are taking, or are about to take an SGLT-2 inhibitor drug to improve the treatment of your diabetes, chronic kidney disease or heart failure. The name of these drugs end with ‘gliflozin’. </w:t>
      </w:r>
    </w:p>
    <w:p w14:paraId="6071BAF5" w14:textId="77777777" w:rsidR="00C12A06" w:rsidRPr="00A46271" w:rsidRDefault="00C12A06" w:rsidP="00FF2437">
      <w:pPr>
        <w:jc w:val="both"/>
        <w:rPr>
          <w:sz w:val="23"/>
          <w:szCs w:val="23"/>
        </w:rPr>
      </w:pPr>
    </w:p>
    <w:p w14:paraId="4F115449" w14:textId="190866D2" w:rsidR="00C12A06" w:rsidRPr="00A46271" w:rsidRDefault="00C12A06" w:rsidP="00FF2437">
      <w:pPr>
        <w:jc w:val="both"/>
        <w:rPr>
          <w:sz w:val="23"/>
          <w:szCs w:val="23"/>
        </w:rPr>
      </w:pPr>
      <w:r w:rsidRPr="00A46271">
        <w:rPr>
          <w:sz w:val="23"/>
          <w:szCs w:val="23"/>
        </w:rPr>
        <w:t>Examples include:</w:t>
      </w:r>
      <w:r w:rsidR="00FF2437" w:rsidRPr="00A46271">
        <w:rPr>
          <w:sz w:val="23"/>
          <w:szCs w:val="23"/>
        </w:rPr>
        <w:t>-</w:t>
      </w:r>
    </w:p>
    <w:p w14:paraId="7F74EF3D" w14:textId="77777777" w:rsidR="00FF2437" w:rsidRPr="00A46271" w:rsidRDefault="00FF2437" w:rsidP="00FF2437">
      <w:pPr>
        <w:jc w:val="both"/>
        <w:rPr>
          <w:sz w:val="23"/>
          <w:szCs w:val="23"/>
        </w:rPr>
      </w:pPr>
    </w:p>
    <w:p w14:paraId="05659C17" w14:textId="77777777" w:rsidR="00C12A06" w:rsidRPr="00A46271" w:rsidRDefault="00C12A06" w:rsidP="00FF2437">
      <w:pPr>
        <w:jc w:val="both"/>
        <w:rPr>
          <w:sz w:val="23"/>
          <w:szCs w:val="23"/>
        </w:rPr>
      </w:pPr>
      <w:r w:rsidRPr="00A46271">
        <w:rPr>
          <w:sz w:val="23"/>
          <w:szCs w:val="23"/>
        </w:rPr>
        <w:t xml:space="preserve">• empagliflozin (Jardiance®) </w:t>
      </w:r>
    </w:p>
    <w:p w14:paraId="7B2B0229" w14:textId="77777777" w:rsidR="00C12A06" w:rsidRPr="00A46271" w:rsidRDefault="00C12A06" w:rsidP="00FF2437">
      <w:pPr>
        <w:jc w:val="both"/>
        <w:rPr>
          <w:sz w:val="23"/>
          <w:szCs w:val="23"/>
        </w:rPr>
      </w:pPr>
      <w:r w:rsidRPr="00A46271">
        <w:rPr>
          <w:sz w:val="23"/>
          <w:szCs w:val="23"/>
        </w:rPr>
        <w:t>• canagliflozin (</w:t>
      </w:r>
      <w:proofErr w:type="spellStart"/>
      <w:r w:rsidRPr="00A46271">
        <w:rPr>
          <w:sz w:val="23"/>
          <w:szCs w:val="23"/>
        </w:rPr>
        <w:t>lnvokana</w:t>
      </w:r>
      <w:proofErr w:type="spellEnd"/>
      <w:r w:rsidRPr="00A46271">
        <w:rPr>
          <w:sz w:val="23"/>
          <w:szCs w:val="23"/>
        </w:rPr>
        <w:t xml:space="preserve">®) </w:t>
      </w:r>
    </w:p>
    <w:p w14:paraId="3882D948" w14:textId="77777777" w:rsidR="00C12A06" w:rsidRPr="00A46271" w:rsidRDefault="00C12A06" w:rsidP="00FF2437">
      <w:pPr>
        <w:jc w:val="both"/>
        <w:rPr>
          <w:sz w:val="23"/>
          <w:szCs w:val="23"/>
        </w:rPr>
      </w:pPr>
      <w:r w:rsidRPr="00A46271">
        <w:rPr>
          <w:sz w:val="23"/>
          <w:szCs w:val="23"/>
        </w:rPr>
        <w:t>• dapagliflozin (</w:t>
      </w:r>
      <w:proofErr w:type="spellStart"/>
      <w:r w:rsidRPr="00A46271">
        <w:rPr>
          <w:sz w:val="23"/>
          <w:szCs w:val="23"/>
        </w:rPr>
        <w:t>Forxiga</w:t>
      </w:r>
      <w:proofErr w:type="spellEnd"/>
      <w:r w:rsidRPr="00A46271">
        <w:rPr>
          <w:sz w:val="23"/>
          <w:szCs w:val="23"/>
        </w:rPr>
        <w:t xml:space="preserve">®) </w:t>
      </w:r>
    </w:p>
    <w:p w14:paraId="51746845" w14:textId="77777777" w:rsidR="00C12A06" w:rsidRPr="00A46271" w:rsidRDefault="00C12A06" w:rsidP="00FF2437">
      <w:pPr>
        <w:jc w:val="both"/>
        <w:rPr>
          <w:sz w:val="23"/>
          <w:szCs w:val="23"/>
        </w:rPr>
      </w:pPr>
    </w:p>
    <w:p w14:paraId="61F501ED" w14:textId="77777777" w:rsidR="00C12A06" w:rsidRPr="00A46271" w:rsidRDefault="00C12A06" w:rsidP="00FF2437">
      <w:pPr>
        <w:jc w:val="both"/>
        <w:rPr>
          <w:sz w:val="23"/>
          <w:szCs w:val="23"/>
        </w:rPr>
      </w:pPr>
      <w:r w:rsidRPr="00A46271">
        <w:rPr>
          <w:sz w:val="23"/>
          <w:szCs w:val="23"/>
        </w:rPr>
        <w:t xml:space="preserve">Research has found that there are some very rare but important side effects which appear to be more common in patients taking these drugs. You should be aware of these potential side effects as if they are not identified early, they can be extremely dangerous and life threatening. </w:t>
      </w:r>
    </w:p>
    <w:p w14:paraId="33AB5ADC" w14:textId="77777777" w:rsidR="00C12A06" w:rsidRPr="00A46271" w:rsidRDefault="00C12A06" w:rsidP="00FF2437">
      <w:pPr>
        <w:jc w:val="both"/>
        <w:rPr>
          <w:sz w:val="23"/>
          <w:szCs w:val="23"/>
        </w:rPr>
      </w:pPr>
    </w:p>
    <w:p w14:paraId="00BF624B" w14:textId="77777777" w:rsidR="00C12A06" w:rsidRPr="00A46271" w:rsidRDefault="00C12A06" w:rsidP="00FF2437">
      <w:pPr>
        <w:jc w:val="both"/>
        <w:rPr>
          <w:b/>
          <w:bCs/>
        </w:rPr>
      </w:pPr>
      <w:r w:rsidRPr="00A46271">
        <w:rPr>
          <w:b/>
          <w:bCs/>
        </w:rPr>
        <w:t xml:space="preserve">What is this side effect? </w:t>
      </w:r>
    </w:p>
    <w:p w14:paraId="7DFC4531" w14:textId="77777777" w:rsidR="00C12A06" w:rsidRPr="00A46271" w:rsidRDefault="00C12A06" w:rsidP="00FF2437">
      <w:pPr>
        <w:jc w:val="both"/>
        <w:rPr>
          <w:sz w:val="23"/>
          <w:szCs w:val="23"/>
        </w:rPr>
      </w:pPr>
      <w:r w:rsidRPr="00A46271">
        <w:rPr>
          <w:sz w:val="23"/>
          <w:szCs w:val="23"/>
        </w:rPr>
        <w:t xml:space="preserve">Extremely rare but life-threatening bacterial infection of the tissue under the skin that surrounds muscles, nerves, fat, and blood vessels around the genital area. This is a rare serious infection, called necrotizing fasciitis of the perineum (Necrosis meaning: body tissue is dead or is dying because of a lack of blood flow or a bacterial infection. </w:t>
      </w:r>
    </w:p>
    <w:p w14:paraId="188A5F76" w14:textId="77777777" w:rsidR="00C12A06" w:rsidRPr="00A46271" w:rsidRDefault="00C12A06" w:rsidP="00FF2437">
      <w:pPr>
        <w:jc w:val="both"/>
        <w:rPr>
          <w:sz w:val="23"/>
          <w:szCs w:val="23"/>
        </w:rPr>
      </w:pPr>
    </w:p>
    <w:p w14:paraId="446BDEAB" w14:textId="77777777" w:rsidR="00C12A06" w:rsidRPr="00A46271" w:rsidRDefault="00C12A06" w:rsidP="00FF2437">
      <w:pPr>
        <w:jc w:val="both"/>
        <w:rPr>
          <w:sz w:val="23"/>
          <w:szCs w:val="23"/>
        </w:rPr>
      </w:pPr>
      <w:r w:rsidRPr="00A46271">
        <w:rPr>
          <w:sz w:val="23"/>
          <w:szCs w:val="23"/>
        </w:rPr>
        <w:t xml:space="preserve">In this case includes the testicles, penis, and the perineum which is the area between the scrotum and anus for a man; or the area between the anus and vulva for a woman) is also referred to as Fournier’s gangrene. </w:t>
      </w:r>
    </w:p>
    <w:p w14:paraId="2B995377" w14:textId="77777777" w:rsidR="00C12A06" w:rsidRPr="00A46271" w:rsidRDefault="00C12A06" w:rsidP="00FF2437">
      <w:pPr>
        <w:jc w:val="both"/>
        <w:rPr>
          <w:sz w:val="23"/>
          <w:szCs w:val="23"/>
        </w:rPr>
      </w:pPr>
    </w:p>
    <w:p w14:paraId="5915790B" w14:textId="77777777" w:rsidR="00C12A06" w:rsidRPr="00A46271" w:rsidRDefault="00C12A06" w:rsidP="00FF2437">
      <w:pPr>
        <w:jc w:val="both"/>
        <w:rPr>
          <w:sz w:val="23"/>
          <w:szCs w:val="23"/>
        </w:rPr>
      </w:pPr>
      <w:r w:rsidRPr="00A46271">
        <w:rPr>
          <w:sz w:val="23"/>
          <w:szCs w:val="23"/>
        </w:rPr>
        <w:t xml:space="preserve">If treatment is delayed it can be fatal. If you have any of these symptoms, please contact a medical professional, such as a doctor or nurse immediately, even if your blood sugars are near normal. </w:t>
      </w:r>
    </w:p>
    <w:p w14:paraId="2C8FA3FB" w14:textId="77777777" w:rsidR="00C12A06" w:rsidRPr="00A46271" w:rsidRDefault="00C12A06" w:rsidP="00FF2437">
      <w:pPr>
        <w:jc w:val="both"/>
        <w:rPr>
          <w:sz w:val="23"/>
          <w:szCs w:val="23"/>
        </w:rPr>
      </w:pPr>
    </w:p>
    <w:p w14:paraId="2C8E9FE2" w14:textId="77777777" w:rsidR="00771B10" w:rsidRPr="00A46271" w:rsidRDefault="00C12A06" w:rsidP="00FF2437">
      <w:pPr>
        <w:jc w:val="both"/>
        <w:rPr>
          <w:sz w:val="23"/>
          <w:szCs w:val="23"/>
        </w:rPr>
      </w:pPr>
      <w:r w:rsidRPr="00A46271">
        <w:rPr>
          <w:sz w:val="23"/>
          <w:szCs w:val="23"/>
        </w:rPr>
        <w:t xml:space="preserve">If your GP practice is closed, please call the NHS 111 service, by dialling 111, for more advice. Tell them that you are worried about one of the conditions above. Stop this medication until you have further medical advice. </w:t>
      </w:r>
    </w:p>
    <w:p w14:paraId="4F8C656F" w14:textId="77777777" w:rsidR="00771B10" w:rsidRPr="00A46271" w:rsidRDefault="00771B10" w:rsidP="00FF2437">
      <w:pPr>
        <w:jc w:val="both"/>
        <w:rPr>
          <w:sz w:val="23"/>
          <w:szCs w:val="23"/>
        </w:rPr>
      </w:pPr>
    </w:p>
    <w:p w14:paraId="652A962C" w14:textId="77777777" w:rsidR="00FF2437" w:rsidRPr="00A46271" w:rsidRDefault="00C12A06" w:rsidP="00FF2437">
      <w:pPr>
        <w:jc w:val="both"/>
        <w:rPr>
          <w:b/>
          <w:bCs/>
        </w:rPr>
      </w:pPr>
      <w:r w:rsidRPr="00A46271">
        <w:rPr>
          <w:b/>
          <w:bCs/>
        </w:rPr>
        <w:t xml:space="preserve">How common are these side effects? </w:t>
      </w:r>
    </w:p>
    <w:p w14:paraId="4C64F146" w14:textId="75CD6F0F" w:rsidR="00771B10" w:rsidRPr="00A46271" w:rsidRDefault="00C12A06" w:rsidP="00FF2437">
      <w:pPr>
        <w:jc w:val="both"/>
        <w:rPr>
          <w:sz w:val="23"/>
          <w:szCs w:val="23"/>
        </w:rPr>
      </w:pPr>
      <w:r w:rsidRPr="00A46271">
        <w:rPr>
          <w:sz w:val="23"/>
          <w:szCs w:val="23"/>
        </w:rPr>
        <w:t xml:space="preserve">Fournier’s gangrene can occur in people who do not have diabetes, but is more common in people with diabetes. It is estimated to occur in approximately 1 in 100,000 patients treated with an SGLT-2 inhibitor. Most cases of Fournier’s gangrene occur in men, but in patients treated with SGLT2 inhibitors it can also occur in women. </w:t>
      </w:r>
    </w:p>
    <w:p w14:paraId="3A5C34B9" w14:textId="77777777" w:rsidR="00771B10" w:rsidRPr="00A46271" w:rsidRDefault="00771B10" w:rsidP="00FF2437">
      <w:pPr>
        <w:jc w:val="both"/>
        <w:rPr>
          <w:sz w:val="23"/>
          <w:szCs w:val="23"/>
        </w:rPr>
      </w:pPr>
    </w:p>
    <w:p w14:paraId="1F132D9A" w14:textId="77777777" w:rsidR="00FF2437" w:rsidRPr="00A46271" w:rsidRDefault="00C12A06" w:rsidP="00FF2437">
      <w:pPr>
        <w:jc w:val="both"/>
        <w:rPr>
          <w:b/>
          <w:bCs/>
        </w:rPr>
      </w:pPr>
      <w:r w:rsidRPr="00A46271">
        <w:rPr>
          <w:b/>
          <w:bCs/>
        </w:rPr>
        <w:t xml:space="preserve">What should I look out for? </w:t>
      </w:r>
    </w:p>
    <w:p w14:paraId="2B8A0585" w14:textId="2DCFFC6A" w:rsidR="00771B10" w:rsidRPr="00A46271" w:rsidRDefault="00C12A06" w:rsidP="00FF2437">
      <w:pPr>
        <w:jc w:val="both"/>
        <w:rPr>
          <w:sz w:val="23"/>
          <w:szCs w:val="23"/>
        </w:rPr>
      </w:pPr>
      <w:r w:rsidRPr="00A46271">
        <w:rPr>
          <w:sz w:val="23"/>
          <w:szCs w:val="23"/>
        </w:rPr>
        <w:t xml:space="preserve">The following symptoms might indicate Fournier’s gangrene: Tenderness, redness, or swelling of the genitals or the area from the genitals back to the rectum, and have a fever above 100.4 F (38C) or a general feeling of being unwell. These symptoms can worsen quickly, so it is important to seek treatment right away. </w:t>
      </w:r>
    </w:p>
    <w:p w14:paraId="2369E8D4" w14:textId="77777777" w:rsidR="00771B10" w:rsidRPr="00A46271" w:rsidRDefault="00771B10" w:rsidP="00FF2437">
      <w:pPr>
        <w:jc w:val="both"/>
        <w:rPr>
          <w:sz w:val="23"/>
          <w:szCs w:val="23"/>
        </w:rPr>
      </w:pPr>
    </w:p>
    <w:p w14:paraId="52755326" w14:textId="77777777" w:rsidR="007C329A" w:rsidRPr="00A46271" w:rsidRDefault="00C12A06" w:rsidP="00FF2437">
      <w:pPr>
        <w:jc w:val="both"/>
        <w:rPr>
          <w:b/>
          <w:bCs/>
        </w:rPr>
      </w:pPr>
      <w:r w:rsidRPr="00A46271">
        <w:rPr>
          <w:b/>
          <w:bCs/>
        </w:rPr>
        <w:t>What if I am having major surgery?</w:t>
      </w:r>
    </w:p>
    <w:p w14:paraId="483D3B90" w14:textId="77777777" w:rsidR="00A46271" w:rsidRPr="00A46271" w:rsidRDefault="00C12A06" w:rsidP="00FF2437">
      <w:pPr>
        <w:jc w:val="both"/>
        <w:rPr>
          <w:sz w:val="23"/>
          <w:szCs w:val="23"/>
        </w:rPr>
      </w:pPr>
      <w:r w:rsidRPr="00A46271">
        <w:rPr>
          <w:sz w:val="23"/>
          <w:szCs w:val="23"/>
        </w:rPr>
        <w:t xml:space="preserve">Please stop this medication 24 hours before your surgery. Restart only after you are fully mobile and eating and drinking normally. </w:t>
      </w:r>
    </w:p>
    <w:p w14:paraId="07315453" w14:textId="77777777" w:rsidR="00A46271" w:rsidRPr="00A46271" w:rsidRDefault="00A46271" w:rsidP="00FF2437">
      <w:pPr>
        <w:jc w:val="both"/>
        <w:rPr>
          <w:sz w:val="23"/>
          <w:szCs w:val="23"/>
        </w:rPr>
      </w:pPr>
    </w:p>
    <w:p w14:paraId="6926B4F4" w14:textId="77777777" w:rsidR="00A46271" w:rsidRPr="00A46271" w:rsidRDefault="00C12A06" w:rsidP="00FF2437">
      <w:pPr>
        <w:jc w:val="both"/>
        <w:rPr>
          <w:sz w:val="23"/>
          <w:szCs w:val="23"/>
        </w:rPr>
      </w:pPr>
      <w:r w:rsidRPr="00A46271">
        <w:rPr>
          <w:b/>
          <w:bCs/>
        </w:rPr>
        <w:t>If I feel unwell, what will my doctor or nurse do?</w:t>
      </w:r>
    </w:p>
    <w:p w14:paraId="6997D079" w14:textId="0CF8EB68" w:rsidR="00C02900" w:rsidRPr="00A46271" w:rsidRDefault="00C12A06" w:rsidP="00FF2437">
      <w:pPr>
        <w:jc w:val="both"/>
        <w:rPr>
          <w:sz w:val="23"/>
          <w:szCs w:val="23"/>
        </w:rPr>
      </w:pPr>
      <w:r w:rsidRPr="00A46271">
        <w:rPr>
          <w:sz w:val="23"/>
          <w:szCs w:val="23"/>
        </w:rPr>
        <w:t>You will have a finger prick blood test to test for the amount of glucose and ketones (a breakdown product of fat) in your blood. If the levels of ketones are high, you will likely require hospital treatment. If Fournier’s gangrene is suspected you will require prompt hospital treatment with broad-spectrum antibiotics and surgical debridement if necessar</w:t>
      </w:r>
      <w:r w:rsidR="00771B10" w:rsidRPr="00A46271">
        <w:rPr>
          <w:sz w:val="23"/>
          <w:szCs w:val="23"/>
        </w:rPr>
        <w:t>y</w:t>
      </w:r>
      <w:r w:rsidR="00FF2437" w:rsidRPr="00A46271">
        <w:rPr>
          <w:sz w:val="23"/>
          <w:szCs w:val="23"/>
        </w:rPr>
        <w:t>.</w:t>
      </w:r>
    </w:p>
    <w:sectPr w:rsidR="00C02900" w:rsidRPr="00A46271" w:rsidSect="00A46271">
      <w:pgSz w:w="11906" w:h="16838"/>
      <w:pgMar w:top="284" w:right="1133"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06"/>
    <w:rsid w:val="00373AAE"/>
    <w:rsid w:val="00771B10"/>
    <w:rsid w:val="007C329A"/>
    <w:rsid w:val="00A46271"/>
    <w:rsid w:val="00C02900"/>
    <w:rsid w:val="00C12A06"/>
    <w:rsid w:val="00F4462F"/>
    <w:rsid w:val="00FA0556"/>
    <w:rsid w:val="00FF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8D7C"/>
  <w15:chartTrackingRefBased/>
  <w15:docId w15:val="{E1E30508-EA60-4CCF-A524-EAB2488F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56"/>
    <w:rPr>
      <w:sz w:val="24"/>
      <w:szCs w:val="24"/>
    </w:rPr>
  </w:style>
  <w:style w:type="paragraph" w:styleId="Heading1">
    <w:name w:val="heading 1"/>
    <w:basedOn w:val="Normal"/>
    <w:next w:val="Normal"/>
    <w:link w:val="Heading1Char"/>
    <w:uiPriority w:val="9"/>
    <w:qFormat/>
    <w:rsid w:val="00FA0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0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0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0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0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0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0556"/>
    <w:pPr>
      <w:spacing w:before="240" w:after="60"/>
      <w:outlineLvl w:val="6"/>
    </w:pPr>
  </w:style>
  <w:style w:type="paragraph" w:styleId="Heading8">
    <w:name w:val="heading 8"/>
    <w:basedOn w:val="Normal"/>
    <w:next w:val="Normal"/>
    <w:link w:val="Heading8Char"/>
    <w:uiPriority w:val="9"/>
    <w:semiHidden/>
    <w:unhideWhenUsed/>
    <w:qFormat/>
    <w:rsid w:val="00FA0556"/>
    <w:pPr>
      <w:spacing w:before="240" w:after="60"/>
      <w:outlineLvl w:val="7"/>
    </w:pPr>
    <w:rPr>
      <w:i/>
      <w:iCs/>
    </w:rPr>
  </w:style>
  <w:style w:type="paragraph" w:styleId="Heading9">
    <w:name w:val="heading 9"/>
    <w:basedOn w:val="Normal"/>
    <w:next w:val="Normal"/>
    <w:link w:val="Heading9Char"/>
    <w:uiPriority w:val="9"/>
    <w:semiHidden/>
    <w:unhideWhenUsed/>
    <w:qFormat/>
    <w:rsid w:val="00FA0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0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0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0556"/>
    <w:rPr>
      <w:b/>
      <w:bCs/>
      <w:sz w:val="28"/>
      <w:szCs w:val="28"/>
    </w:rPr>
  </w:style>
  <w:style w:type="character" w:customStyle="1" w:styleId="Heading5Char">
    <w:name w:val="Heading 5 Char"/>
    <w:basedOn w:val="DefaultParagraphFont"/>
    <w:link w:val="Heading5"/>
    <w:uiPriority w:val="9"/>
    <w:semiHidden/>
    <w:rsid w:val="00FA0556"/>
    <w:rPr>
      <w:b/>
      <w:bCs/>
      <w:i/>
      <w:iCs/>
      <w:sz w:val="26"/>
      <w:szCs w:val="26"/>
    </w:rPr>
  </w:style>
  <w:style w:type="character" w:customStyle="1" w:styleId="Heading6Char">
    <w:name w:val="Heading 6 Char"/>
    <w:basedOn w:val="DefaultParagraphFont"/>
    <w:link w:val="Heading6"/>
    <w:uiPriority w:val="9"/>
    <w:semiHidden/>
    <w:rsid w:val="00FA0556"/>
    <w:rPr>
      <w:b/>
      <w:bCs/>
    </w:rPr>
  </w:style>
  <w:style w:type="character" w:customStyle="1" w:styleId="Heading7Char">
    <w:name w:val="Heading 7 Char"/>
    <w:basedOn w:val="DefaultParagraphFont"/>
    <w:link w:val="Heading7"/>
    <w:uiPriority w:val="9"/>
    <w:semiHidden/>
    <w:rsid w:val="00FA0556"/>
    <w:rPr>
      <w:sz w:val="24"/>
      <w:szCs w:val="24"/>
    </w:rPr>
  </w:style>
  <w:style w:type="character" w:customStyle="1" w:styleId="Heading8Char">
    <w:name w:val="Heading 8 Char"/>
    <w:basedOn w:val="DefaultParagraphFont"/>
    <w:link w:val="Heading8"/>
    <w:uiPriority w:val="9"/>
    <w:semiHidden/>
    <w:rsid w:val="00FA0556"/>
    <w:rPr>
      <w:i/>
      <w:iCs/>
      <w:sz w:val="24"/>
      <w:szCs w:val="24"/>
    </w:rPr>
  </w:style>
  <w:style w:type="character" w:customStyle="1" w:styleId="Heading9Char">
    <w:name w:val="Heading 9 Char"/>
    <w:basedOn w:val="DefaultParagraphFont"/>
    <w:link w:val="Heading9"/>
    <w:uiPriority w:val="9"/>
    <w:semiHidden/>
    <w:rsid w:val="00FA0556"/>
    <w:rPr>
      <w:rFonts w:asciiTheme="majorHAnsi" w:eastAsiaTheme="majorEastAsia" w:hAnsiTheme="majorHAnsi"/>
    </w:rPr>
  </w:style>
  <w:style w:type="paragraph" w:styleId="Title">
    <w:name w:val="Title"/>
    <w:basedOn w:val="Normal"/>
    <w:next w:val="Normal"/>
    <w:link w:val="TitleChar"/>
    <w:uiPriority w:val="10"/>
    <w:qFormat/>
    <w:rsid w:val="00FA0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0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0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0556"/>
    <w:rPr>
      <w:rFonts w:asciiTheme="majorHAnsi" w:eastAsiaTheme="majorEastAsia" w:hAnsiTheme="majorHAnsi"/>
      <w:sz w:val="24"/>
      <w:szCs w:val="24"/>
    </w:rPr>
  </w:style>
  <w:style w:type="character" w:styleId="Strong">
    <w:name w:val="Strong"/>
    <w:basedOn w:val="DefaultParagraphFont"/>
    <w:uiPriority w:val="22"/>
    <w:qFormat/>
    <w:rsid w:val="00FA0556"/>
    <w:rPr>
      <w:b/>
      <w:bCs/>
    </w:rPr>
  </w:style>
  <w:style w:type="character" w:styleId="Emphasis">
    <w:name w:val="Emphasis"/>
    <w:basedOn w:val="DefaultParagraphFont"/>
    <w:uiPriority w:val="20"/>
    <w:qFormat/>
    <w:rsid w:val="00FA0556"/>
    <w:rPr>
      <w:rFonts w:asciiTheme="minorHAnsi" w:hAnsiTheme="minorHAnsi"/>
      <w:b/>
      <w:i/>
      <w:iCs/>
    </w:rPr>
  </w:style>
  <w:style w:type="paragraph" w:styleId="NoSpacing">
    <w:name w:val="No Spacing"/>
    <w:basedOn w:val="Normal"/>
    <w:uiPriority w:val="1"/>
    <w:qFormat/>
    <w:rsid w:val="00FA0556"/>
    <w:rPr>
      <w:szCs w:val="32"/>
    </w:rPr>
  </w:style>
  <w:style w:type="paragraph" w:styleId="ListParagraph">
    <w:name w:val="List Paragraph"/>
    <w:basedOn w:val="Normal"/>
    <w:uiPriority w:val="34"/>
    <w:qFormat/>
    <w:rsid w:val="00FA0556"/>
    <w:pPr>
      <w:ind w:left="720"/>
      <w:contextualSpacing/>
    </w:pPr>
  </w:style>
  <w:style w:type="paragraph" w:styleId="Quote">
    <w:name w:val="Quote"/>
    <w:basedOn w:val="Normal"/>
    <w:next w:val="Normal"/>
    <w:link w:val="QuoteChar"/>
    <w:uiPriority w:val="29"/>
    <w:qFormat/>
    <w:rsid w:val="00FA0556"/>
    <w:rPr>
      <w:i/>
    </w:rPr>
  </w:style>
  <w:style w:type="character" w:customStyle="1" w:styleId="QuoteChar">
    <w:name w:val="Quote Char"/>
    <w:basedOn w:val="DefaultParagraphFont"/>
    <w:link w:val="Quote"/>
    <w:uiPriority w:val="29"/>
    <w:rsid w:val="00FA0556"/>
    <w:rPr>
      <w:i/>
      <w:sz w:val="24"/>
      <w:szCs w:val="24"/>
    </w:rPr>
  </w:style>
  <w:style w:type="paragraph" w:styleId="IntenseQuote">
    <w:name w:val="Intense Quote"/>
    <w:basedOn w:val="Normal"/>
    <w:next w:val="Normal"/>
    <w:link w:val="IntenseQuoteChar"/>
    <w:uiPriority w:val="30"/>
    <w:qFormat/>
    <w:rsid w:val="00FA0556"/>
    <w:pPr>
      <w:ind w:left="720" w:right="720"/>
    </w:pPr>
    <w:rPr>
      <w:b/>
      <w:i/>
      <w:szCs w:val="22"/>
    </w:rPr>
  </w:style>
  <w:style w:type="character" w:customStyle="1" w:styleId="IntenseQuoteChar">
    <w:name w:val="Intense Quote Char"/>
    <w:basedOn w:val="DefaultParagraphFont"/>
    <w:link w:val="IntenseQuote"/>
    <w:uiPriority w:val="30"/>
    <w:rsid w:val="00FA0556"/>
    <w:rPr>
      <w:b/>
      <w:i/>
      <w:sz w:val="24"/>
    </w:rPr>
  </w:style>
  <w:style w:type="character" w:styleId="SubtleEmphasis">
    <w:name w:val="Subtle Emphasis"/>
    <w:uiPriority w:val="19"/>
    <w:qFormat/>
    <w:rsid w:val="00FA0556"/>
    <w:rPr>
      <w:i/>
      <w:color w:val="5A5A5A" w:themeColor="text1" w:themeTint="A5"/>
    </w:rPr>
  </w:style>
  <w:style w:type="character" w:styleId="IntenseEmphasis">
    <w:name w:val="Intense Emphasis"/>
    <w:basedOn w:val="DefaultParagraphFont"/>
    <w:uiPriority w:val="21"/>
    <w:qFormat/>
    <w:rsid w:val="00FA0556"/>
    <w:rPr>
      <w:b/>
      <w:i/>
      <w:sz w:val="24"/>
      <w:szCs w:val="24"/>
      <w:u w:val="single"/>
    </w:rPr>
  </w:style>
  <w:style w:type="character" w:styleId="SubtleReference">
    <w:name w:val="Subtle Reference"/>
    <w:basedOn w:val="DefaultParagraphFont"/>
    <w:uiPriority w:val="31"/>
    <w:qFormat/>
    <w:rsid w:val="00FA0556"/>
    <w:rPr>
      <w:sz w:val="24"/>
      <w:szCs w:val="24"/>
      <w:u w:val="single"/>
    </w:rPr>
  </w:style>
  <w:style w:type="character" w:styleId="IntenseReference">
    <w:name w:val="Intense Reference"/>
    <w:basedOn w:val="DefaultParagraphFont"/>
    <w:uiPriority w:val="32"/>
    <w:qFormat/>
    <w:rsid w:val="00FA0556"/>
    <w:rPr>
      <w:b/>
      <w:sz w:val="24"/>
      <w:u w:val="single"/>
    </w:rPr>
  </w:style>
  <w:style w:type="character" w:styleId="BookTitle">
    <w:name w:val="Book Title"/>
    <w:basedOn w:val="DefaultParagraphFont"/>
    <w:uiPriority w:val="33"/>
    <w:qFormat/>
    <w:rsid w:val="00FA0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0556"/>
    <w:pPr>
      <w:outlineLvl w:val="9"/>
    </w:pPr>
  </w:style>
  <w:style w:type="paragraph" w:styleId="EnvelopeAddress">
    <w:name w:val="envelope address"/>
    <w:basedOn w:val="Normal"/>
    <w:uiPriority w:val="99"/>
    <w:semiHidden/>
    <w:unhideWhenUsed/>
    <w:rsid w:val="00373AAE"/>
    <w:pPr>
      <w:framePr w:w="7920" w:h="1980" w:hRule="exact" w:hSpace="180" w:wrap="auto" w:hAnchor="page" w:xAlign="center" w:yAlign="bottom"/>
      <w:ind w:left="2880"/>
    </w:pPr>
    <w:rPr>
      <w:rFonts w:ascii="Calibri" w:eastAsiaTheme="majorEastAsia" w:hAnsi="Calibri" w:cstheme="majorBidi"/>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BONANNI, Laura (BRIDGEWATER SURGERIES)</dc:creator>
  <cp:keywords/>
  <dc:description/>
  <cp:lastModifiedBy>BONANNI, Laura (BRIDGEWATER SURGERIES)</cp:lastModifiedBy>
  <cp:revision>2</cp:revision>
  <dcterms:created xsi:type="dcterms:W3CDTF">2025-07-17T13:44:00Z</dcterms:created>
  <dcterms:modified xsi:type="dcterms:W3CDTF">2025-07-17T14:25:00Z</dcterms:modified>
</cp:coreProperties>
</file>