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2003" w14:textId="0D6FE27B" w:rsidR="008873A2" w:rsidRDefault="005B7CE8" w:rsidP="00333F41">
      <w:pPr>
        <w:pStyle w:val="Title"/>
      </w:pPr>
      <w:r>
        <w:t>Benzodiazepine and Z drug prescribing policy</w:t>
      </w:r>
    </w:p>
    <w:p w14:paraId="55507D7E" w14:textId="77777777" w:rsidR="00333F41" w:rsidRDefault="00333F41">
      <w:pPr>
        <w:rPr>
          <w:b/>
          <w:bCs/>
        </w:rPr>
      </w:pPr>
    </w:p>
    <w:p w14:paraId="585A6B7D" w14:textId="6C460591" w:rsidR="005B7CE8" w:rsidRPr="005B7CE8" w:rsidRDefault="005B7CE8">
      <w:pPr>
        <w:rPr>
          <w:b/>
          <w:bCs/>
        </w:rPr>
      </w:pPr>
      <w:r w:rsidRPr="005B7CE8">
        <w:rPr>
          <w:b/>
          <w:bCs/>
        </w:rPr>
        <w:t>Relevant drugs:</w:t>
      </w:r>
    </w:p>
    <w:p w14:paraId="1CDFB0F7" w14:textId="246DF610" w:rsidR="005B7CE8" w:rsidRDefault="005B7CE8">
      <w:r>
        <w:t>Alprazolam, Chlordiazepoxide, Clobazam, Clonazepam, Diazepam, Flurazepam, Loprazolam, Lorazepam, Lormetazepam, Nitrazepam, Oxazepam, Temazepam, Zolpidem, Zopiclone.</w:t>
      </w:r>
    </w:p>
    <w:p w14:paraId="03B37BBA" w14:textId="6446915E" w:rsidR="005B7CE8" w:rsidRPr="005B7CE8" w:rsidRDefault="005B7CE8">
      <w:pPr>
        <w:rPr>
          <w:b/>
          <w:bCs/>
        </w:rPr>
      </w:pPr>
      <w:r w:rsidRPr="005B7CE8">
        <w:rPr>
          <w:b/>
          <w:bCs/>
        </w:rPr>
        <w:t>Prescribing context in which this policy applies:</w:t>
      </w:r>
    </w:p>
    <w:p w14:paraId="3831C4C4" w14:textId="4CC520BD" w:rsidR="005B7CE8" w:rsidRDefault="005B7CE8">
      <w:r>
        <w:t xml:space="preserve">Insomnia, </w:t>
      </w:r>
      <w:r w:rsidR="00333F41">
        <w:t>anxiety,</w:t>
      </w:r>
      <w:r>
        <w:t xml:space="preserve"> or agitation.</w:t>
      </w:r>
    </w:p>
    <w:p w14:paraId="77F2DBAE" w14:textId="76F5FF23" w:rsidR="005B7CE8" w:rsidRDefault="00BF3A66">
      <w:r>
        <w:rPr>
          <w:b/>
          <w:bCs/>
        </w:rPr>
        <w:t>Policy exclusions:</w:t>
      </w:r>
    </w:p>
    <w:p w14:paraId="68170C9A" w14:textId="4AE6CD17" w:rsidR="00BF3A66" w:rsidRPr="00BF3A66" w:rsidRDefault="00BF3A66">
      <w:r>
        <w:t>This policy does not apply to medications used on the advice of a neurological, rehabilitation or musculoskeletal consultant, or in the context of terminal illness.</w:t>
      </w:r>
    </w:p>
    <w:p w14:paraId="2418DE33" w14:textId="2AA88B3E" w:rsidR="005B7CE8" w:rsidRPr="005B7CE8" w:rsidRDefault="005B7CE8">
      <w:pPr>
        <w:rPr>
          <w:b/>
          <w:bCs/>
        </w:rPr>
      </w:pPr>
      <w:r w:rsidRPr="005B7CE8">
        <w:rPr>
          <w:b/>
          <w:bCs/>
        </w:rPr>
        <w:t>Initiation of medication</w:t>
      </w:r>
    </w:p>
    <w:p w14:paraId="59084B48" w14:textId="2D4CFB24" w:rsidR="005B7CE8" w:rsidRDefault="005B7CE8" w:rsidP="005B7CE8">
      <w:pPr>
        <w:pStyle w:val="ListParagraph"/>
        <w:numPr>
          <w:ilvl w:val="0"/>
          <w:numId w:val="1"/>
        </w:numPr>
      </w:pPr>
      <w:r>
        <w:t>Prescribing will be in line with national guidance.</w:t>
      </w:r>
    </w:p>
    <w:p w14:paraId="4D74D3B4" w14:textId="4CDC3629" w:rsidR="005B7CE8" w:rsidRDefault="005B7CE8" w:rsidP="005B7CE8">
      <w:pPr>
        <w:pStyle w:val="ListParagraph"/>
        <w:numPr>
          <w:ilvl w:val="0"/>
          <w:numId w:val="1"/>
        </w:numPr>
      </w:pPr>
      <w:r>
        <w:t>Initiation of a new prescription will include:</w:t>
      </w:r>
    </w:p>
    <w:p w14:paraId="79036FEA" w14:textId="6882CD24" w:rsidR="005B7CE8" w:rsidRDefault="005B7CE8" w:rsidP="005B7CE8">
      <w:pPr>
        <w:pStyle w:val="ListParagraph"/>
        <w:numPr>
          <w:ilvl w:val="1"/>
          <w:numId w:val="1"/>
        </w:numPr>
      </w:pPr>
      <w:r>
        <w:t>Consideration of the risk factors for dependence</w:t>
      </w:r>
      <w:r>
        <w:rPr>
          <w:vertAlign w:val="superscript"/>
        </w:rPr>
        <w:t>1</w:t>
      </w:r>
    </w:p>
    <w:p w14:paraId="594A42BB" w14:textId="69BDDABE" w:rsidR="005B7CE8" w:rsidRDefault="005B7CE8" w:rsidP="005B7CE8">
      <w:pPr>
        <w:pStyle w:val="ListParagraph"/>
        <w:numPr>
          <w:ilvl w:val="1"/>
          <w:numId w:val="1"/>
        </w:numPr>
      </w:pPr>
      <w:r>
        <w:t>Documentation of the indication</w:t>
      </w:r>
    </w:p>
    <w:p w14:paraId="74220424" w14:textId="78FDEDEF" w:rsidR="005B7CE8" w:rsidRDefault="005B7CE8" w:rsidP="005B7CE8">
      <w:pPr>
        <w:pStyle w:val="ListParagraph"/>
        <w:numPr>
          <w:ilvl w:val="1"/>
          <w:numId w:val="1"/>
        </w:numPr>
      </w:pPr>
      <w:r>
        <w:t>Issuing of a patient information leaflet or link to information about use of these medications</w:t>
      </w:r>
    </w:p>
    <w:p w14:paraId="3DB44140" w14:textId="60144EEC" w:rsidR="005B7CE8" w:rsidRDefault="005B7CE8" w:rsidP="005B7CE8">
      <w:pPr>
        <w:pStyle w:val="ListParagraph"/>
        <w:numPr>
          <w:ilvl w:val="1"/>
          <w:numId w:val="1"/>
        </w:numPr>
      </w:pPr>
      <w:r>
        <w:t>Clear instructions for use, including the addictive nature of the drug, maximum duration of treatment</w:t>
      </w:r>
      <w:r w:rsidR="00EF3E84">
        <w:t xml:space="preserve"> and clear advice that the prescription will not be repeated more than once, if at all.</w:t>
      </w:r>
    </w:p>
    <w:p w14:paraId="4D67FA38" w14:textId="186C109C" w:rsidR="005B7CE8" w:rsidRDefault="005B7CE8" w:rsidP="005B7CE8">
      <w:pPr>
        <w:pStyle w:val="ListParagraph"/>
        <w:numPr>
          <w:ilvl w:val="0"/>
          <w:numId w:val="1"/>
        </w:numPr>
      </w:pPr>
      <w:r>
        <w:t>Prescriptions should only be acute, not repeat.</w:t>
      </w:r>
    </w:p>
    <w:p w14:paraId="381048FE" w14:textId="3E80481F" w:rsidR="005B7CE8" w:rsidRDefault="005B7CE8" w:rsidP="005B7CE8">
      <w:pPr>
        <w:pStyle w:val="ListParagraph"/>
        <w:numPr>
          <w:ilvl w:val="0"/>
          <w:numId w:val="1"/>
        </w:numPr>
      </w:pPr>
      <w:r>
        <w:t>No more than 2 weeks should be issued at a time.</w:t>
      </w:r>
    </w:p>
    <w:p w14:paraId="066341EF" w14:textId="12B66490" w:rsidR="005B7CE8" w:rsidRDefault="005B7CE8" w:rsidP="005B7CE8">
      <w:pPr>
        <w:pStyle w:val="ListParagraph"/>
        <w:numPr>
          <w:ilvl w:val="0"/>
          <w:numId w:val="1"/>
        </w:numPr>
      </w:pPr>
      <w:r>
        <w:t>Total duration of treatment must not exceed 4 weeks, including taper time.</w:t>
      </w:r>
      <w:r>
        <w:rPr>
          <w:vertAlign w:val="superscript"/>
        </w:rPr>
        <w:t>2</w:t>
      </w:r>
    </w:p>
    <w:p w14:paraId="0361B4BA" w14:textId="13C8258C" w:rsidR="005B7CE8" w:rsidRDefault="005B7CE8" w:rsidP="00EF3E84">
      <w:pPr>
        <w:pStyle w:val="ListParagraph"/>
        <w:numPr>
          <w:ilvl w:val="0"/>
          <w:numId w:val="1"/>
        </w:numPr>
      </w:pPr>
      <w:r>
        <w:t xml:space="preserve">Simultaneous advice on safer, evidence-based management of anxiety and sleep issues should be discussed at the time </w:t>
      </w:r>
      <w:r w:rsidR="00EF3E84">
        <w:t>of the first prescription</w:t>
      </w:r>
      <w:r>
        <w:t>(e.g. link to the sleep page on our website, referral for NHS talking therapies, Mind wellbeing centres, self-help</w:t>
      </w:r>
      <w:r w:rsidR="00EF3E84">
        <w:t>, SSRIs/SNRIs/</w:t>
      </w:r>
      <w:r w:rsidR="00333F41">
        <w:t>TCAs,</w:t>
      </w:r>
      <w:r w:rsidR="00EF3E84">
        <w:t xml:space="preserve"> or TCA-related medication</w:t>
      </w:r>
      <w:r>
        <w:t>) in line with NICE guidance.</w:t>
      </w:r>
    </w:p>
    <w:p w14:paraId="46886D58" w14:textId="3F0B5782" w:rsidR="00EF3E84" w:rsidRDefault="00EF3E84" w:rsidP="00EF3E84">
      <w:pPr>
        <w:pStyle w:val="ListParagraph"/>
        <w:numPr>
          <w:ilvl w:val="0"/>
          <w:numId w:val="1"/>
        </w:numPr>
      </w:pPr>
      <w:r>
        <w:t>Where someone suffers from recurrent, severe insomnia, total medication quantity must not exceed 28 tablets every 4 months, in order to avoid dependence.</w:t>
      </w:r>
    </w:p>
    <w:p w14:paraId="0A2CD240" w14:textId="77777777" w:rsidR="00EF3E84" w:rsidRDefault="00EF3E84" w:rsidP="00EF3E84"/>
    <w:p w14:paraId="0F87F3E5" w14:textId="4C7E2D85" w:rsidR="00EF3E84" w:rsidRDefault="00EF3E84" w:rsidP="00EF3E84">
      <w:r>
        <w:rPr>
          <w:b/>
          <w:bCs/>
        </w:rPr>
        <w:t>Reduction of medication</w:t>
      </w:r>
    </w:p>
    <w:p w14:paraId="1D014CB0" w14:textId="0D2F8D85" w:rsidR="00EF3E84" w:rsidRDefault="00EF3E84" w:rsidP="00EF3E84">
      <w:pPr>
        <w:pStyle w:val="ListParagraph"/>
        <w:numPr>
          <w:ilvl w:val="0"/>
          <w:numId w:val="3"/>
        </w:numPr>
      </w:pPr>
      <w:r>
        <w:t>Patients who are on a regular benzodiazepine or Z drug will be assessed and counselled for a withdrawal scheme with the aim to gradually reduce the dosage to zero</w:t>
      </w:r>
      <w:r w:rsidR="00BF3A66">
        <w:t>, using an appropriate tapering programme.</w:t>
      </w:r>
      <w:r w:rsidR="00BF3A66">
        <w:rPr>
          <w:vertAlign w:val="superscript"/>
        </w:rPr>
        <w:t>3</w:t>
      </w:r>
    </w:p>
    <w:p w14:paraId="110C4426" w14:textId="545ED96C" w:rsidR="00BF3A66" w:rsidRDefault="00BF3A66" w:rsidP="00BF3A66">
      <w:pPr>
        <w:pStyle w:val="ListParagraph"/>
        <w:numPr>
          <w:ilvl w:val="0"/>
          <w:numId w:val="3"/>
        </w:numPr>
      </w:pPr>
      <w:r>
        <w:t>Patients who are unable or unwilling to reduce drug dosage via a managed withdrawal scheme (or who use more than one drug of abuse, or who are dependent on alcohol) will be referred to the substance misuse service. Failure to engage will result in discontinuation of prescribing</w:t>
      </w:r>
      <w:r w:rsidR="00D56517">
        <w:t xml:space="preserve"> in line with footnote 3.</w:t>
      </w:r>
    </w:p>
    <w:p w14:paraId="4D39A1E3" w14:textId="6854DBA7" w:rsidR="00BF3A66" w:rsidRDefault="00BF3A66" w:rsidP="00BF3A66">
      <w:pPr>
        <w:pStyle w:val="ListParagraph"/>
        <w:numPr>
          <w:ilvl w:val="0"/>
          <w:numId w:val="3"/>
        </w:numPr>
      </w:pPr>
      <w:r>
        <w:t>It is recognised that a small minority of people will need long term treatment. This must be on the advice of a consultant psychiatrist</w:t>
      </w:r>
      <w:r w:rsidR="009C31D2">
        <w:t xml:space="preserve"> (or other consultant if the indication relates to a physical health condition)</w:t>
      </w:r>
      <w:r>
        <w:t xml:space="preserve">, due to the risks involved with long term prescribing, and discussion should be had at least every 6 months on drug dosage reduction. </w:t>
      </w:r>
    </w:p>
    <w:p w14:paraId="6FEA0D36" w14:textId="77777777" w:rsidR="00D56517" w:rsidRDefault="00D56517" w:rsidP="00D56517"/>
    <w:p w14:paraId="43764F53" w14:textId="0A448636" w:rsidR="00D56517" w:rsidRDefault="00D56517" w:rsidP="00D56517">
      <w:r>
        <w:rPr>
          <w:b/>
          <w:bCs/>
        </w:rPr>
        <w:t>General prescribing notes</w:t>
      </w:r>
    </w:p>
    <w:p w14:paraId="2A8C4799" w14:textId="0D64B0BD" w:rsidR="00D56517" w:rsidRDefault="00D56517" w:rsidP="00D56517">
      <w:pPr>
        <w:pStyle w:val="ListParagraph"/>
        <w:numPr>
          <w:ilvl w:val="0"/>
          <w:numId w:val="4"/>
        </w:numPr>
      </w:pPr>
      <w:r>
        <w:t>Lost prescriptions will not be replaced under any circumstances.</w:t>
      </w:r>
    </w:p>
    <w:p w14:paraId="397C92A8" w14:textId="5B6985E1" w:rsidR="00D56517" w:rsidRDefault="00D56517" w:rsidP="00D56517">
      <w:pPr>
        <w:pStyle w:val="ListParagraph"/>
        <w:numPr>
          <w:ilvl w:val="0"/>
          <w:numId w:val="4"/>
        </w:numPr>
      </w:pPr>
      <w:r>
        <w:t xml:space="preserve">Patients will only be able to obtain prescriptions from their usual </w:t>
      </w:r>
      <w:r w:rsidR="00333F41">
        <w:t>doctor unless</w:t>
      </w:r>
      <w:r>
        <w:t xml:space="preserve"> they are on leave.</w:t>
      </w:r>
    </w:p>
    <w:p w14:paraId="4472E209" w14:textId="3B282D0D" w:rsidR="00D56517" w:rsidRDefault="00D56517" w:rsidP="00D56517">
      <w:pPr>
        <w:pStyle w:val="ListParagraph"/>
        <w:numPr>
          <w:ilvl w:val="0"/>
          <w:numId w:val="4"/>
        </w:numPr>
      </w:pPr>
      <w:r>
        <w:t>Prescriptions will not be issued early.</w:t>
      </w:r>
    </w:p>
    <w:p w14:paraId="16B94600" w14:textId="77777777" w:rsidR="00D56517" w:rsidRDefault="00D56517" w:rsidP="00D56517">
      <w:pPr>
        <w:pStyle w:val="ListParagraph"/>
        <w:numPr>
          <w:ilvl w:val="0"/>
          <w:numId w:val="4"/>
        </w:numPr>
      </w:pPr>
      <w:r>
        <w:lastRenderedPageBreak/>
        <w:t>If a patient takes higher doses than prescribed, and runs out of medication before the next prescription is due, they will not be prescribed additional medicine.</w:t>
      </w:r>
    </w:p>
    <w:p w14:paraId="0B25D297" w14:textId="77777777" w:rsidR="00FF7484" w:rsidRDefault="00FF7484" w:rsidP="00FF7484">
      <w:pPr>
        <w:pStyle w:val="ListParagraph"/>
        <w:numPr>
          <w:ilvl w:val="0"/>
          <w:numId w:val="4"/>
        </w:numPr>
      </w:pPr>
      <w:r>
        <w:t>Temporary residents should note that:</w:t>
      </w:r>
    </w:p>
    <w:p w14:paraId="4F81200C" w14:textId="3A8E9639" w:rsidR="00FF7484" w:rsidRDefault="00FF7484" w:rsidP="00FF7484">
      <w:pPr>
        <w:pStyle w:val="ListParagraph"/>
        <w:numPr>
          <w:ilvl w:val="1"/>
          <w:numId w:val="4"/>
        </w:numPr>
      </w:pPr>
      <w:r>
        <w:t>patients not currently on an anxiolytic or hypnotic will be treated according to NICE guidelines and the practice policy</w:t>
      </w:r>
    </w:p>
    <w:p w14:paraId="27B74873" w14:textId="017B893B" w:rsidR="00FF7484" w:rsidRDefault="00FF7484" w:rsidP="00FF7484">
      <w:pPr>
        <w:pStyle w:val="ListParagraph"/>
        <w:numPr>
          <w:ilvl w:val="1"/>
          <w:numId w:val="4"/>
        </w:numPr>
      </w:pPr>
      <w:r>
        <w:t xml:space="preserve">regular users will not receive prescriptions without proof of dosage, </w:t>
      </w:r>
      <w:r w:rsidR="00333F41">
        <w:t>frequency,</w:t>
      </w:r>
      <w:r>
        <w:t xml:space="preserve"> and date of last prescription; (this must be obtained from the patient’s surgery).</w:t>
      </w:r>
    </w:p>
    <w:p w14:paraId="3D632052" w14:textId="169A4D02" w:rsidR="00FF7484" w:rsidRDefault="00FF7484" w:rsidP="00FF7484">
      <w:pPr>
        <w:pStyle w:val="ListParagraph"/>
        <w:numPr>
          <w:ilvl w:val="1"/>
          <w:numId w:val="4"/>
        </w:numPr>
      </w:pPr>
      <w:r>
        <w:t>if they remain with the practice for more than two weeks, they should enter the reducing scheme and the policy should be followed as for a registered patient.</w:t>
      </w:r>
    </w:p>
    <w:p w14:paraId="1EDBBAA4" w14:textId="18EFBABC" w:rsidR="00FF7484" w:rsidRDefault="00FF7484" w:rsidP="00FF7484">
      <w:pPr>
        <w:pStyle w:val="ListParagraph"/>
        <w:numPr>
          <w:ilvl w:val="0"/>
          <w:numId w:val="4"/>
        </w:numPr>
      </w:pPr>
      <w:r>
        <w:t xml:space="preserve">Any new patients currently on hypnotics or anxiolytics will be informed that they will be placed on a withdrawal regime </w:t>
      </w:r>
      <w:r w:rsidR="009C31D2">
        <w:t xml:space="preserve">in their best interests </w:t>
      </w:r>
      <w:r>
        <w:t>(unless they fall into the exclusion criteria above) when they register with the practice.</w:t>
      </w:r>
    </w:p>
    <w:p w14:paraId="6E93D8AD" w14:textId="77777777" w:rsidR="00FF7484" w:rsidRDefault="00FF7484" w:rsidP="00FF7484">
      <w:pPr>
        <w:pStyle w:val="ListParagraph"/>
        <w:numPr>
          <w:ilvl w:val="0"/>
          <w:numId w:val="4"/>
        </w:numPr>
      </w:pPr>
      <w:r>
        <w:t>Holidays</w:t>
      </w:r>
    </w:p>
    <w:p w14:paraId="38EC6068" w14:textId="262E1C38" w:rsidR="00FF7484" w:rsidRDefault="00FF7484" w:rsidP="00FF7484">
      <w:pPr>
        <w:pStyle w:val="ListParagraph"/>
        <w:numPr>
          <w:ilvl w:val="1"/>
          <w:numId w:val="4"/>
        </w:numPr>
      </w:pPr>
      <w:r>
        <w:t>For holidays in the UK a one-off EPS prescription can be sent to a nominated pharmacy.</w:t>
      </w:r>
    </w:p>
    <w:p w14:paraId="7BB981E6" w14:textId="0EFCF0A4" w:rsidR="00D56517" w:rsidRDefault="00FF7484" w:rsidP="00FF7484">
      <w:pPr>
        <w:pStyle w:val="ListParagraph"/>
        <w:numPr>
          <w:ilvl w:val="1"/>
          <w:numId w:val="4"/>
        </w:numPr>
      </w:pPr>
      <w:r>
        <w:t>Prescriptions for holidays abroad will be considered after a copy of the booking is provided, but the duration of treatment will not exceed one month due to the nature of the medication.</w:t>
      </w:r>
    </w:p>
    <w:p w14:paraId="115F4C19" w14:textId="2B88432E" w:rsidR="00FF7484" w:rsidRDefault="00FF7484" w:rsidP="00FF7484">
      <w:pPr>
        <w:pStyle w:val="ListParagraph"/>
        <w:numPr>
          <w:ilvl w:val="1"/>
          <w:numId w:val="4"/>
        </w:numPr>
      </w:pPr>
      <w:r>
        <w:t>It is the responsibility of the patient to ensure that any medication taken into a country is not unlawful or subject to special regulations.</w:t>
      </w:r>
    </w:p>
    <w:p w14:paraId="205DBD48" w14:textId="51BFB7E0" w:rsidR="00FF7484" w:rsidRDefault="00FF7484" w:rsidP="00FF7484">
      <w:pPr>
        <w:pStyle w:val="ListParagraph"/>
        <w:numPr>
          <w:ilvl w:val="1"/>
          <w:numId w:val="4"/>
        </w:numPr>
      </w:pPr>
      <w:r>
        <w:t>Any documentation required by the patient from the practice to take medication abroad will incur a cost which is payable by the patient at our standard letter rate.</w:t>
      </w:r>
    </w:p>
    <w:p w14:paraId="5669F265" w14:textId="77777777" w:rsidR="00333F41" w:rsidRDefault="00333F41" w:rsidP="00333F41"/>
    <w:p w14:paraId="387A9D9E" w14:textId="5C0D39E9" w:rsidR="00333F41" w:rsidRDefault="00333F41" w:rsidP="00333F41">
      <w:pPr>
        <w:rPr>
          <w:b/>
          <w:bCs/>
        </w:rPr>
      </w:pPr>
      <w:r>
        <w:rPr>
          <w:b/>
          <w:bCs/>
        </w:rPr>
        <w:t>Applicable to:</w:t>
      </w:r>
    </w:p>
    <w:p w14:paraId="27C84504" w14:textId="24D03B80" w:rsidR="00333F41" w:rsidRPr="00333F41" w:rsidRDefault="00333F41" w:rsidP="00333F41">
      <w:r>
        <w:t xml:space="preserve">All staff who are involved with prescribing, </w:t>
      </w:r>
      <w:r w:rsidR="009C31D2">
        <w:t>issuing,</w:t>
      </w:r>
      <w:r>
        <w:t xml:space="preserve"> or recommending medications for patients registered at Westlands Medical Centre.</w:t>
      </w:r>
    </w:p>
    <w:p w14:paraId="0BF66C35" w14:textId="35591ECE" w:rsidR="005B7CE8" w:rsidRDefault="005B7CE8">
      <w:r>
        <w:br w:type="page"/>
      </w:r>
    </w:p>
    <w:p w14:paraId="25133403" w14:textId="69BE5C12" w:rsidR="00FF7484" w:rsidRDefault="00FF7484" w:rsidP="00FF7484">
      <w:r>
        <w:lastRenderedPageBreak/>
        <w:t>Footnotes</w:t>
      </w:r>
    </w:p>
    <w:p w14:paraId="4D8976D8" w14:textId="367DB4BC" w:rsidR="005B7CE8" w:rsidRDefault="00000000" w:rsidP="005B7CE8">
      <w:pPr>
        <w:pStyle w:val="ListParagraph"/>
        <w:numPr>
          <w:ilvl w:val="0"/>
          <w:numId w:val="2"/>
        </w:numPr>
      </w:pPr>
      <w:hyperlink r:id="rId7" w:history="1">
        <w:r w:rsidR="005B7CE8" w:rsidRPr="005B7CE8">
          <w:rPr>
            <w:rStyle w:val="Hyperlink"/>
          </w:rPr>
          <w:t>NICE CKS</w:t>
        </w:r>
      </w:hyperlink>
      <w:r w:rsidR="005B7CE8">
        <w:t xml:space="preserve"> – risk factors for dependence: high drug dose &amp; length of treatment, drugs with high potency and short </w:t>
      </w:r>
      <w:r w:rsidR="00333F41">
        <w:t>half-life</w:t>
      </w:r>
      <w:r w:rsidR="005B7CE8">
        <w:t xml:space="preserve"> (lorazepam, loprazolam), rapid-acting drugs (diazepam) as they have a ‘good’</w:t>
      </w:r>
      <w:r w:rsidR="00FF7484">
        <w:t xml:space="preserve"> </w:t>
      </w:r>
      <w:r w:rsidR="005B7CE8">
        <w:t>subjective effect with psychological reinforcement, previous personal or family history of drug/alcohol dependence, illicit drug use, chronic comorbid personality/psychiatric problems, physical health problems (especially older people), pain problems or sleep difficulties.</w:t>
      </w:r>
    </w:p>
    <w:p w14:paraId="36FF8CFE" w14:textId="2FFB0F5F" w:rsidR="005B7CE8" w:rsidRDefault="00000000" w:rsidP="005B7CE8">
      <w:pPr>
        <w:pStyle w:val="ListParagraph"/>
        <w:numPr>
          <w:ilvl w:val="0"/>
          <w:numId w:val="2"/>
        </w:numPr>
      </w:pPr>
      <w:hyperlink r:id="rId8" w:history="1">
        <w:r w:rsidR="005B7CE8" w:rsidRPr="005B7CE8">
          <w:rPr>
            <w:rStyle w:val="Hyperlink"/>
          </w:rPr>
          <w:t>MHRA, 2014</w:t>
        </w:r>
      </w:hyperlink>
      <w:r w:rsidR="005B7CE8">
        <w:t>.</w:t>
      </w:r>
    </w:p>
    <w:p w14:paraId="75187DE6" w14:textId="58350C66" w:rsidR="00BF3A66" w:rsidRDefault="009B58FF" w:rsidP="008565F6">
      <w:pPr>
        <w:pStyle w:val="ListParagraph"/>
        <w:numPr>
          <w:ilvl w:val="0"/>
          <w:numId w:val="2"/>
        </w:numPr>
      </w:pPr>
      <w:r>
        <w:t xml:space="preserve">Reduction schedule per </w:t>
      </w:r>
      <w:hyperlink r:id="rId9" w:history="1">
        <w:r w:rsidRPr="009B58FF">
          <w:rPr>
            <w:rStyle w:val="Hyperlink"/>
          </w:rPr>
          <w:t>NICE CKS</w:t>
        </w:r>
      </w:hyperlink>
      <w:r>
        <w:t xml:space="preserve"> or </w:t>
      </w:r>
      <w:hyperlink r:id="rId10" w:anchor="s2" w:history="1">
        <w:r w:rsidRPr="009B58FF">
          <w:rPr>
            <w:rStyle w:val="Hyperlink"/>
          </w:rPr>
          <w:t>Ashton Manual</w:t>
        </w:r>
      </w:hyperlink>
      <w:r>
        <w:t xml:space="preserve">. Switching to diazepam is recommended for people on lorazepam/alprazolam, or if they have been on temazepam/nitrazepam/Z-drugs for a long time, at high dose or have concurrent anxiety. Reduce by 5-10% every 1-2 weeks. </w:t>
      </w:r>
      <w:r w:rsidRPr="009B58FF">
        <w:t>After dose reductions, monitor the person for withdrawal symptoms for 1-4 weeks, or until symptoms have resolved, and titrate further dose reductions according to tolerability — if symptoms are intolerable an increase in dose (to the last dose at which symptoms were tolerable), a period of stabilisation, and more gradual reduction is required.</w:t>
      </w:r>
      <w:r>
        <w:t xml:space="preserve"> F</w:t>
      </w:r>
      <w:r w:rsidRPr="009B58FF">
        <w:t>inal doses will need to be very small, so liquid formulations may be required.</w:t>
      </w:r>
      <w:r>
        <w:t xml:space="preserve"> For zopiclone/zolpidem, Reduce the daily dose by an eighth every 2 weeks — 1.875 mg (one-half of a 3.75 mg tablet). The target dose for stopping is when the person is taking only 1.875 mg daily. If stopping is not possible at the target dose, one option is to convert to diazepam to complete the withdrawal.</w:t>
      </w:r>
    </w:p>
    <w:sectPr w:rsidR="00BF3A66" w:rsidSect="00CB35E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EFA09" w14:textId="77777777" w:rsidR="000750C6" w:rsidRDefault="000750C6" w:rsidP="00333F41">
      <w:pPr>
        <w:spacing w:after="0" w:line="240" w:lineRule="auto"/>
      </w:pPr>
      <w:r>
        <w:separator/>
      </w:r>
    </w:p>
  </w:endnote>
  <w:endnote w:type="continuationSeparator" w:id="0">
    <w:p w14:paraId="68BB49EC" w14:textId="77777777" w:rsidR="000750C6" w:rsidRDefault="000750C6" w:rsidP="0033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B257" w14:textId="1C8621D5" w:rsidR="00333F41" w:rsidRDefault="00333F41">
    <w:pPr>
      <w:pStyle w:val="Footer"/>
    </w:pPr>
    <w:r>
      <w:t>Date of agreement: January 2025. Review date: January 2028. Agreed by: Westlands Medical Centre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25F2" w14:textId="77777777" w:rsidR="000750C6" w:rsidRDefault="000750C6" w:rsidP="00333F41">
      <w:pPr>
        <w:spacing w:after="0" w:line="240" w:lineRule="auto"/>
      </w:pPr>
      <w:r>
        <w:separator/>
      </w:r>
    </w:p>
  </w:footnote>
  <w:footnote w:type="continuationSeparator" w:id="0">
    <w:p w14:paraId="18BCF8B0" w14:textId="77777777" w:rsidR="000750C6" w:rsidRDefault="000750C6" w:rsidP="00333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D7C"/>
    <w:multiLevelType w:val="hybridMultilevel"/>
    <w:tmpl w:val="B07AB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371AE"/>
    <w:multiLevelType w:val="hybridMultilevel"/>
    <w:tmpl w:val="D79E7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BB793C"/>
    <w:multiLevelType w:val="hybridMultilevel"/>
    <w:tmpl w:val="999438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4747E5"/>
    <w:multiLevelType w:val="hybridMultilevel"/>
    <w:tmpl w:val="C832D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3843246">
    <w:abstractNumId w:val="2"/>
  </w:num>
  <w:num w:numId="2" w16cid:durableId="308633014">
    <w:abstractNumId w:val="0"/>
  </w:num>
  <w:num w:numId="3" w16cid:durableId="1072048499">
    <w:abstractNumId w:val="3"/>
  </w:num>
  <w:num w:numId="4" w16cid:durableId="1758551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7CE8"/>
    <w:rsid w:val="000750C6"/>
    <w:rsid w:val="00333F41"/>
    <w:rsid w:val="005B7CE8"/>
    <w:rsid w:val="008873A2"/>
    <w:rsid w:val="009B58FF"/>
    <w:rsid w:val="009C31D2"/>
    <w:rsid w:val="00BF3A66"/>
    <w:rsid w:val="00CB35E0"/>
    <w:rsid w:val="00D56517"/>
    <w:rsid w:val="00EF3E84"/>
    <w:rsid w:val="00F361A1"/>
    <w:rsid w:val="00FF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5C511"/>
  <w15:chartTrackingRefBased/>
  <w15:docId w15:val="{EC6C9106-98C5-4B04-B18B-FD8658DC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CE8"/>
    <w:pPr>
      <w:ind w:left="720"/>
      <w:contextualSpacing/>
    </w:pPr>
  </w:style>
  <w:style w:type="character" w:styleId="Hyperlink">
    <w:name w:val="Hyperlink"/>
    <w:basedOn w:val="DefaultParagraphFont"/>
    <w:uiPriority w:val="99"/>
    <w:unhideWhenUsed/>
    <w:rsid w:val="005B7CE8"/>
    <w:rPr>
      <w:color w:val="0563C1" w:themeColor="hyperlink"/>
      <w:u w:val="single"/>
    </w:rPr>
  </w:style>
  <w:style w:type="character" w:styleId="UnresolvedMention">
    <w:name w:val="Unresolved Mention"/>
    <w:basedOn w:val="DefaultParagraphFont"/>
    <w:uiPriority w:val="99"/>
    <w:semiHidden/>
    <w:unhideWhenUsed/>
    <w:rsid w:val="005B7CE8"/>
    <w:rPr>
      <w:color w:val="605E5C"/>
      <w:shd w:val="clear" w:color="auto" w:fill="E1DFDD"/>
    </w:rPr>
  </w:style>
  <w:style w:type="paragraph" w:styleId="Title">
    <w:name w:val="Title"/>
    <w:basedOn w:val="Normal"/>
    <w:next w:val="Normal"/>
    <w:link w:val="TitleChar"/>
    <w:uiPriority w:val="10"/>
    <w:qFormat/>
    <w:rsid w:val="00333F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F41"/>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3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41"/>
  </w:style>
  <w:style w:type="paragraph" w:styleId="Footer">
    <w:name w:val="footer"/>
    <w:basedOn w:val="Normal"/>
    <w:link w:val="FooterChar"/>
    <w:uiPriority w:val="99"/>
    <w:unhideWhenUsed/>
    <w:rsid w:val="00333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84353">
      <w:bodyDiv w:val="1"/>
      <w:marLeft w:val="0"/>
      <w:marRight w:val="0"/>
      <w:marTop w:val="0"/>
      <w:marBottom w:val="0"/>
      <w:divBdr>
        <w:top w:val="none" w:sz="0" w:space="0" w:color="auto"/>
        <w:left w:val="none" w:sz="0" w:space="0" w:color="auto"/>
        <w:bottom w:val="none" w:sz="0" w:space="0" w:color="auto"/>
        <w:right w:val="none" w:sz="0" w:space="0" w:color="auto"/>
      </w:divBdr>
    </w:div>
    <w:div w:id="16636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rug-safety-update/addiction-to-benzodiazepines-and-code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ks.nice.org.uk/topics/benzodiazepine-z-drug-withdrawal/background-information/risk-fac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enzo.org.uk/manual/bzsched.htm" TargetMode="External"/><Relationship Id="rId4" Type="http://schemas.openxmlformats.org/officeDocument/2006/relationships/webSettings" Target="webSettings.xml"/><Relationship Id="rId9" Type="http://schemas.openxmlformats.org/officeDocument/2006/relationships/hyperlink" Target="https://cks.nice.org.uk/topics/benzodiazepine-z-drug-withdrawal/management/benzodiazepine-z-drug-withdraw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dc:creator>
  <cp:keywords/>
  <dc:description/>
  <cp:lastModifiedBy>Emma Nash</cp:lastModifiedBy>
  <cp:revision>4</cp:revision>
  <dcterms:created xsi:type="dcterms:W3CDTF">2025-01-07T18:27:00Z</dcterms:created>
  <dcterms:modified xsi:type="dcterms:W3CDTF">2025-01-31T18:28:00Z</dcterms:modified>
</cp:coreProperties>
</file>