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5FFF" w14:textId="53B16901" w:rsidR="004262A4" w:rsidRPr="004262A4" w:rsidRDefault="004262A4" w:rsidP="004262A4">
      <w:pPr>
        <w:spacing w:line="360" w:lineRule="auto"/>
        <w:jc w:val="both"/>
      </w:pPr>
      <w:r w:rsidRPr="004262A4">
        <w:rPr>
          <w:noProof/>
        </w:rPr>
        <w:drawing>
          <wp:anchor distT="0" distB="0" distL="114300" distR="114300" simplePos="0" relativeHeight="251659264" behindDoc="0" locked="0" layoutInCell="1" allowOverlap="1" wp14:anchorId="7502E3EB" wp14:editId="77D49C29">
            <wp:simplePos x="0" y="0"/>
            <wp:positionH relativeFrom="column">
              <wp:posOffset>5471160</wp:posOffset>
            </wp:positionH>
            <wp:positionV relativeFrom="paragraph">
              <wp:posOffset>-163830</wp:posOffset>
            </wp:positionV>
            <wp:extent cx="1242060" cy="953135"/>
            <wp:effectExtent l="0" t="0" r="0" b="0"/>
            <wp:wrapNone/>
            <wp:docPr id="675162659" name="Picture 8" descr="A logo with a blu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blue background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953135"/>
                    </a:xfrm>
                    <a:prstGeom prst="rect">
                      <a:avLst/>
                    </a:prstGeom>
                    <a:noFill/>
                  </pic:spPr>
                </pic:pic>
              </a:graphicData>
            </a:graphic>
            <wp14:sizeRelH relativeFrom="margin">
              <wp14:pctWidth>0</wp14:pctWidth>
            </wp14:sizeRelH>
            <wp14:sizeRelV relativeFrom="margin">
              <wp14:pctHeight>0</wp14:pctHeight>
            </wp14:sizeRelV>
          </wp:anchor>
        </w:drawing>
      </w:r>
      <w:r w:rsidRPr="004262A4">
        <w:rPr>
          <w:noProof/>
        </w:rPr>
        <mc:AlternateContent>
          <mc:Choice Requires="wps">
            <w:drawing>
              <wp:anchor distT="0" distB="0" distL="114300" distR="114300" simplePos="0" relativeHeight="251660288" behindDoc="0" locked="0" layoutInCell="1" allowOverlap="1" wp14:anchorId="0AEE9972" wp14:editId="54BA64BC">
                <wp:simplePos x="0" y="0"/>
                <wp:positionH relativeFrom="column">
                  <wp:posOffset>30480</wp:posOffset>
                </wp:positionH>
                <wp:positionV relativeFrom="paragraph">
                  <wp:posOffset>213360</wp:posOffset>
                </wp:positionV>
                <wp:extent cx="5200650" cy="430530"/>
                <wp:effectExtent l="1905" t="3810" r="0" b="3810"/>
                <wp:wrapNone/>
                <wp:docPr id="1606960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43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1739E" w14:textId="17DFCFCA" w:rsidR="004262A4" w:rsidRDefault="00846ACA" w:rsidP="004262A4">
                            <w:pPr>
                              <w:rPr>
                                <w:b/>
                                <w:bCs/>
                                <w:color w:val="002060"/>
                                <w:sz w:val="40"/>
                                <w:szCs w:val="40"/>
                              </w:rPr>
                            </w:pPr>
                            <w:r>
                              <w:rPr>
                                <w:b/>
                                <w:bCs/>
                                <w:color w:val="002060"/>
                                <w:sz w:val="40"/>
                                <w:szCs w:val="40"/>
                              </w:rPr>
                              <w:t>Referrals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9972" id="_x0000_t202" coordsize="21600,21600" o:spt="202" path="m,l,21600r21600,l21600,xe">
                <v:stroke joinstyle="miter"/>
                <v:path gradientshapeok="t" o:connecttype="rect"/>
              </v:shapetype>
              <v:shape id="Text Box 7" o:spid="_x0000_s1026" type="#_x0000_t202" style="position:absolute;left:0;text-align:left;margin-left:2.4pt;margin-top:16.8pt;width:409.5pt;height:3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" stroked="f">
                <v:textbox>
                  <w:txbxContent>
                    <w:p w14:paraId="7E81739E" w14:textId="17DFCFCA" w:rsidR="004262A4" w:rsidRDefault="00846ACA" w:rsidP="004262A4">
                      <w:pPr>
                        <w:rPr>
                          <w:b/>
                          <w:bCs/>
                          <w:color w:val="002060"/>
                          <w:sz w:val="40"/>
                          <w:szCs w:val="40"/>
                        </w:rPr>
                      </w:pPr>
                      <w:r>
                        <w:rPr>
                          <w:b/>
                          <w:bCs/>
                          <w:color w:val="002060"/>
                          <w:sz w:val="40"/>
                          <w:szCs w:val="40"/>
                        </w:rPr>
                        <w:t>Referrals</w:t>
                      </w:r>
                    </w:p>
                  </w:txbxContent>
                </v:textbox>
              </v:shape>
            </w:pict>
          </mc:Fallback>
        </mc:AlternateContent>
      </w:r>
    </w:p>
    <w:p w14:paraId="18988D2F" w14:textId="77777777" w:rsidR="004262A4" w:rsidRPr="004262A4" w:rsidRDefault="004262A4" w:rsidP="004262A4">
      <w:pPr>
        <w:spacing w:line="360" w:lineRule="auto"/>
        <w:jc w:val="both"/>
      </w:pPr>
    </w:p>
    <w:p w14:paraId="2F6D0BDB" w14:textId="77777777" w:rsidR="004262A4" w:rsidRPr="004262A4" w:rsidRDefault="004262A4" w:rsidP="004262A4">
      <w:pPr>
        <w:spacing w:line="360" w:lineRule="auto"/>
        <w:jc w:val="both"/>
      </w:pPr>
    </w:p>
    <w:p w14:paraId="056CAADA" w14:textId="1BA13AB7" w:rsidR="004262A4" w:rsidRPr="004262A4" w:rsidRDefault="00846ACA" w:rsidP="004262A4">
      <w:pPr>
        <w:spacing w:line="360" w:lineRule="auto"/>
        <w:jc w:val="both"/>
        <w:rPr>
          <w:rFonts w:ascii="Arial" w:hAnsi="Arial" w:cs="Arial"/>
          <w:sz w:val="28"/>
          <w:szCs w:val="28"/>
        </w:rPr>
      </w:pPr>
      <w:r>
        <w:rPr>
          <w:rFonts w:ascii="Arial" w:hAnsi="Arial" w:cs="Arial"/>
          <w:sz w:val="28"/>
          <w:szCs w:val="28"/>
        </w:rPr>
        <w:t xml:space="preserve">The interface between primary and secondary care (GPs and hospitals/community services) can sometimes be unclear. We have written this to help you know what to expect. </w:t>
      </w:r>
      <w:r w:rsidR="00552E72">
        <w:rPr>
          <w:rFonts w:ascii="Arial" w:hAnsi="Arial" w:cs="Arial"/>
          <w:sz w:val="28"/>
          <w:szCs w:val="28"/>
        </w:rPr>
        <w:t xml:space="preserve">There are clear contractual responsibilities for what should be done by GPs and what should be done by hospitals/community </w:t>
      </w:r>
      <w:r w:rsidR="00065AB3">
        <w:rPr>
          <w:rFonts w:ascii="Arial" w:hAnsi="Arial" w:cs="Arial"/>
          <w:sz w:val="28"/>
          <w:szCs w:val="28"/>
        </w:rPr>
        <w:t xml:space="preserve">specialists, and it can be helpful for you to be aware of these. </w:t>
      </w:r>
    </w:p>
    <w:p w14:paraId="34E31BF4" w14:textId="120D5972" w:rsidR="004262A4" w:rsidRPr="004262A4" w:rsidRDefault="00065AB3" w:rsidP="004262A4">
      <w:pPr>
        <w:spacing w:line="360" w:lineRule="auto"/>
        <w:jc w:val="both"/>
        <w:rPr>
          <w:rFonts w:ascii="Arial" w:hAnsi="Arial" w:cs="Arial"/>
          <w:b/>
          <w:bCs/>
          <w:sz w:val="28"/>
          <w:szCs w:val="28"/>
        </w:rPr>
      </w:pPr>
      <w:r>
        <w:rPr>
          <w:rFonts w:ascii="Arial" w:hAnsi="Arial" w:cs="Arial"/>
          <w:b/>
          <w:bCs/>
          <w:sz w:val="28"/>
          <w:szCs w:val="28"/>
        </w:rPr>
        <w:t xml:space="preserve">GPs </w:t>
      </w:r>
      <w:r w:rsidR="004262A4" w:rsidRPr="004262A4">
        <w:rPr>
          <w:rFonts w:ascii="Arial" w:hAnsi="Arial" w:cs="Arial"/>
          <w:b/>
          <w:bCs/>
          <w:sz w:val="28"/>
          <w:szCs w:val="28"/>
        </w:rPr>
        <w:t>will:</w:t>
      </w:r>
    </w:p>
    <w:p w14:paraId="14B71F6E" w14:textId="77777777" w:rsidR="002D5606" w:rsidRDefault="004262A4" w:rsidP="004262A4">
      <w:pPr>
        <w:numPr>
          <w:ilvl w:val="0"/>
          <w:numId w:val="1"/>
        </w:numPr>
        <w:spacing w:line="360" w:lineRule="auto"/>
        <w:jc w:val="both"/>
        <w:rPr>
          <w:rFonts w:ascii="Arial" w:hAnsi="Arial" w:cs="Arial"/>
          <w:sz w:val="28"/>
          <w:szCs w:val="28"/>
        </w:rPr>
      </w:pPr>
      <w:r w:rsidRPr="004262A4">
        <w:rPr>
          <w:rFonts w:ascii="Arial" w:hAnsi="Arial" w:cs="Arial"/>
          <w:sz w:val="28"/>
          <w:szCs w:val="28"/>
        </w:rPr>
        <w:t xml:space="preserve">Provide non-urgent, NHS prescriptions for medications recommended by a </w:t>
      </w:r>
      <w:r w:rsidR="002D5606">
        <w:rPr>
          <w:rFonts w:ascii="Arial" w:hAnsi="Arial" w:cs="Arial"/>
          <w:sz w:val="28"/>
          <w:szCs w:val="28"/>
        </w:rPr>
        <w:t>hospital doctor.</w:t>
      </w:r>
    </w:p>
    <w:p w14:paraId="244820D0" w14:textId="3E77CB18" w:rsidR="004262A4" w:rsidRPr="004262A4" w:rsidRDefault="004262A4" w:rsidP="004262A4">
      <w:pPr>
        <w:numPr>
          <w:ilvl w:val="0"/>
          <w:numId w:val="1"/>
        </w:numPr>
        <w:spacing w:line="360" w:lineRule="auto"/>
        <w:jc w:val="both"/>
        <w:rPr>
          <w:rFonts w:ascii="Arial" w:hAnsi="Arial" w:cs="Arial"/>
          <w:sz w:val="28"/>
          <w:szCs w:val="28"/>
        </w:rPr>
      </w:pPr>
      <w:r w:rsidRPr="004262A4">
        <w:rPr>
          <w:rFonts w:ascii="Arial" w:hAnsi="Arial" w:cs="Arial"/>
          <w:sz w:val="28"/>
          <w:szCs w:val="28"/>
        </w:rPr>
        <w:t xml:space="preserve"> if we feel it is clinically appropriate, the drug is not subject to a shared care agreement and is not red or amber on the NHS Hampshire and Isle of Wight formulary. Any investigations required prior to the initiation of this drug will not be carried out by the practice and explicit documentation about suitability of the medication, pre-prescribing tests, and confirmation of discussion of risks and benefits will be required before prescription. Absence of this evidence will result in the medication not being prescribed. Where the medication requires further monitoring or clinical review (for example, blood tests or clinic appointments), we will require confirmation that this will be arranged by the private provider before we will prescribe. Absence of this information means that we will not be able to provide the medication.</w:t>
      </w:r>
    </w:p>
    <w:p w14:paraId="7E1F822F" w14:textId="77777777" w:rsidR="004262A4" w:rsidRPr="004262A4" w:rsidRDefault="004262A4" w:rsidP="004262A4">
      <w:pPr>
        <w:numPr>
          <w:ilvl w:val="0"/>
          <w:numId w:val="1"/>
        </w:numPr>
        <w:spacing w:line="360" w:lineRule="auto"/>
        <w:jc w:val="both"/>
        <w:rPr>
          <w:rFonts w:ascii="Arial" w:hAnsi="Arial" w:cs="Arial"/>
          <w:sz w:val="28"/>
          <w:szCs w:val="28"/>
        </w:rPr>
      </w:pPr>
      <w:r w:rsidRPr="004262A4">
        <w:rPr>
          <w:rFonts w:ascii="Arial" w:hAnsi="Arial" w:cs="Arial"/>
          <w:sz w:val="28"/>
          <w:szCs w:val="28"/>
        </w:rPr>
        <w:t>Provide a summary of coded significant past medical history, drug history and allergies to a private provider, for a fee determined by the practice, provided written consent is obtained by the provider and received alongside the request.</w:t>
      </w:r>
    </w:p>
    <w:p w14:paraId="19D22EE0" w14:textId="77777777" w:rsidR="004262A4" w:rsidRPr="004262A4" w:rsidRDefault="004262A4" w:rsidP="004262A4">
      <w:pPr>
        <w:numPr>
          <w:ilvl w:val="0"/>
          <w:numId w:val="1"/>
        </w:numPr>
        <w:spacing w:line="360" w:lineRule="auto"/>
        <w:jc w:val="both"/>
        <w:rPr>
          <w:rFonts w:ascii="Arial" w:hAnsi="Arial" w:cs="Arial"/>
          <w:sz w:val="28"/>
          <w:szCs w:val="28"/>
        </w:rPr>
      </w:pPr>
      <w:r w:rsidRPr="004262A4">
        <w:rPr>
          <w:rFonts w:ascii="Arial" w:hAnsi="Arial" w:cs="Arial"/>
          <w:sz w:val="28"/>
          <w:szCs w:val="28"/>
        </w:rPr>
        <w:t>Complete factual reports at the request of a private provider, for a fee determined by the practice, provided written consent obtained by the provider is received alongside this request.</w:t>
      </w:r>
    </w:p>
    <w:p w14:paraId="1FCDAF50" w14:textId="77777777" w:rsidR="004262A4" w:rsidRPr="004262A4" w:rsidRDefault="004262A4" w:rsidP="004262A4">
      <w:pPr>
        <w:spacing w:line="360" w:lineRule="auto"/>
        <w:jc w:val="both"/>
        <w:rPr>
          <w:rFonts w:ascii="Arial" w:hAnsi="Arial" w:cs="Arial"/>
          <w:sz w:val="28"/>
          <w:szCs w:val="28"/>
        </w:rPr>
      </w:pPr>
    </w:p>
    <w:p w14:paraId="450CA052" w14:textId="77777777" w:rsidR="004262A4" w:rsidRDefault="004262A4" w:rsidP="004262A4">
      <w:pPr>
        <w:spacing w:line="360" w:lineRule="auto"/>
        <w:jc w:val="both"/>
        <w:rPr>
          <w:rFonts w:ascii="Arial" w:hAnsi="Arial" w:cs="Arial"/>
          <w:b/>
          <w:bCs/>
          <w:sz w:val="28"/>
          <w:szCs w:val="28"/>
        </w:rPr>
      </w:pPr>
    </w:p>
    <w:p w14:paraId="30CB615C" w14:textId="2381C91A" w:rsidR="004262A4" w:rsidRPr="004262A4" w:rsidRDefault="004262A4" w:rsidP="004262A4">
      <w:pPr>
        <w:spacing w:line="360" w:lineRule="auto"/>
        <w:jc w:val="both"/>
        <w:rPr>
          <w:rFonts w:ascii="Arial" w:hAnsi="Arial" w:cs="Arial"/>
          <w:b/>
          <w:bCs/>
          <w:sz w:val="28"/>
          <w:szCs w:val="28"/>
        </w:rPr>
      </w:pPr>
      <w:r w:rsidRPr="004262A4">
        <w:rPr>
          <w:rFonts w:ascii="Arial" w:hAnsi="Arial" w:cs="Arial"/>
          <w:b/>
          <w:bCs/>
          <w:sz w:val="28"/>
          <w:szCs w:val="28"/>
        </w:rPr>
        <w:t>We will not:</w:t>
      </w:r>
    </w:p>
    <w:p w14:paraId="0562E356" w14:textId="77777777"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Act on any abnormalities identified in clinical history, examination or investigations conducted by a private provider. The responsibility for this lies with the person making the assessment/requesting the test. We do not accept transfer of this responsibility to Westlands Medical Centre. Letters requesting this will be returned by administrative staff without clinical review and without accepted transfer of clinical responsibility.</w:t>
      </w:r>
    </w:p>
    <w:p w14:paraId="3DB816B6" w14:textId="5D33D57E"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Request or conduct investigations on behalf of a private provider. A patient being self-funding is not justification for the responsibility for these investigations being transferred to primary care. We must emphasise that, unless there are exceptional circumstances as determined by the GP (</w:t>
      </w:r>
      <w:r>
        <w:rPr>
          <w:rFonts w:ascii="Arial" w:hAnsi="Arial" w:cs="Arial"/>
          <w:sz w:val="28"/>
          <w:szCs w:val="28"/>
        </w:rPr>
        <w:t>self-</w:t>
      </w:r>
      <w:r w:rsidRPr="004262A4">
        <w:rPr>
          <w:rFonts w:ascii="Arial" w:hAnsi="Arial" w:cs="Arial"/>
          <w:sz w:val="28"/>
          <w:szCs w:val="28"/>
        </w:rPr>
        <w:t>funding is not an exceptional circumstance), if a specialist deems a test to be necessary then it is their responsibility to arrange, interpret and act upon it. It should also be noted that any abnormalities identified in such tests will not be accepted by the GP for further action – onward referral or direct action by the requesting clinician is expected. Letters requesting this will be returned without clinical review, with rejection of transfer of any responsibility.</w:t>
      </w:r>
    </w:p>
    <w:p w14:paraId="5A4C0DFF" w14:textId="6D360DC1"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 xml:space="preserve">Issue a prescription on behalf of a private provider where this is required earlier than </w:t>
      </w:r>
      <w:r>
        <w:rPr>
          <w:rFonts w:ascii="Arial" w:hAnsi="Arial" w:cs="Arial"/>
          <w:sz w:val="28"/>
          <w:szCs w:val="28"/>
        </w:rPr>
        <w:t>ten</w:t>
      </w:r>
      <w:r w:rsidRPr="004262A4">
        <w:rPr>
          <w:rFonts w:ascii="Arial" w:hAnsi="Arial" w:cs="Arial"/>
          <w:sz w:val="28"/>
          <w:szCs w:val="28"/>
        </w:rPr>
        <w:t xml:space="preserve"> working days following written receipt of the request, where the drug is subject to shared care arrangements</w:t>
      </w:r>
      <w:r>
        <w:rPr>
          <w:rFonts w:ascii="Arial" w:hAnsi="Arial" w:cs="Arial"/>
          <w:sz w:val="28"/>
          <w:szCs w:val="28"/>
        </w:rPr>
        <w:t xml:space="preserve"> (including but not limited to ADHD medication and disease-modifying anti-rheumatic drugs (DMARDs)</w:t>
      </w:r>
      <w:r w:rsidRPr="004262A4">
        <w:rPr>
          <w:rFonts w:ascii="Arial" w:hAnsi="Arial" w:cs="Arial"/>
          <w:sz w:val="28"/>
          <w:szCs w:val="28"/>
        </w:rPr>
        <w:t xml:space="preserve">, where the medication requires tests prior to initiation, or where the drug is amber or red on the Hampshire </w:t>
      </w:r>
      <w:r>
        <w:rPr>
          <w:rFonts w:ascii="Arial" w:hAnsi="Arial" w:cs="Arial"/>
          <w:sz w:val="28"/>
          <w:szCs w:val="28"/>
        </w:rPr>
        <w:t>and</w:t>
      </w:r>
      <w:r w:rsidRPr="004262A4">
        <w:rPr>
          <w:rFonts w:ascii="Arial" w:hAnsi="Arial" w:cs="Arial"/>
          <w:sz w:val="28"/>
          <w:szCs w:val="28"/>
        </w:rPr>
        <w:t xml:space="preserve"> Isle of Wight formulary. Additionally, if a GP does not feel they have the experience to prescribe the drug, it will also be returned to the specialist for issue of the prescription without further explanation.</w:t>
      </w:r>
    </w:p>
    <w:p w14:paraId="32C1CD39" w14:textId="074234D5"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 xml:space="preserve">Make any referrals on behalf of the private provider. This includes referrals into NHS or other private providers. Any additional referrals must be made by the person who is recommending them. Inability to access </w:t>
      </w:r>
      <w:proofErr w:type="spellStart"/>
      <w:r w:rsidRPr="004262A4">
        <w:rPr>
          <w:rFonts w:ascii="Arial" w:hAnsi="Arial" w:cs="Arial"/>
          <w:sz w:val="28"/>
          <w:szCs w:val="28"/>
        </w:rPr>
        <w:t>eRS</w:t>
      </w:r>
      <w:proofErr w:type="spellEnd"/>
      <w:r w:rsidRPr="004262A4">
        <w:rPr>
          <w:rFonts w:ascii="Arial" w:hAnsi="Arial" w:cs="Arial"/>
          <w:sz w:val="28"/>
          <w:szCs w:val="28"/>
        </w:rPr>
        <w:t xml:space="preserve"> is not a</w:t>
      </w:r>
      <w:r>
        <w:rPr>
          <w:rFonts w:ascii="Arial" w:hAnsi="Arial" w:cs="Arial"/>
          <w:sz w:val="28"/>
          <w:szCs w:val="28"/>
        </w:rPr>
        <w:t>n</w:t>
      </w:r>
      <w:r w:rsidRPr="004262A4">
        <w:rPr>
          <w:rFonts w:ascii="Arial" w:hAnsi="Arial" w:cs="Arial"/>
          <w:sz w:val="28"/>
          <w:szCs w:val="28"/>
        </w:rPr>
        <w:t xml:space="preserve"> exception.</w:t>
      </w:r>
      <w:r>
        <w:rPr>
          <w:rFonts w:ascii="Arial" w:hAnsi="Arial" w:cs="Arial"/>
          <w:sz w:val="28"/>
          <w:szCs w:val="28"/>
        </w:rPr>
        <w:br/>
      </w:r>
      <w:r>
        <w:rPr>
          <w:rFonts w:ascii="Arial" w:hAnsi="Arial" w:cs="Arial"/>
          <w:sz w:val="28"/>
          <w:szCs w:val="28"/>
        </w:rPr>
        <w:br/>
      </w:r>
      <w:r>
        <w:rPr>
          <w:rFonts w:ascii="Arial" w:hAnsi="Arial" w:cs="Arial"/>
          <w:sz w:val="28"/>
          <w:szCs w:val="28"/>
        </w:rPr>
        <w:lastRenderedPageBreak/>
        <w:br/>
      </w:r>
      <w:r>
        <w:rPr>
          <w:rFonts w:ascii="Arial" w:hAnsi="Arial" w:cs="Arial"/>
          <w:sz w:val="28"/>
          <w:szCs w:val="28"/>
        </w:rPr>
        <w:br/>
      </w:r>
      <w:r w:rsidRPr="004262A4">
        <w:rPr>
          <w:rFonts w:ascii="Arial" w:hAnsi="Arial" w:cs="Arial"/>
          <w:sz w:val="28"/>
          <w:szCs w:val="28"/>
        </w:rPr>
        <w:t xml:space="preserve"> </w:t>
      </w:r>
    </w:p>
    <w:p w14:paraId="4FEAD886" w14:textId="77777777"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Apply for funding – Prior Approval or Individual Funding Requests – for any treatments proposed by a private provider. This application will need to be made by the private provider, or they must refer to the appropriate NHS organisation and arrange funding application directly with them.</w:t>
      </w:r>
    </w:p>
    <w:p w14:paraId="7F817E31" w14:textId="77777777"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Forward test results to any provider. Any NHS test results requested by general practice are available on the NHS App and can be accessed by the patient and forwarded from there.</w:t>
      </w:r>
    </w:p>
    <w:p w14:paraId="25D32520" w14:textId="77777777"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 xml:space="preserve">Provide any medical reports for suitability or otherwise for any investigations or treatment. </w:t>
      </w:r>
    </w:p>
    <w:p w14:paraId="3043F1E6" w14:textId="77777777" w:rsidR="004262A4" w:rsidRPr="004262A4" w:rsidRDefault="004262A4" w:rsidP="004262A4">
      <w:pPr>
        <w:numPr>
          <w:ilvl w:val="0"/>
          <w:numId w:val="2"/>
        </w:numPr>
        <w:spacing w:line="360" w:lineRule="auto"/>
        <w:jc w:val="both"/>
        <w:rPr>
          <w:rFonts w:ascii="Arial" w:hAnsi="Arial" w:cs="Arial"/>
          <w:sz w:val="28"/>
          <w:szCs w:val="28"/>
        </w:rPr>
      </w:pPr>
      <w:r w:rsidRPr="004262A4">
        <w:rPr>
          <w:rFonts w:ascii="Arial" w:hAnsi="Arial" w:cs="Arial"/>
          <w:sz w:val="28"/>
          <w:szCs w:val="28"/>
        </w:rPr>
        <w:t xml:space="preserve">Provide any follow-up care for private procedures, except where this would normally be provided by general practice in line with the GMS contract. </w:t>
      </w:r>
    </w:p>
    <w:p w14:paraId="39A3E404" w14:textId="77777777" w:rsidR="004262A4" w:rsidRPr="004262A4" w:rsidRDefault="004262A4" w:rsidP="004262A4">
      <w:pPr>
        <w:spacing w:line="360" w:lineRule="auto"/>
        <w:jc w:val="both"/>
        <w:rPr>
          <w:rFonts w:ascii="Arial" w:hAnsi="Arial" w:cs="Arial"/>
          <w:sz w:val="28"/>
          <w:szCs w:val="28"/>
        </w:rPr>
      </w:pPr>
    </w:p>
    <w:p w14:paraId="5F6F30AA" w14:textId="77777777" w:rsidR="004262A4" w:rsidRPr="004262A4" w:rsidRDefault="004262A4" w:rsidP="004262A4">
      <w:pPr>
        <w:spacing w:line="360" w:lineRule="auto"/>
        <w:jc w:val="both"/>
        <w:rPr>
          <w:rFonts w:ascii="Arial" w:hAnsi="Arial" w:cs="Arial"/>
          <w:sz w:val="28"/>
          <w:szCs w:val="28"/>
        </w:rPr>
      </w:pPr>
      <w:r w:rsidRPr="004262A4">
        <w:rPr>
          <w:rFonts w:ascii="Arial" w:hAnsi="Arial" w:cs="Arial"/>
          <w:sz w:val="28"/>
          <w:szCs w:val="28"/>
        </w:rPr>
        <w:t xml:space="preserve">Further information can be found </w:t>
      </w:r>
      <w:hyperlink r:id="rId9" w:history="1">
        <w:r w:rsidRPr="004262A4">
          <w:rPr>
            <w:rStyle w:val="Hyperlink"/>
            <w:rFonts w:ascii="Arial" w:hAnsi="Arial" w:cs="Arial"/>
            <w:sz w:val="28"/>
            <w:szCs w:val="28"/>
          </w:rPr>
          <w:t>here</w:t>
        </w:r>
      </w:hyperlink>
      <w:r w:rsidRPr="004262A4">
        <w:rPr>
          <w:rFonts w:ascii="Arial" w:hAnsi="Arial" w:cs="Arial"/>
          <w:sz w:val="28"/>
          <w:szCs w:val="28"/>
        </w:rPr>
        <w:t>.</w:t>
      </w:r>
    </w:p>
    <w:p w14:paraId="25AC1239" w14:textId="77777777" w:rsidR="00CF3EEC" w:rsidRPr="004262A4" w:rsidRDefault="00CF3EEC" w:rsidP="004262A4">
      <w:pPr>
        <w:spacing w:line="360" w:lineRule="auto"/>
        <w:jc w:val="both"/>
        <w:rPr>
          <w:rFonts w:ascii="Arial" w:hAnsi="Arial" w:cs="Arial"/>
          <w:sz w:val="28"/>
          <w:szCs w:val="28"/>
        </w:rPr>
      </w:pPr>
    </w:p>
    <w:sectPr w:rsidR="00CF3EEC" w:rsidRPr="004262A4" w:rsidSect="004262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9C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511D2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637994120">
    <w:abstractNumId w:val="1"/>
  </w:num>
  <w:num w:numId="2" w16cid:durableId="37666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A4"/>
    <w:rsid w:val="00065AB3"/>
    <w:rsid w:val="0024705A"/>
    <w:rsid w:val="002D5606"/>
    <w:rsid w:val="003469F0"/>
    <w:rsid w:val="004262A4"/>
    <w:rsid w:val="004649DE"/>
    <w:rsid w:val="00471F7F"/>
    <w:rsid w:val="00552E72"/>
    <w:rsid w:val="00846ACA"/>
    <w:rsid w:val="009104D9"/>
    <w:rsid w:val="00CF3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5B45"/>
  <w15:chartTrackingRefBased/>
  <w15:docId w15:val="{49B12434-5DB5-4299-AC59-27307BD6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2A4"/>
    <w:rPr>
      <w:rFonts w:eastAsiaTheme="majorEastAsia" w:cstheme="majorBidi"/>
      <w:color w:val="272727" w:themeColor="text1" w:themeTint="D8"/>
    </w:rPr>
  </w:style>
  <w:style w:type="paragraph" w:styleId="Title">
    <w:name w:val="Title"/>
    <w:basedOn w:val="Normal"/>
    <w:next w:val="Normal"/>
    <w:link w:val="TitleChar"/>
    <w:uiPriority w:val="10"/>
    <w:qFormat/>
    <w:rsid w:val="0042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2A4"/>
    <w:pPr>
      <w:spacing w:before="160"/>
      <w:jc w:val="center"/>
    </w:pPr>
    <w:rPr>
      <w:i/>
      <w:iCs/>
      <w:color w:val="404040" w:themeColor="text1" w:themeTint="BF"/>
    </w:rPr>
  </w:style>
  <w:style w:type="character" w:customStyle="1" w:styleId="QuoteChar">
    <w:name w:val="Quote Char"/>
    <w:basedOn w:val="DefaultParagraphFont"/>
    <w:link w:val="Quote"/>
    <w:uiPriority w:val="29"/>
    <w:rsid w:val="004262A4"/>
    <w:rPr>
      <w:i/>
      <w:iCs/>
      <w:color w:val="404040" w:themeColor="text1" w:themeTint="BF"/>
    </w:rPr>
  </w:style>
  <w:style w:type="paragraph" w:styleId="ListParagraph">
    <w:name w:val="List Paragraph"/>
    <w:basedOn w:val="Normal"/>
    <w:uiPriority w:val="34"/>
    <w:qFormat/>
    <w:rsid w:val="004262A4"/>
    <w:pPr>
      <w:ind w:left="720"/>
      <w:contextualSpacing/>
    </w:pPr>
  </w:style>
  <w:style w:type="character" w:styleId="IntenseEmphasis">
    <w:name w:val="Intense Emphasis"/>
    <w:basedOn w:val="DefaultParagraphFont"/>
    <w:uiPriority w:val="21"/>
    <w:qFormat/>
    <w:rsid w:val="004262A4"/>
    <w:rPr>
      <w:i/>
      <w:iCs/>
      <w:color w:val="0F4761" w:themeColor="accent1" w:themeShade="BF"/>
    </w:rPr>
  </w:style>
  <w:style w:type="paragraph" w:styleId="IntenseQuote">
    <w:name w:val="Intense Quote"/>
    <w:basedOn w:val="Normal"/>
    <w:next w:val="Normal"/>
    <w:link w:val="IntenseQuoteChar"/>
    <w:uiPriority w:val="30"/>
    <w:qFormat/>
    <w:rsid w:val="0042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2A4"/>
    <w:rPr>
      <w:i/>
      <w:iCs/>
      <w:color w:val="0F4761" w:themeColor="accent1" w:themeShade="BF"/>
    </w:rPr>
  </w:style>
  <w:style w:type="character" w:styleId="IntenseReference">
    <w:name w:val="Intense Reference"/>
    <w:basedOn w:val="DefaultParagraphFont"/>
    <w:uiPriority w:val="32"/>
    <w:qFormat/>
    <w:rsid w:val="004262A4"/>
    <w:rPr>
      <w:b/>
      <w:bCs/>
      <w:smallCaps/>
      <w:color w:val="0F4761" w:themeColor="accent1" w:themeShade="BF"/>
      <w:spacing w:val="5"/>
    </w:rPr>
  </w:style>
  <w:style w:type="character" w:styleId="Hyperlink">
    <w:name w:val="Hyperlink"/>
    <w:basedOn w:val="DefaultParagraphFont"/>
    <w:uiPriority w:val="99"/>
    <w:unhideWhenUsed/>
    <w:rsid w:val="004262A4"/>
    <w:rPr>
      <w:color w:val="467886" w:themeColor="hyperlink"/>
      <w:u w:val="single"/>
    </w:rPr>
  </w:style>
  <w:style w:type="character" w:styleId="UnresolvedMention">
    <w:name w:val="Unresolved Mention"/>
    <w:basedOn w:val="DefaultParagraphFont"/>
    <w:uiPriority w:val="99"/>
    <w:semiHidden/>
    <w:unhideWhenUsed/>
    <w:rsid w:val="0042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088">
      <w:bodyDiv w:val="1"/>
      <w:marLeft w:val="0"/>
      <w:marRight w:val="0"/>
      <w:marTop w:val="0"/>
      <w:marBottom w:val="0"/>
      <w:divBdr>
        <w:top w:val="none" w:sz="0" w:space="0" w:color="auto"/>
        <w:left w:val="none" w:sz="0" w:space="0" w:color="auto"/>
        <w:bottom w:val="none" w:sz="0" w:space="0" w:color="auto"/>
        <w:right w:val="none" w:sz="0" w:space="0" w:color="auto"/>
      </w:divBdr>
    </w:div>
    <w:div w:id="116877817">
      <w:bodyDiv w:val="1"/>
      <w:marLeft w:val="0"/>
      <w:marRight w:val="0"/>
      <w:marTop w:val="0"/>
      <w:marBottom w:val="0"/>
      <w:divBdr>
        <w:top w:val="none" w:sz="0" w:space="0" w:color="auto"/>
        <w:left w:val="none" w:sz="0" w:space="0" w:color="auto"/>
        <w:bottom w:val="none" w:sz="0" w:space="0" w:color="auto"/>
        <w:right w:val="none" w:sz="0" w:space="0" w:color="auto"/>
      </w:divBdr>
    </w:div>
    <w:div w:id="901260361">
      <w:bodyDiv w:val="1"/>
      <w:marLeft w:val="0"/>
      <w:marRight w:val="0"/>
      <w:marTop w:val="0"/>
      <w:marBottom w:val="0"/>
      <w:divBdr>
        <w:top w:val="none" w:sz="0" w:space="0" w:color="auto"/>
        <w:left w:val="none" w:sz="0" w:space="0" w:color="auto"/>
        <w:bottom w:val="none" w:sz="0" w:space="0" w:color="auto"/>
        <w:right w:val="none" w:sz="0" w:space="0" w:color="auto"/>
      </w:divBdr>
    </w:div>
    <w:div w:id="1374840993">
      <w:bodyDiv w:val="1"/>
      <w:marLeft w:val="0"/>
      <w:marRight w:val="0"/>
      <w:marTop w:val="0"/>
      <w:marBottom w:val="0"/>
      <w:divBdr>
        <w:top w:val="none" w:sz="0" w:space="0" w:color="auto"/>
        <w:left w:val="none" w:sz="0" w:space="0" w:color="auto"/>
        <w:bottom w:val="none" w:sz="0" w:space="0" w:color="auto"/>
        <w:right w:val="none" w:sz="0" w:space="0" w:color="auto"/>
      </w:divBdr>
    </w:div>
    <w:div w:id="15768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ma.org.uk/advice-and-support/gp-practices/managing-workload/general-practice-responsibility-in-responding-to-private-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416B0D48C974D811EF432D2D064EB" ma:contentTypeVersion="8" ma:contentTypeDescription="Create a new document." ma:contentTypeScope="" ma:versionID="ba0485e1f31f07f5198b4c1df18912e6">
  <xsd:schema xmlns:xsd="http://www.w3.org/2001/XMLSchema" xmlns:xs="http://www.w3.org/2001/XMLSchema" xmlns:p="http://schemas.microsoft.com/office/2006/metadata/properties" xmlns:ns2="9035f625-68ef-49ff-95f4-fb66ddc372c3" xmlns:ns3="d565c412-6a20-45ae-89df-ab5b317d9b77" targetNamespace="http://schemas.microsoft.com/office/2006/metadata/properties" ma:root="true" ma:fieldsID="67b0fc5ef8a4ae6a636ebcf4015f397b" ns2:_="" ns3:_="">
    <xsd:import namespace="9035f625-68ef-49ff-95f4-fb66ddc372c3"/>
    <xsd:import namespace="d565c412-6a20-45ae-89df-ab5b317d9b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5f625-68ef-49ff-95f4-fb66ddc37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5c412-6a20-45ae-89df-ab5b317d9b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53EC-0CC2-488C-AB34-A5808672856E}">
  <ds:schemaRefs>
    <ds:schemaRef ds:uri="http://schemas.microsoft.com/sharepoint/v3/contenttype/forms"/>
  </ds:schemaRefs>
</ds:datastoreItem>
</file>

<file path=customXml/itemProps2.xml><?xml version="1.0" encoding="utf-8"?>
<ds:datastoreItem xmlns:ds="http://schemas.openxmlformats.org/officeDocument/2006/customXml" ds:itemID="{B3E4A93E-468B-4CE6-B7C5-909747202E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A9ABBE-CD42-4637-A19B-BB88ABF4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5f625-68ef-49ff-95f4-fb66ddc372c3"/>
    <ds:schemaRef ds:uri="d565c412-6a20-45ae-89df-ab5b317d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Emma (WESTLANDS MEDICAL CENTRE)</dc:creator>
  <cp:keywords/>
  <dc:description/>
  <cp:lastModifiedBy>NASH, Emma (WESTLANDS MEDICAL CENTRE)</cp:lastModifiedBy>
  <cp:revision>6</cp:revision>
  <dcterms:created xsi:type="dcterms:W3CDTF">2025-07-07T17:01:00Z</dcterms:created>
  <dcterms:modified xsi:type="dcterms:W3CDTF">2025-07-07T17:08:00Z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0x010100A26416B0D48C974D811EF432D2D064EB</vt:lpwstr>
  </property>
</Properties>
</file>