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E1E4A" w14:textId="5CB2053C" w:rsidR="005A0A2B" w:rsidRPr="000265D7" w:rsidRDefault="000265D7">
      <w:pPr>
        <w:rPr>
          <w:rFonts w:ascii="Arial" w:hAnsi="Arial" w:cs="Arial"/>
          <w:b/>
          <w:bCs/>
        </w:rPr>
      </w:pPr>
      <w:r>
        <w:rPr>
          <w:rFonts w:ascii="Arial" w:hAnsi="Arial" w:cs="Arial"/>
          <w:b/>
          <w:bCs/>
        </w:rPr>
        <w:t xml:space="preserve">Wakefield </w:t>
      </w:r>
      <w:r w:rsidR="008116FE" w:rsidRPr="000265D7">
        <w:rPr>
          <w:rFonts w:ascii="Arial" w:hAnsi="Arial" w:cs="Arial"/>
          <w:b/>
          <w:bCs/>
        </w:rPr>
        <w:t>Weight Management</w:t>
      </w:r>
      <w:r>
        <w:rPr>
          <w:rFonts w:ascii="Arial" w:hAnsi="Arial" w:cs="Arial"/>
          <w:b/>
          <w:bCs/>
        </w:rPr>
        <w:t xml:space="preserve"> Offers</w:t>
      </w:r>
    </w:p>
    <w:p w14:paraId="3E4B1AF2" w14:textId="56775102" w:rsidR="008116FE" w:rsidRPr="000265D7" w:rsidRDefault="008116FE">
      <w:pPr>
        <w:rPr>
          <w:rFonts w:ascii="Arial" w:hAnsi="Arial" w:cs="Arial"/>
          <w:sz w:val="20"/>
          <w:szCs w:val="20"/>
          <w:shd w:val="clear" w:color="auto" w:fill="FBFAF8"/>
        </w:rPr>
      </w:pPr>
      <w:r w:rsidRPr="000265D7">
        <w:rPr>
          <w:rFonts w:ascii="Arial" w:hAnsi="Arial" w:cs="Arial"/>
        </w:rPr>
        <w:t xml:space="preserve">Following the release  of the </w:t>
      </w:r>
      <w:hyperlink r:id="rId5" w:tgtFrame="_blank" w:tooltip="https://gbr01.safelinks.protection.outlook.com/?url=https%3a%2f%2fwww.england.nhs.uk%2fpublication%2finterim-commissioning-guidance-implementation-of-the-nice-technology-appraisal-ta1026-and-the-nice-funding-variation-for-tirzepatide-mounjaro-for-the-managemen" w:history="1">
        <w:r w:rsidRPr="000265D7">
          <w:rPr>
            <w:rStyle w:val="Hyperlink"/>
            <w:rFonts w:ascii="Arial" w:hAnsi="Arial" w:cs="Arial"/>
            <w:color w:val="auto"/>
            <w:sz w:val="20"/>
            <w:szCs w:val="20"/>
            <w:u w:val="none"/>
            <w:shd w:val="clear" w:color="auto" w:fill="FBFAF8"/>
          </w:rPr>
          <w:t xml:space="preserve">NHS England interim commissioning guidance for NICE's technology appraisal guidance on </w:t>
        </w:r>
        <w:r w:rsidR="007621DC" w:rsidRPr="000265D7">
          <w:rPr>
            <w:rStyle w:val="Hyperlink"/>
            <w:rFonts w:ascii="Arial" w:hAnsi="Arial" w:cs="Arial"/>
            <w:color w:val="auto"/>
            <w:sz w:val="20"/>
            <w:szCs w:val="20"/>
            <w:u w:val="none"/>
            <w:shd w:val="clear" w:color="auto" w:fill="FBFAF8"/>
          </w:rPr>
          <w:t>Tirzepatide</w:t>
        </w:r>
      </w:hyperlink>
      <w:r w:rsidRPr="000265D7">
        <w:rPr>
          <w:rFonts w:ascii="Arial" w:hAnsi="Arial" w:cs="Arial"/>
          <w:sz w:val="20"/>
          <w:szCs w:val="20"/>
          <w:shd w:val="clear" w:color="auto" w:fill="FBFAF8"/>
        </w:rPr>
        <w:t>, there has been a lot of confusion about what the current position is for patients in Wakefield and Pontefract.</w:t>
      </w:r>
      <w:r w:rsidR="007621DC" w:rsidRPr="000265D7">
        <w:rPr>
          <w:rFonts w:ascii="Arial" w:hAnsi="Arial" w:cs="Arial"/>
          <w:sz w:val="20"/>
          <w:szCs w:val="20"/>
          <w:shd w:val="clear" w:color="auto" w:fill="FBFAF8"/>
        </w:rPr>
        <w:t xml:space="preserve"> A new commissioning policy is in production for all West Yorkshire and will be finalised and signed off at the end of July.  This will change the offers and services available but for now the following are correct.</w:t>
      </w:r>
    </w:p>
    <w:p w14:paraId="21C1A1BC" w14:textId="301A8CD9" w:rsidR="008116FE" w:rsidRPr="000265D7" w:rsidRDefault="008116FE">
      <w:pPr>
        <w:rPr>
          <w:rFonts w:ascii="Arial" w:hAnsi="Arial" w:cs="Arial"/>
          <w:sz w:val="20"/>
          <w:szCs w:val="20"/>
          <w:shd w:val="clear" w:color="auto" w:fill="FBFAF8"/>
        </w:rPr>
      </w:pPr>
      <w:r w:rsidRPr="000265D7">
        <w:rPr>
          <w:rFonts w:ascii="Arial" w:hAnsi="Arial" w:cs="Arial"/>
          <w:sz w:val="20"/>
          <w:szCs w:val="20"/>
          <w:shd w:val="clear" w:color="auto" w:fill="FBFAF8"/>
        </w:rPr>
        <w:t>Below is a summary of the current</w:t>
      </w:r>
      <w:r w:rsidR="000265D7">
        <w:rPr>
          <w:rFonts w:ascii="Arial" w:hAnsi="Arial" w:cs="Arial"/>
          <w:sz w:val="20"/>
          <w:szCs w:val="20"/>
          <w:shd w:val="clear" w:color="auto" w:fill="FBFAF8"/>
        </w:rPr>
        <w:t xml:space="preserve"> </w:t>
      </w:r>
      <w:proofErr w:type="gramStart"/>
      <w:r w:rsidR="000265D7">
        <w:rPr>
          <w:rFonts w:ascii="Arial" w:hAnsi="Arial" w:cs="Arial"/>
          <w:sz w:val="20"/>
          <w:szCs w:val="20"/>
          <w:shd w:val="clear" w:color="auto" w:fill="FBFAF8"/>
        </w:rPr>
        <w:t xml:space="preserve">offers </w:t>
      </w:r>
      <w:r w:rsidRPr="000265D7">
        <w:rPr>
          <w:rFonts w:ascii="Arial" w:hAnsi="Arial" w:cs="Arial"/>
          <w:sz w:val="20"/>
          <w:szCs w:val="20"/>
          <w:shd w:val="clear" w:color="auto" w:fill="FBFAF8"/>
        </w:rPr>
        <w:t xml:space="preserve"> and</w:t>
      </w:r>
      <w:proofErr w:type="gramEnd"/>
      <w:r w:rsidRPr="000265D7">
        <w:rPr>
          <w:rFonts w:ascii="Arial" w:hAnsi="Arial" w:cs="Arial"/>
          <w:sz w:val="20"/>
          <w:szCs w:val="20"/>
          <w:shd w:val="clear" w:color="auto" w:fill="FBFAF8"/>
        </w:rPr>
        <w:t xml:space="preserve"> eligibility:</w:t>
      </w:r>
    </w:p>
    <w:tbl>
      <w:tblPr>
        <w:tblStyle w:val="TableGrid"/>
        <w:tblW w:w="15452" w:type="dxa"/>
        <w:tblInd w:w="-998" w:type="dxa"/>
        <w:tblLook w:val="04A0" w:firstRow="1" w:lastRow="0" w:firstColumn="1" w:lastColumn="0" w:noHBand="0" w:noVBand="1"/>
      </w:tblPr>
      <w:tblGrid>
        <w:gridCol w:w="1277"/>
        <w:gridCol w:w="2268"/>
        <w:gridCol w:w="2126"/>
        <w:gridCol w:w="9781"/>
      </w:tblGrid>
      <w:tr w:rsidR="007621DC" w:rsidRPr="000265D7" w14:paraId="6D22029C" w14:textId="77777777" w:rsidTr="007621DC">
        <w:tc>
          <w:tcPr>
            <w:tcW w:w="1277" w:type="dxa"/>
          </w:tcPr>
          <w:p w14:paraId="1DB3285B" w14:textId="78655E05" w:rsidR="007621DC" w:rsidRPr="000265D7" w:rsidRDefault="007621DC">
            <w:pPr>
              <w:rPr>
                <w:rFonts w:ascii="Arial" w:hAnsi="Arial" w:cs="Arial"/>
                <w:sz w:val="20"/>
                <w:szCs w:val="20"/>
                <w:u w:val="single"/>
              </w:rPr>
            </w:pPr>
            <w:r w:rsidRPr="000265D7">
              <w:rPr>
                <w:rFonts w:ascii="Arial" w:hAnsi="Arial" w:cs="Arial"/>
                <w:sz w:val="20"/>
                <w:szCs w:val="20"/>
                <w:u w:val="single"/>
              </w:rPr>
              <w:t>BMI</w:t>
            </w:r>
          </w:p>
        </w:tc>
        <w:tc>
          <w:tcPr>
            <w:tcW w:w="2268" w:type="dxa"/>
          </w:tcPr>
          <w:p w14:paraId="7D1FFD40" w14:textId="58A4411D" w:rsidR="007621DC" w:rsidRPr="000265D7" w:rsidRDefault="007621DC">
            <w:pPr>
              <w:rPr>
                <w:rFonts w:ascii="Arial" w:hAnsi="Arial" w:cs="Arial"/>
                <w:sz w:val="20"/>
                <w:szCs w:val="20"/>
                <w:u w:val="single"/>
              </w:rPr>
            </w:pPr>
            <w:r w:rsidRPr="000265D7">
              <w:rPr>
                <w:rFonts w:ascii="Arial" w:hAnsi="Arial" w:cs="Arial"/>
                <w:sz w:val="20"/>
                <w:szCs w:val="20"/>
                <w:u w:val="single"/>
              </w:rPr>
              <w:t>Referral</w:t>
            </w:r>
          </w:p>
        </w:tc>
        <w:tc>
          <w:tcPr>
            <w:tcW w:w="2126" w:type="dxa"/>
          </w:tcPr>
          <w:p w14:paraId="5E70E7DB" w14:textId="04DB448B" w:rsidR="007621DC" w:rsidRPr="000265D7" w:rsidRDefault="000265D7">
            <w:pPr>
              <w:rPr>
                <w:rFonts w:ascii="Arial" w:hAnsi="Arial" w:cs="Arial"/>
                <w:sz w:val="20"/>
                <w:szCs w:val="20"/>
                <w:u w:val="single"/>
              </w:rPr>
            </w:pPr>
            <w:r w:rsidRPr="000265D7">
              <w:rPr>
                <w:rFonts w:ascii="Arial" w:hAnsi="Arial" w:cs="Arial"/>
                <w:sz w:val="20"/>
                <w:szCs w:val="20"/>
                <w:u w:val="single"/>
              </w:rPr>
              <w:t>Conditions</w:t>
            </w:r>
          </w:p>
        </w:tc>
        <w:tc>
          <w:tcPr>
            <w:tcW w:w="9781" w:type="dxa"/>
          </w:tcPr>
          <w:p w14:paraId="4F438A6B" w14:textId="5776E1F2" w:rsidR="007621DC" w:rsidRPr="000265D7" w:rsidRDefault="007621DC">
            <w:pPr>
              <w:rPr>
                <w:rFonts w:ascii="Arial" w:hAnsi="Arial" w:cs="Arial"/>
                <w:sz w:val="20"/>
                <w:szCs w:val="20"/>
                <w:u w:val="single"/>
              </w:rPr>
            </w:pPr>
            <w:r w:rsidRPr="000265D7">
              <w:rPr>
                <w:rFonts w:ascii="Arial" w:hAnsi="Arial" w:cs="Arial"/>
                <w:sz w:val="20"/>
                <w:szCs w:val="20"/>
                <w:u w:val="single"/>
              </w:rPr>
              <w:t>More info</w:t>
            </w:r>
          </w:p>
        </w:tc>
      </w:tr>
      <w:tr w:rsidR="007621DC" w:rsidRPr="000265D7" w14:paraId="0DB4A6BD" w14:textId="77777777" w:rsidTr="007621DC">
        <w:tc>
          <w:tcPr>
            <w:tcW w:w="1277" w:type="dxa"/>
          </w:tcPr>
          <w:p w14:paraId="4CCB0F69" w14:textId="2E561272" w:rsidR="007621DC" w:rsidRPr="000265D7" w:rsidRDefault="007621DC">
            <w:pPr>
              <w:rPr>
                <w:rFonts w:ascii="Arial" w:hAnsi="Arial" w:cs="Arial"/>
                <w:sz w:val="20"/>
                <w:szCs w:val="20"/>
                <w:u w:val="single"/>
              </w:rPr>
            </w:pPr>
            <w:r w:rsidRPr="000265D7">
              <w:rPr>
                <w:rFonts w:ascii="Arial" w:hAnsi="Arial" w:cs="Arial"/>
                <w:sz w:val="20"/>
                <w:szCs w:val="20"/>
                <w:u w:val="single"/>
              </w:rPr>
              <w:t>25-34.9</w:t>
            </w:r>
          </w:p>
        </w:tc>
        <w:tc>
          <w:tcPr>
            <w:tcW w:w="2268" w:type="dxa"/>
          </w:tcPr>
          <w:p w14:paraId="73D2B201" w14:textId="50AFAFF1" w:rsidR="007621DC" w:rsidRPr="000265D7" w:rsidRDefault="007621DC">
            <w:pPr>
              <w:rPr>
                <w:rFonts w:ascii="Arial" w:hAnsi="Arial" w:cs="Arial"/>
                <w:sz w:val="20"/>
                <w:szCs w:val="20"/>
              </w:rPr>
            </w:pPr>
            <w:r w:rsidRPr="000265D7">
              <w:rPr>
                <w:rFonts w:ascii="Arial" w:hAnsi="Arial" w:cs="Arial"/>
                <w:sz w:val="20"/>
                <w:szCs w:val="20"/>
              </w:rPr>
              <w:t>Aspire Health &amp; Wellbeing (Wakefield Council)</w:t>
            </w:r>
          </w:p>
          <w:p w14:paraId="5A192B11" w14:textId="77777777" w:rsidR="007621DC" w:rsidRPr="000265D7" w:rsidRDefault="007621DC">
            <w:pPr>
              <w:rPr>
                <w:rFonts w:ascii="Arial" w:hAnsi="Arial" w:cs="Arial"/>
                <w:sz w:val="20"/>
                <w:szCs w:val="20"/>
              </w:rPr>
            </w:pPr>
          </w:p>
          <w:p w14:paraId="251B08FC" w14:textId="2F0B2863" w:rsidR="007621DC" w:rsidRPr="000265D7" w:rsidRDefault="007621DC">
            <w:pPr>
              <w:rPr>
                <w:rFonts w:ascii="Arial" w:hAnsi="Arial" w:cs="Arial"/>
                <w:sz w:val="20"/>
                <w:szCs w:val="20"/>
              </w:rPr>
            </w:pPr>
            <w:r w:rsidRPr="000265D7">
              <w:rPr>
                <w:rFonts w:ascii="Arial" w:hAnsi="Arial" w:cs="Arial"/>
                <w:sz w:val="20"/>
                <w:szCs w:val="20"/>
              </w:rPr>
              <w:t>Must meet inclusion / exclusion criteria (sent out to all practices)</w:t>
            </w:r>
          </w:p>
        </w:tc>
        <w:tc>
          <w:tcPr>
            <w:tcW w:w="2126" w:type="dxa"/>
          </w:tcPr>
          <w:p w14:paraId="1C231A48" w14:textId="526D52B2" w:rsidR="007621DC" w:rsidRPr="000265D7" w:rsidRDefault="007621DC">
            <w:pPr>
              <w:rPr>
                <w:rFonts w:ascii="Arial" w:hAnsi="Arial" w:cs="Arial"/>
                <w:sz w:val="20"/>
                <w:szCs w:val="20"/>
              </w:rPr>
            </w:pPr>
            <w:r w:rsidRPr="000265D7">
              <w:rPr>
                <w:rFonts w:ascii="Arial" w:hAnsi="Arial" w:cs="Arial"/>
                <w:sz w:val="20"/>
                <w:szCs w:val="20"/>
              </w:rPr>
              <w:t>Must meet the criteria and will not accept above BMI 34.9</w:t>
            </w:r>
          </w:p>
        </w:tc>
        <w:tc>
          <w:tcPr>
            <w:tcW w:w="9781" w:type="dxa"/>
          </w:tcPr>
          <w:p w14:paraId="63544C7B" w14:textId="117D50AC" w:rsidR="007621DC" w:rsidRPr="000265D7" w:rsidRDefault="007621DC">
            <w:pPr>
              <w:rPr>
                <w:rFonts w:ascii="Arial" w:hAnsi="Arial" w:cs="Arial"/>
                <w:sz w:val="20"/>
                <w:szCs w:val="20"/>
              </w:rPr>
            </w:pPr>
            <w:hyperlink r:id="rId6" w:history="1">
              <w:r w:rsidRPr="000265D7">
                <w:rPr>
                  <w:rStyle w:val="Hyperlink"/>
                  <w:rFonts w:ascii="Arial" w:hAnsi="Arial" w:cs="Arial"/>
                  <w:sz w:val="20"/>
                  <w:szCs w:val="20"/>
                </w:rPr>
                <w:t>https://www.wakefield.gov.uk/sport-and-leisure/healthy-living/aspire-health-referral</w:t>
              </w:r>
            </w:hyperlink>
          </w:p>
          <w:p w14:paraId="1AA1F229" w14:textId="77777777" w:rsidR="007621DC" w:rsidRPr="000265D7" w:rsidRDefault="007621DC">
            <w:pPr>
              <w:rPr>
                <w:rFonts w:ascii="Arial" w:hAnsi="Arial" w:cs="Arial"/>
                <w:sz w:val="20"/>
                <w:szCs w:val="20"/>
              </w:rPr>
            </w:pPr>
          </w:p>
          <w:p w14:paraId="4078E420" w14:textId="43848627" w:rsidR="007621DC" w:rsidRPr="000265D7" w:rsidRDefault="007621DC">
            <w:pPr>
              <w:rPr>
                <w:rFonts w:ascii="Arial" w:hAnsi="Arial" w:cs="Arial"/>
                <w:sz w:val="20"/>
                <w:szCs w:val="20"/>
              </w:rPr>
            </w:pPr>
            <w:r w:rsidRPr="000265D7">
              <w:rPr>
                <w:rFonts w:ascii="Arial" w:hAnsi="Arial" w:cs="Arial"/>
                <w:sz w:val="20"/>
                <w:szCs w:val="20"/>
              </w:rPr>
              <w:t xml:space="preserve">Offer: </w:t>
            </w:r>
          </w:p>
          <w:p w14:paraId="45738AFD" w14:textId="5FF046A2" w:rsidR="007621DC" w:rsidRPr="000265D7" w:rsidRDefault="007621DC" w:rsidP="000321F8">
            <w:pPr>
              <w:pStyle w:val="ListParagraph"/>
              <w:numPr>
                <w:ilvl w:val="0"/>
                <w:numId w:val="2"/>
              </w:numPr>
              <w:rPr>
                <w:rFonts w:ascii="Arial" w:hAnsi="Arial" w:cs="Arial"/>
                <w:sz w:val="20"/>
                <w:szCs w:val="20"/>
              </w:rPr>
            </w:pPr>
            <w:r w:rsidRPr="000265D7">
              <w:rPr>
                <w:rFonts w:ascii="Arial" w:hAnsi="Arial" w:cs="Arial"/>
                <w:sz w:val="20"/>
                <w:szCs w:val="20"/>
              </w:rPr>
              <w:t>Healthier Lifestyles group programme (12 weeks behaviour change, Knowledge / Info, peer support, physical activity)</w:t>
            </w:r>
          </w:p>
          <w:p w14:paraId="7A5F2724" w14:textId="77777777" w:rsidR="007621DC" w:rsidRPr="000265D7" w:rsidRDefault="007621DC" w:rsidP="000321F8">
            <w:pPr>
              <w:pStyle w:val="ListParagraph"/>
              <w:numPr>
                <w:ilvl w:val="0"/>
                <w:numId w:val="2"/>
              </w:numPr>
              <w:rPr>
                <w:rFonts w:ascii="Arial" w:hAnsi="Arial" w:cs="Arial"/>
                <w:sz w:val="20"/>
                <w:szCs w:val="20"/>
              </w:rPr>
            </w:pPr>
            <w:r w:rsidRPr="000265D7">
              <w:rPr>
                <w:rFonts w:ascii="Arial" w:hAnsi="Arial" w:cs="Arial"/>
                <w:sz w:val="20"/>
                <w:szCs w:val="20"/>
              </w:rPr>
              <w:t>eLearning</w:t>
            </w:r>
          </w:p>
          <w:p w14:paraId="5274FD1A" w14:textId="77777777" w:rsidR="007621DC" w:rsidRPr="000265D7" w:rsidRDefault="007621DC" w:rsidP="000321F8">
            <w:pPr>
              <w:pStyle w:val="ListParagraph"/>
              <w:numPr>
                <w:ilvl w:val="0"/>
                <w:numId w:val="2"/>
              </w:numPr>
              <w:rPr>
                <w:rFonts w:ascii="Arial" w:hAnsi="Arial" w:cs="Arial"/>
                <w:sz w:val="20"/>
                <w:szCs w:val="20"/>
              </w:rPr>
            </w:pPr>
            <w:r w:rsidRPr="000265D7">
              <w:rPr>
                <w:rFonts w:ascii="Arial" w:hAnsi="Arial" w:cs="Arial"/>
                <w:sz w:val="20"/>
                <w:szCs w:val="20"/>
              </w:rPr>
              <w:t>Slimming World (12 weeks funded)</w:t>
            </w:r>
          </w:p>
          <w:p w14:paraId="454FF82F" w14:textId="539819C1" w:rsidR="007621DC" w:rsidRPr="000265D7" w:rsidRDefault="007621DC" w:rsidP="007621DC">
            <w:pPr>
              <w:pStyle w:val="ListParagraph"/>
              <w:numPr>
                <w:ilvl w:val="0"/>
                <w:numId w:val="2"/>
              </w:numPr>
              <w:rPr>
                <w:rFonts w:ascii="Arial" w:hAnsi="Arial" w:cs="Arial"/>
                <w:sz w:val="20"/>
                <w:szCs w:val="20"/>
              </w:rPr>
            </w:pPr>
            <w:r w:rsidRPr="000265D7">
              <w:rPr>
                <w:rFonts w:ascii="Arial" w:hAnsi="Arial" w:cs="Arial"/>
                <w:sz w:val="20"/>
                <w:szCs w:val="20"/>
              </w:rPr>
              <w:t>Let’s Get Cooking</w:t>
            </w:r>
          </w:p>
          <w:p w14:paraId="19347D39" w14:textId="57018CF3" w:rsidR="007621DC" w:rsidRPr="000265D7" w:rsidRDefault="007621DC" w:rsidP="007621DC">
            <w:pPr>
              <w:rPr>
                <w:rFonts w:ascii="Arial" w:hAnsi="Arial" w:cs="Arial"/>
                <w:sz w:val="20"/>
                <w:szCs w:val="20"/>
              </w:rPr>
            </w:pPr>
          </w:p>
        </w:tc>
      </w:tr>
      <w:tr w:rsidR="007621DC" w:rsidRPr="000265D7" w14:paraId="3DAFA8DB" w14:textId="77777777" w:rsidTr="007621DC">
        <w:tc>
          <w:tcPr>
            <w:tcW w:w="1277" w:type="dxa"/>
          </w:tcPr>
          <w:p w14:paraId="2207D8BA" w14:textId="77777777" w:rsidR="007621DC" w:rsidRPr="000265D7" w:rsidRDefault="007621DC">
            <w:pPr>
              <w:rPr>
                <w:rFonts w:ascii="Arial" w:hAnsi="Arial" w:cs="Arial"/>
                <w:sz w:val="20"/>
                <w:szCs w:val="20"/>
                <w:u w:val="single"/>
              </w:rPr>
            </w:pPr>
            <w:r w:rsidRPr="000265D7">
              <w:rPr>
                <w:rFonts w:ascii="Arial" w:hAnsi="Arial" w:cs="Arial"/>
                <w:sz w:val="20"/>
                <w:szCs w:val="20"/>
                <w:u w:val="single"/>
              </w:rPr>
              <w:t>&gt;30</w:t>
            </w:r>
          </w:p>
          <w:p w14:paraId="666D4885" w14:textId="10AFBCB1" w:rsidR="007621DC" w:rsidRPr="000265D7" w:rsidRDefault="007621DC">
            <w:pPr>
              <w:rPr>
                <w:rFonts w:ascii="Arial" w:hAnsi="Arial" w:cs="Arial"/>
                <w:sz w:val="20"/>
                <w:szCs w:val="20"/>
                <w:u w:val="single"/>
              </w:rPr>
            </w:pPr>
            <w:r w:rsidRPr="000265D7">
              <w:rPr>
                <w:rFonts w:ascii="Arial" w:hAnsi="Arial" w:cs="Arial"/>
                <w:sz w:val="20"/>
                <w:szCs w:val="20"/>
                <w:u w:val="single"/>
              </w:rPr>
              <w:t>&gt;27.5 BAME</w:t>
            </w:r>
          </w:p>
        </w:tc>
        <w:tc>
          <w:tcPr>
            <w:tcW w:w="2268" w:type="dxa"/>
          </w:tcPr>
          <w:p w14:paraId="09840870" w14:textId="680C0180" w:rsidR="007621DC" w:rsidRPr="000265D7" w:rsidRDefault="007621DC">
            <w:pPr>
              <w:rPr>
                <w:rFonts w:ascii="Arial" w:hAnsi="Arial" w:cs="Arial"/>
                <w:sz w:val="20"/>
                <w:szCs w:val="20"/>
              </w:rPr>
            </w:pPr>
            <w:r w:rsidRPr="000265D7">
              <w:rPr>
                <w:rFonts w:ascii="Arial" w:hAnsi="Arial" w:cs="Arial"/>
                <w:sz w:val="20"/>
                <w:szCs w:val="20"/>
              </w:rPr>
              <w:t>NHS Digital Weight Management</w:t>
            </w:r>
          </w:p>
        </w:tc>
        <w:tc>
          <w:tcPr>
            <w:tcW w:w="2126" w:type="dxa"/>
          </w:tcPr>
          <w:p w14:paraId="58951928" w14:textId="4FBE9389" w:rsidR="007621DC" w:rsidRPr="000265D7" w:rsidRDefault="007621DC">
            <w:pPr>
              <w:rPr>
                <w:rFonts w:ascii="Arial" w:hAnsi="Arial" w:cs="Arial"/>
                <w:sz w:val="20"/>
                <w:szCs w:val="20"/>
              </w:rPr>
            </w:pPr>
            <w:r w:rsidRPr="000265D7">
              <w:rPr>
                <w:rFonts w:ascii="Arial" w:hAnsi="Arial" w:cs="Arial"/>
                <w:sz w:val="20"/>
                <w:szCs w:val="20"/>
              </w:rPr>
              <w:t>Only if also have hypertension or diabetes</w:t>
            </w:r>
          </w:p>
        </w:tc>
        <w:tc>
          <w:tcPr>
            <w:tcW w:w="9781" w:type="dxa"/>
          </w:tcPr>
          <w:p w14:paraId="6EC37F70" w14:textId="5B010B57" w:rsidR="007621DC" w:rsidRPr="000265D7" w:rsidRDefault="007621DC">
            <w:pPr>
              <w:rPr>
                <w:rFonts w:ascii="Arial" w:hAnsi="Arial" w:cs="Arial"/>
                <w:sz w:val="20"/>
                <w:szCs w:val="20"/>
                <w:u w:val="single"/>
              </w:rPr>
            </w:pPr>
            <w:hyperlink r:id="rId7" w:history="1">
              <w:r w:rsidRPr="000265D7">
                <w:rPr>
                  <w:rStyle w:val="Hyperlink"/>
                  <w:rFonts w:ascii="Arial" w:hAnsi="Arial" w:cs="Arial"/>
                  <w:sz w:val="20"/>
                  <w:szCs w:val="20"/>
                </w:rPr>
                <w:t>https://www.england.nhs.uk/digital-weight-management/</w:t>
              </w:r>
            </w:hyperlink>
          </w:p>
          <w:p w14:paraId="2944564E" w14:textId="20733F5B" w:rsidR="007621DC" w:rsidRPr="000265D7" w:rsidRDefault="007621DC">
            <w:pPr>
              <w:rPr>
                <w:rFonts w:ascii="Arial" w:hAnsi="Arial" w:cs="Arial"/>
                <w:sz w:val="20"/>
                <w:szCs w:val="20"/>
                <w:u w:val="single"/>
              </w:rPr>
            </w:pPr>
          </w:p>
        </w:tc>
      </w:tr>
      <w:tr w:rsidR="007621DC" w:rsidRPr="000265D7" w14:paraId="37E12E32" w14:textId="77777777" w:rsidTr="007621DC">
        <w:tc>
          <w:tcPr>
            <w:tcW w:w="1277" w:type="dxa"/>
          </w:tcPr>
          <w:p w14:paraId="16EDAE15" w14:textId="59AFCD01" w:rsidR="007621DC" w:rsidRPr="000265D7" w:rsidRDefault="007621DC">
            <w:pPr>
              <w:rPr>
                <w:rFonts w:ascii="Arial" w:hAnsi="Arial" w:cs="Arial"/>
                <w:sz w:val="20"/>
                <w:szCs w:val="20"/>
                <w:u w:val="single"/>
              </w:rPr>
            </w:pPr>
            <w:r w:rsidRPr="000265D7">
              <w:rPr>
                <w:rFonts w:ascii="Arial" w:hAnsi="Arial" w:cs="Arial"/>
                <w:sz w:val="20"/>
                <w:szCs w:val="20"/>
                <w:u w:val="single"/>
              </w:rPr>
              <w:t>25-39.9</w:t>
            </w:r>
          </w:p>
        </w:tc>
        <w:tc>
          <w:tcPr>
            <w:tcW w:w="2268" w:type="dxa"/>
          </w:tcPr>
          <w:p w14:paraId="373C0AE9" w14:textId="24B345A2" w:rsidR="007621DC" w:rsidRPr="000265D7" w:rsidRDefault="007621DC">
            <w:pPr>
              <w:rPr>
                <w:rFonts w:ascii="Arial" w:hAnsi="Arial" w:cs="Arial"/>
                <w:sz w:val="20"/>
                <w:szCs w:val="20"/>
              </w:rPr>
            </w:pPr>
            <w:r w:rsidRPr="000265D7">
              <w:rPr>
                <w:rFonts w:ascii="Arial" w:hAnsi="Arial" w:cs="Arial"/>
                <w:sz w:val="20"/>
                <w:szCs w:val="20"/>
              </w:rPr>
              <w:t>Health and Well-being Coach</w:t>
            </w:r>
          </w:p>
        </w:tc>
        <w:tc>
          <w:tcPr>
            <w:tcW w:w="2126" w:type="dxa"/>
          </w:tcPr>
          <w:p w14:paraId="08C1F690" w14:textId="0300125A" w:rsidR="007621DC" w:rsidRPr="000265D7" w:rsidRDefault="007621DC">
            <w:pPr>
              <w:rPr>
                <w:rFonts w:ascii="Arial" w:hAnsi="Arial" w:cs="Arial"/>
                <w:sz w:val="20"/>
                <w:szCs w:val="20"/>
              </w:rPr>
            </w:pPr>
            <w:r w:rsidRPr="000265D7">
              <w:rPr>
                <w:rFonts w:ascii="Arial" w:hAnsi="Arial" w:cs="Arial"/>
                <w:sz w:val="20"/>
                <w:szCs w:val="20"/>
              </w:rPr>
              <w:t>Only available in PCNs that have provided</w:t>
            </w:r>
          </w:p>
        </w:tc>
        <w:tc>
          <w:tcPr>
            <w:tcW w:w="9781" w:type="dxa"/>
          </w:tcPr>
          <w:p w14:paraId="157B57BA" w14:textId="6AF3098A" w:rsidR="007621DC" w:rsidRPr="000265D7" w:rsidRDefault="007621DC">
            <w:pPr>
              <w:rPr>
                <w:rFonts w:ascii="Arial" w:hAnsi="Arial" w:cs="Arial"/>
                <w:sz w:val="20"/>
                <w:szCs w:val="20"/>
                <w:u w:val="single"/>
              </w:rPr>
            </w:pPr>
            <w:r w:rsidRPr="000265D7">
              <w:rPr>
                <w:rFonts w:ascii="Arial" w:hAnsi="Arial" w:cs="Arial"/>
                <w:sz w:val="20"/>
                <w:szCs w:val="20"/>
                <w:u w:val="single"/>
              </w:rPr>
              <w:t>Motivational Support</w:t>
            </w:r>
          </w:p>
        </w:tc>
      </w:tr>
      <w:tr w:rsidR="007621DC" w:rsidRPr="000265D7" w14:paraId="4D73693B" w14:textId="77777777" w:rsidTr="007621DC">
        <w:tc>
          <w:tcPr>
            <w:tcW w:w="1277" w:type="dxa"/>
          </w:tcPr>
          <w:p w14:paraId="1CCE0903" w14:textId="77777777" w:rsidR="007621DC" w:rsidRPr="000265D7" w:rsidRDefault="007621DC">
            <w:pPr>
              <w:rPr>
                <w:rFonts w:ascii="Arial" w:hAnsi="Arial" w:cs="Arial"/>
                <w:sz w:val="20"/>
                <w:szCs w:val="20"/>
                <w:u w:val="single"/>
              </w:rPr>
            </w:pPr>
            <w:r w:rsidRPr="000265D7">
              <w:rPr>
                <w:rFonts w:ascii="Arial" w:hAnsi="Arial" w:cs="Arial"/>
                <w:sz w:val="20"/>
                <w:szCs w:val="20"/>
                <w:u w:val="single"/>
              </w:rPr>
              <w:t>&gt;40</w:t>
            </w:r>
          </w:p>
          <w:p w14:paraId="54B613C6" w14:textId="18D781ED" w:rsidR="000F1279" w:rsidRPr="000265D7" w:rsidRDefault="000F1279">
            <w:pPr>
              <w:rPr>
                <w:rFonts w:ascii="Arial" w:hAnsi="Arial" w:cs="Arial"/>
                <w:sz w:val="20"/>
                <w:szCs w:val="20"/>
                <w:u w:val="single"/>
              </w:rPr>
            </w:pPr>
            <w:r w:rsidRPr="000265D7">
              <w:rPr>
                <w:rFonts w:ascii="Arial" w:hAnsi="Arial" w:cs="Arial"/>
                <w:sz w:val="20"/>
                <w:szCs w:val="20"/>
                <w:u w:val="single"/>
              </w:rPr>
              <w:t>&gt;</w:t>
            </w:r>
            <w:r w:rsidRPr="000265D7">
              <w:rPr>
                <w:rFonts w:ascii="Arial" w:hAnsi="Arial" w:cs="Arial"/>
                <w:sz w:val="20"/>
                <w:szCs w:val="20"/>
                <w:u w:val="single"/>
              </w:rPr>
              <w:t>3</w:t>
            </w:r>
            <w:r w:rsidRPr="000265D7">
              <w:rPr>
                <w:rFonts w:ascii="Arial" w:hAnsi="Arial" w:cs="Arial"/>
                <w:sz w:val="20"/>
                <w:szCs w:val="20"/>
                <w:u w:val="single"/>
              </w:rPr>
              <w:t>7.5 BAME</w:t>
            </w:r>
          </w:p>
        </w:tc>
        <w:tc>
          <w:tcPr>
            <w:tcW w:w="2268" w:type="dxa"/>
          </w:tcPr>
          <w:p w14:paraId="1BCA0969" w14:textId="2C822D7E" w:rsidR="007621DC" w:rsidRPr="000265D7" w:rsidRDefault="007621DC">
            <w:pPr>
              <w:rPr>
                <w:rFonts w:ascii="Arial" w:hAnsi="Arial" w:cs="Arial"/>
                <w:sz w:val="20"/>
                <w:szCs w:val="20"/>
              </w:rPr>
            </w:pPr>
            <w:r w:rsidRPr="000265D7">
              <w:rPr>
                <w:rFonts w:ascii="Arial" w:hAnsi="Arial" w:cs="Arial"/>
                <w:sz w:val="20"/>
                <w:szCs w:val="20"/>
              </w:rPr>
              <w:t xml:space="preserve">Oviva* </w:t>
            </w:r>
          </w:p>
          <w:p w14:paraId="4BBC8BBA" w14:textId="77777777" w:rsidR="007621DC" w:rsidRPr="000265D7" w:rsidRDefault="007621DC">
            <w:pPr>
              <w:rPr>
                <w:rFonts w:ascii="Arial" w:hAnsi="Arial" w:cs="Arial"/>
                <w:sz w:val="20"/>
                <w:szCs w:val="20"/>
              </w:rPr>
            </w:pPr>
          </w:p>
          <w:p w14:paraId="68216413" w14:textId="7C09B4A5" w:rsidR="007621DC" w:rsidRPr="000265D7" w:rsidRDefault="007621DC">
            <w:pPr>
              <w:rPr>
                <w:rFonts w:ascii="Arial" w:hAnsi="Arial" w:cs="Arial"/>
                <w:sz w:val="20"/>
                <w:szCs w:val="20"/>
              </w:rPr>
            </w:pPr>
            <w:r w:rsidRPr="000265D7">
              <w:rPr>
                <w:rFonts w:ascii="Arial" w:hAnsi="Arial" w:cs="Arial"/>
                <w:sz w:val="20"/>
                <w:szCs w:val="20"/>
              </w:rPr>
              <w:t>A national remote service offer</w:t>
            </w:r>
            <w:r w:rsidR="00176555">
              <w:rPr>
                <w:rFonts w:ascii="Arial" w:hAnsi="Arial" w:cs="Arial"/>
                <w:sz w:val="20"/>
                <w:szCs w:val="20"/>
              </w:rPr>
              <w:t xml:space="preserve"> that is </w:t>
            </w:r>
            <w:r w:rsidRPr="000265D7">
              <w:rPr>
                <w:rFonts w:ascii="Arial" w:hAnsi="Arial" w:cs="Arial"/>
                <w:sz w:val="20"/>
                <w:szCs w:val="20"/>
              </w:rPr>
              <w:t xml:space="preserve"> available via Choice ‘Right to Choose’ on eRS</w:t>
            </w:r>
          </w:p>
        </w:tc>
        <w:tc>
          <w:tcPr>
            <w:tcW w:w="2126" w:type="dxa"/>
          </w:tcPr>
          <w:p w14:paraId="72F65208" w14:textId="77777777" w:rsidR="007621DC" w:rsidRPr="000265D7" w:rsidRDefault="007621DC" w:rsidP="007621DC">
            <w:pPr>
              <w:rPr>
                <w:rFonts w:ascii="Arial" w:hAnsi="Arial" w:cs="Arial"/>
                <w:sz w:val="20"/>
                <w:szCs w:val="20"/>
              </w:rPr>
            </w:pPr>
            <w:r w:rsidRPr="000265D7">
              <w:rPr>
                <w:rFonts w:ascii="Arial" w:hAnsi="Arial" w:cs="Arial"/>
                <w:sz w:val="20"/>
                <w:szCs w:val="20"/>
              </w:rPr>
              <w:t>Can only be referred if in addition to BMI they also have ≥4 ‘qualifying’ comorbidities</w:t>
            </w:r>
          </w:p>
          <w:p w14:paraId="27C0E2B3" w14:textId="6BC64726" w:rsidR="007621DC" w:rsidRPr="000265D7" w:rsidRDefault="007621DC">
            <w:pPr>
              <w:rPr>
                <w:rFonts w:ascii="Arial" w:hAnsi="Arial" w:cs="Arial"/>
                <w:sz w:val="20"/>
                <w:szCs w:val="20"/>
              </w:rPr>
            </w:pPr>
          </w:p>
        </w:tc>
        <w:tc>
          <w:tcPr>
            <w:tcW w:w="9781" w:type="dxa"/>
          </w:tcPr>
          <w:p w14:paraId="2BD9A880" w14:textId="784EC6D7" w:rsidR="007621DC" w:rsidRPr="000265D7" w:rsidRDefault="007621DC">
            <w:pPr>
              <w:rPr>
                <w:rFonts w:ascii="Arial" w:hAnsi="Arial" w:cs="Arial"/>
                <w:sz w:val="20"/>
                <w:szCs w:val="20"/>
              </w:rPr>
            </w:pPr>
            <w:r w:rsidRPr="000265D7">
              <w:rPr>
                <w:rFonts w:ascii="Arial" w:hAnsi="Arial" w:cs="Arial"/>
                <w:sz w:val="20"/>
                <w:szCs w:val="20"/>
              </w:rPr>
              <w:t xml:space="preserve">The ‘qualifying’ comorbidities </w:t>
            </w:r>
            <w:r w:rsidR="000265D7" w:rsidRPr="000265D7">
              <w:rPr>
                <w:rFonts w:ascii="Arial" w:hAnsi="Arial" w:cs="Arial"/>
                <w:sz w:val="20"/>
                <w:szCs w:val="20"/>
              </w:rPr>
              <w:t>include hypertension</w:t>
            </w:r>
            <w:r w:rsidRPr="000265D7">
              <w:rPr>
                <w:rFonts w:ascii="Arial" w:hAnsi="Arial" w:cs="Arial"/>
                <w:sz w:val="20"/>
                <w:szCs w:val="20"/>
              </w:rPr>
              <w:t>, dyslipidaemia, obstructive sleep apnoea, cardiovascular disease, type 2 diabetes mellitus</w:t>
            </w:r>
          </w:p>
          <w:p w14:paraId="2E60C533" w14:textId="77777777" w:rsidR="007621DC" w:rsidRPr="000265D7" w:rsidRDefault="007621DC">
            <w:pPr>
              <w:rPr>
                <w:rFonts w:ascii="Arial" w:hAnsi="Arial" w:cs="Arial"/>
                <w:sz w:val="20"/>
                <w:szCs w:val="20"/>
              </w:rPr>
            </w:pPr>
          </w:p>
          <w:p w14:paraId="75CD4226" w14:textId="0D6A8EED" w:rsidR="007621DC" w:rsidRPr="000265D7" w:rsidRDefault="007621DC">
            <w:pPr>
              <w:rPr>
                <w:rFonts w:ascii="Arial" w:hAnsi="Arial" w:cs="Arial"/>
                <w:sz w:val="20"/>
                <w:szCs w:val="20"/>
              </w:rPr>
            </w:pPr>
            <w:hyperlink r:id="rId8" w:history="1">
              <w:r w:rsidRPr="000265D7">
                <w:rPr>
                  <w:rStyle w:val="Hyperlink"/>
                  <w:rFonts w:ascii="Arial" w:hAnsi="Arial" w:cs="Arial"/>
                  <w:sz w:val="20"/>
                  <w:szCs w:val="20"/>
                </w:rPr>
                <w:t>https://oviva.com/uk/en/</w:t>
              </w:r>
            </w:hyperlink>
          </w:p>
          <w:p w14:paraId="16C97B87" w14:textId="77777777" w:rsidR="007621DC" w:rsidRPr="000265D7" w:rsidRDefault="007621DC">
            <w:pPr>
              <w:rPr>
                <w:rFonts w:ascii="Arial" w:hAnsi="Arial" w:cs="Arial"/>
                <w:sz w:val="20"/>
                <w:szCs w:val="20"/>
              </w:rPr>
            </w:pPr>
          </w:p>
          <w:p w14:paraId="335EE452" w14:textId="03D1AE17" w:rsidR="000265D7" w:rsidRPr="000265D7" w:rsidRDefault="000265D7" w:rsidP="000265D7">
            <w:pPr>
              <w:pStyle w:val="p1"/>
              <w:rPr>
                <w:rFonts w:ascii="Arial" w:hAnsi="Arial" w:cs="Arial"/>
                <w:b/>
                <w:bCs/>
                <w:sz w:val="20"/>
                <w:szCs w:val="20"/>
              </w:rPr>
            </w:pPr>
            <w:r w:rsidRPr="000265D7">
              <w:rPr>
                <w:rFonts w:ascii="Arial" w:hAnsi="Arial" w:cs="Arial"/>
                <w:b/>
                <w:bCs/>
                <w:sz w:val="20"/>
                <w:szCs w:val="20"/>
              </w:rPr>
              <w:t>Exclusions:</w:t>
            </w:r>
          </w:p>
          <w:p w14:paraId="5DE8B841" w14:textId="42BEF8E3" w:rsidR="000265D7" w:rsidRPr="000265D7" w:rsidRDefault="000265D7" w:rsidP="000265D7">
            <w:pPr>
              <w:pStyle w:val="p1"/>
              <w:numPr>
                <w:ilvl w:val="0"/>
                <w:numId w:val="4"/>
              </w:numPr>
              <w:rPr>
                <w:rFonts w:ascii="Arial" w:hAnsi="Arial" w:cs="Arial"/>
                <w:sz w:val="20"/>
                <w:szCs w:val="20"/>
              </w:rPr>
            </w:pPr>
            <w:r w:rsidRPr="000265D7">
              <w:rPr>
                <w:rFonts w:ascii="Arial" w:hAnsi="Arial" w:cs="Arial"/>
                <w:sz w:val="20"/>
                <w:szCs w:val="20"/>
              </w:rPr>
              <w:t>U</w:t>
            </w:r>
            <w:r w:rsidRPr="000265D7">
              <w:rPr>
                <w:rFonts w:ascii="Arial" w:hAnsi="Arial" w:cs="Arial"/>
                <w:sz w:val="20"/>
                <w:szCs w:val="20"/>
              </w:rPr>
              <w:t>nder the age of 18</w:t>
            </w:r>
          </w:p>
          <w:p w14:paraId="43F1797E" w14:textId="008EC3AA" w:rsidR="000265D7" w:rsidRPr="000265D7" w:rsidRDefault="000265D7" w:rsidP="000265D7">
            <w:pPr>
              <w:pStyle w:val="p1"/>
              <w:numPr>
                <w:ilvl w:val="0"/>
                <w:numId w:val="4"/>
              </w:numPr>
              <w:rPr>
                <w:rFonts w:ascii="Arial" w:hAnsi="Arial" w:cs="Arial"/>
                <w:sz w:val="20"/>
                <w:szCs w:val="20"/>
              </w:rPr>
            </w:pPr>
            <w:r w:rsidRPr="000265D7">
              <w:rPr>
                <w:rFonts w:ascii="Arial" w:hAnsi="Arial" w:cs="Arial"/>
                <w:sz w:val="20"/>
                <w:szCs w:val="20"/>
              </w:rPr>
              <w:t>Pregnant or breastfeeding</w:t>
            </w:r>
          </w:p>
          <w:p w14:paraId="4F850409" w14:textId="4DE1C73C" w:rsidR="000265D7" w:rsidRPr="000265D7" w:rsidRDefault="000265D7" w:rsidP="000265D7">
            <w:pPr>
              <w:pStyle w:val="p1"/>
              <w:numPr>
                <w:ilvl w:val="0"/>
                <w:numId w:val="4"/>
              </w:numPr>
              <w:rPr>
                <w:rFonts w:ascii="Arial" w:hAnsi="Arial" w:cs="Arial"/>
                <w:sz w:val="20"/>
                <w:szCs w:val="20"/>
              </w:rPr>
            </w:pPr>
            <w:r w:rsidRPr="000265D7">
              <w:rPr>
                <w:rFonts w:ascii="Arial" w:hAnsi="Arial" w:cs="Arial"/>
                <w:sz w:val="20"/>
                <w:szCs w:val="20"/>
              </w:rPr>
              <w:t>Uncontrolled hypertension / heart condition /</w:t>
            </w:r>
            <w:r w:rsidRPr="000265D7">
              <w:rPr>
                <w:rFonts w:ascii="Arial" w:hAnsi="Arial" w:cs="Arial"/>
                <w:sz w:val="20"/>
                <w:szCs w:val="20"/>
              </w:rPr>
              <w:t xml:space="preserve"> </w:t>
            </w:r>
            <w:r w:rsidRPr="000265D7">
              <w:rPr>
                <w:rFonts w:ascii="Arial" w:hAnsi="Arial" w:cs="Arial"/>
                <w:sz w:val="20"/>
                <w:szCs w:val="20"/>
              </w:rPr>
              <w:t>medical condition preventing increased activity</w:t>
            </w:r>
            <w:r w:rsidRPr="000265D7">
              <w:rPr>
                <w:rFonts w:ascii="Arial" w:hAnsi="Arial" w:cs="Arial"/>
                <w:sz w:val="20"/>
                <w:szCs w:val="20"/>
              </w:rPr>
              <w:t xml:space="preserve"> </w:t>
            </w:r>
            <w:r w:rsidRPr="000265D7">
              <w:rPr>
                <w:rFonts w:ascii="Arial" w:hAnsi="Arial" w:cs="Arial"/>
                <w:sz w:val="20"/>
                <w:szCs w:val="20"/>
              </w:rPr>
              <w:t>level</w:t>
            </w:r>
          </w:p>
          <w:p w14:paraId="60E6DBB8" w14:textId="77777777" w:rsidR="000265D7" w:rsidRPr="000265D7" w:rsidRDefault="000265D7" w:rsidP="000265D7">
            <w:pPr>
              <w:pStyle w:val="p1"/>
              <w:numPr>
                <w:ilvl w:val="0"/>
                <w:numId w:val="4"/>
              </w:numPr>
              <w:rPr>
                <w:rFonts w:ascii="Arial" w:hAnsi="Arial" w:cs="Arial"/>
                <w:sz w:val="20"/>
                <w:szCs w:val="20"/>
              </w:rPr>
            </w:pPr>
            <w:r w:rsidRPr="000265D7">
              <w:rPr>
                <w:rFonts w:ascii="Arial" w:hAnsi="Arial" w:cs="Arial"/>
                <w:sz w:val="20"/>
                <w:szCs w:val="20"/>
              </w:rPr>
              <w:t>Participants who have made suicide attempts</w:t>
            </w:r>
            <w:r w:rsidRPr="000265D7">
              <w:rPr>
                <w:rFonts w:ascii="Arial" w:hAnsi="Arial" w:cs="Arial"/>
                <w:sz w:val="20"/>
                <w:szCs w:val="20"/>
              </w:rPr>
              <w:t xml:space="preserve"> </w:t>
            </w:r>
            <w:r w:rsidRPr="000265D7">
              <w:rPr>
                <w:rFonts w:ascii="Arial" w:hAnsi="Arial" w:cs="Arial"/>
                <w:sz w:val="20"/>
                <w:szCs w:val="20"/>
              </w:rPr>
              <w:t>within the last year.</w:t>
            </w:r>
          </w:p>
          <w:p w14:paraId="0657A19F" w14:textId="635C13E8" w:rsidR="000265D7" w:rsidRPr="000265D7" w:rsidRDefault="000265D7" w:rsidP="000265D7">
            <w:pPr>
              <w:pStyle w:val="p1"/>
              <w:numPr>
                <w:ilvl w:val="0"/>
                <w:numId w:val="4"/>
              </w:numPr>
              <w:rPr>
                <w:rFonts w:ascii="Arial" w:hAnsi="Arial" w:cs="Arial"/>
                <w:sz w:val="20"/>
                <w:szCs w:val="20"/>
              </w:rPr>
            </w:pPr>
            <w:r w:rsidRPr="000265D7">
              <w:rPr>
                <w:rFonts w:ascii="Arial" w:hAnsi="Arial" w:cs="Arial"/>
                <w:sz w:val="20"/>
                <w:szCs w:val="20"/>
              </w:rPr>
              <w:t>Participants who have self-harmed in the past</w:t>
            </w:r>
            <w:r w:rsidRPr="000265D7">
              <w:rPr>
                <w:rFonts w:ascii="Arial" w:hAnsi="Arial" w:cs="Arial"/>
                <w:sz w:val="20"/>
                <w:szCs w:val="20"/>
              </w:rPr>
              <w:t xml:space="preserve"> </w:t>
            </w:r>
            <w:r w:rsidRPr="000265D7">
              <w:rPr>
                <w:rFonts w:ascii="Arial" w:hAnsi="Arial" w:cs="Arial"/>
                <w:sz w:val="20"/>
                <w:szCs w:val="20"/>
              </w:rPr>
              <w:t>three months.</w:t>
            </w:r>
          </w:p>
          <w:p w14:paraId="6AE00549" w14:textId="3B4E37F4" w:rsidR="000265D7" w:rsidRPr="000265D7" w:rsidRDefault="000265D7" w:rsidP="000265D7">
            <w:pPr>
              <w:pStyle w:val="p1"/>
              <w:numPr>
                <w:ilvl w:val="0"/>
                <w:numId w:val="4"/>
              </w:numPr>
              <w:rPr>
                <w:rFonts w:ascii="Arial" w:hAnsi="Arial" w:cs="Arial"/>
                <w:sz w:val="20"/>
                <w:szCs w:val="20"/>
              </w:rPr>
            </w:pPr>
            <w:r w:rsidRPr="000265D7">
              <w:rPr>
                <w:rFonts w:ascii="Arial" w:hAnsi="Arial" w:cs="Arial"/>
                <w:sz w:val="20"/>
                <w:szCs w:val="20"/>
              </w:rPr>
              <w:t>Participants who have made plans to commit</w:t>
            </w:r>
          </w:p>
          <w:p w14:paraId="2F37A806" w14:textId="77777777" w:rsidR="000265D7" w:rsidRPr="000265D7" w:rsidRDefault="000265D7" w:rsidP="000265D7">
            <w:pPr>
              <w:pStyle w:val="p1"/>
              <w:numPr>
                <w:ilvl w:val="0"/>
                <w:numId w:val="4"/>
              </w:numPr>
              <w:rPr>
                <w:rFonts w:ascii="Arial" w:hAnsi="Arial" w:cs="Arial"/>
                <w:sz w:val="20"/>
                <w:szCs w:val="20"/>
              </w:rPr>
            </w:pPr>
            <w:r w:rsidRPr="000265D7">
              <w:rPr>
                <w:rFonts w:ascii="Arial" w:hAnsi="Arial" w:cs="Arial"/>
                <w:sz w:val="20"/>
                <w:szCs w:val="20"/>
              </w:rPr>
              <w:t>suicide in the past three months.</w:t>
            </w:r>
          </w:p>
          <w:p w14:paraId="45B8E2F7" w14:textId="77777777" w:rsidR="000265D7" w:rsidRPr="000265D7" w:rsidRDefault="000265D7">
            <w:pPr>
              <w:rPr>
                <w:rFonts w:ascii="Arial" w:hAnsi="Arial" w:cs="Arial"/>
                <w:sz w:val="20"/>
                <w:szCs w:val="20"/>
              </w:rPr>
            </w:pPr>
          </w:p>
          <w:p w14:paraId="6409223D" w14:textId="52533ED4" w:rsidR="000265D7" w:rsidRPr="000265D7" w:rsidRDefault="000265D7">
            <w:pPr>
              <w:rPr>
                <w:rFonts w:ascii="Arial" w:hAnsi="Arial" w:cs="Arial"/>
                <w:sz w:val="20"/>
                <w:szCs w:val="20"/>
              </w:rPr>
            </w:pPr>
          </w:p>
        </w:tc>
      </w:tr>
      <w:tr w:rsidR="007621DC" w:rsidRPr="000265D7" w14:paraId="3868A591" w14:textId="77777777" w:rsidTr="007621DC">
        <w:tc>
          <w:tcPr>
            <w:tcW w:w="1277" w:type="dxa"/>
          </w:tcPr>
          <w:p w14:paraId="06776B18" w14:textId="77777777" w:rsidR="007621DC" w:rsidRPr="000265D7" w:rsidRDefault="007621DC">
            <w:pPr>
              <w:rPr>
                <w:rFonts w:ascii="Arial" w:hAnsi="Arial" w:cs="Arial"/>
                <w:sz w:val="20"/>
                <w:szCs w:val="20"/>
                <w:u w:val="single"/>
              </w:rPr>
            </w:pPr>
            <w:r w:rsidRPr="000265D7">
              <w:rPr>
                <w:rFonts w:ascii="Arial" w:hAnsi="Arial" w:cs="Arial"/>
                <w:sz w:val="20"/>
                <w:szCs w:val="20"/>
                <w:u w:val="single"/>
              </w:rPr>
              <w:t>&gt;45</w:t>
            </w:r>
          </w:p>
          <w:p w14:paraId="5F98EBED" w14:textId="7DE33CF1" w:rsidR="007621DC" w:rsidRPr="000265D7" w:rsidRDefault="007621DC">
            <w:pPr>
              <w:rPr>
                <w:rFonts w:ascii="Arial" w:hAnsi="Arial" w:cs="Arial"/>
                <w:sz w:val="20"/>
                <w:szCs w:val="20"/>
                <w:u w:val="single"/>
              </w:rPr>
            </w:pPr>
            <w:r w:rsidRPr="000265D7">
              <w:rPr>
                <w:rFonts w:ascii="Arial" w:hAnsi="Arial" w:cs="Arial"/>
                <w:sz w:val="20"/>
                <w:szCs w:val="20"/>
                <w:u w:val="single"/>
              </w:rPr>
              <w:t>&gt;43.5 BAME</w:t>
            </w:r>
          </w:p>
        </w:tc>
        <w:tc>
          <w:tcPr>
            <w:tcW w:w="2268" w:type="dxa"/>
          </w:tcPr>
          <w:p w14:paraId="089FC7BB" w14:textId="4D3C6632" w:rsidR="007621DC" w:rsidRPr="000265D7" w:rsidRDefault="007621DC">
            <w:pPr>
              <w:rPr>
                <w:rFonts w:ascii="Arial" w:hAnsi="Arial" w:cs="Arial"/>
                <w:sz w:val="20"/>
                <w:szCs w:val="20"/>
              </w:rPr>
            </w:pPr>
            <w:r w:rsidRPr="000265D7">
              <w:rPr>
                <w:rFonts w:ascii="Arial" w:hAnsi="Arial" w:cs="Arial"/>
                <w:sz w:val="20"/>
                <w:szCs w:val="20"/>
              </w:rPr>
              <w:t>Specialist Obesity and Bariatric Service (provided at MYTT)</w:t>
            </w:r>
          </w:p>
        </w:tc>
        <w:tc>
          <w:tcPr>
            <w:tcW w:w="2126" w:type="dxa"/>
          </w:tcPr>
          <w:p w14:paraId="557CEA01" w14:textId="3D5BA364" w:rsidR="007621DC" w:rsidRPr="000265D7" w:rsidRDefault="007621DC" w:rsidP="007621DC">
            <w:pPr>
              <w:rPr>
                <w:rFonts w:ascii="Arial" w:hAnsi="Arial" w:cs="Arial"/>
                <w:sz w:val="20"/>
                <w:szCs w:val="20"/>
              </w:rPr>
            </w:pPr>
            <w:r w:rsidRPr="000265D7">
              <w:rPr>
                <w:rFonts w:ascii="Arial" w:hAnsi="Arial" w:cs="Arial"/>
                <w:sz w:val="20"/>
                <w:szCs w:val="20"/>
              </w:rPr>
              <w:t>Can only be referred if in addition to BMI they also have 1‘qualifying’ comorbidities</w:t>
            </w:r>
          </w:p>
          <w:p w14:paraId="1257BEC7" w14:textId="38F6C275" w:rsidR="007621DC" w:rsidRPr="000265D7" w:rsidRDefault="007621DC">
            <w:pPr>
              <w:rPr>
                <w:rFonts w:ascii="Arial" w:hAnsi="Arial" w:cs="Arial"/>
                <w:sz w:val="20"/>
                <w:szCs w:val="20"/>
              </w:rPr>
            </w:pPr>
          </w:p>
        </w:tc>
        <w:tc>
          <w:tcPr>
            <w:tcW w:w="9781" w:type="dxa"/>
          </w:tcPr>
          <w:p w14:paraId="7C9D0D80" w14:textId="77777777" w:rsidR="007621DC" w:rsidRPr="000265D7" w:rsidRDefault="007621DC">
            <w:pPr>
              <w:rPr>
                <w:rFonts w:ascii="Arial" w:hAnsi="Arial" w:cs="Arial"/>
                <w:sz w:val="20"/>
                <w:szCs w:val="20"/>
              </w:rPr>
            </w:pPr>
            <w:r w:rsidRPr="000265D7">
              <w:rPr>
                <w:rFonts w:ascii="Arial" w:hAnsi="Arial" w:cs="Arial"/>
                <w:sz w:val="20"/>
                <w:szCs w:val="20"/>
              </w:rPr>
              <w:t>The qualifying comorbidities include Type 2 Diabetes, CVD, sleep apnoea, hypertension, dyslipidaemia.</w:t>
            </w:r>
          </w:p>
          <w:p w14:paraId="36309D32" w14:textId="77777777" w:rsidR="007621DC" w:rsidRPr="000265D7" w:rsidRDefault="007621DC">
            <w:pPr>
              <w:rPr>
                <w:rFonts w:ascii="Arial" w:hAnsi="Arial" w:cs="Arial"/>
                <w:sz w:val="20"/>
                <w:szCs w:val="20"/>
              </w:rPr>
            </w:pPr>
          </w:p>
          <w:p w14:paraId="3B42ACFE" w14:textId="77777777" w:rsidR="000265D7" w:rsidRPr="000265D7" w:rsidRDefault="007621DC" w:rsidP="000265D7">
            <w:pPr>
              <w:jc w:val="both"/>
              <w:rPr>
                <w:rFonts w:ascii="Arial" w:hAnsi="Arial" w:cs="Arial"/>
                <w:sz w:val="20"/>
                <w:szCs w:val="20"/>
              </w:rPr>
            </w:pPr>
            <w:r w:rsidRPr="000265D7">
              <w:rPr>
                <w:rFonts w:ascii="Arial" w:hAnsi="Arial" w:cs="Arial"/>
                <w:b/>
                <w:bCs/>
                <w:sz w:val="20"/>
                <w:szCs w:val="20"/>
              </w:rPr>
              <w:t>Exclusions</w:t>
            </w:r>
            <w:r w:rsidRPr="000265D7">
              <w:rPr>
                <w:rFonts w:ascii="Arial" w:hAnsi="Arial" w:cs="Arial"/>
                <w:sz w:val="20"/>
                <w:szCs w:val="20"/>
              </w:rPr>
              <w:t xml:space="preserve">: </w:t>
            </w:r>
            <w:r w:rsidRPr="000265D7">
              <w:rPr>
                <w:rFonts w:ascii="Arial" w:hAnsi="Arial" w:cs="Arial"/>
                <w:sz w:val="20"/>
                <w:szCs w:val="20"/>
              </w:rPr>
              <w:tab/>
            </w:r>
          </w:p>
          <w:p w14:paraId="35F9ABC2" w14:textId="0B39962B" w:rsidR="007621DC" w:rsidRPr="000265D7" w:rsidRDefault="000265D7" w:rsidP="000265D7">
            <w:pPr>
              <w:pStyle w:val="ListParagraph"/>
              <w:numPr>
                <w:ilvl w:val="0"/>
                <w:numId w:val="3"/>
              </w:numPr>
              <w:jc w:val="both"/>
              <w:rPr>
                <w:rFonts w:ascii="Arial" w:hAnsi="Arial" w:cs="Arial"/>
                <w:sz w:val="20"/>
                <w:szCs w:val="20"/>
              </w:rPr>
            </w:pPr>
            <w:r w:rsidRPr="000265D7">
              <w:rPr>
                <w:rFonts w:ascii="Arial" w:hAnsi="Arial" w:cs="Arial"/>
                <w:sz w:val="20"/>
                <w:szCs w:val="20"/>
              </w:rPr>
              <w:t>Under 18/</w:t>
            </w:r>
            <w:r w:rsidR="007621DC" w:rsidRPr="000265D7">
              <w:rPr>
                <w:rFonts w:ascii="Arial" w:hAnsi="Arial" w:cs="Arial"/>
                <w:sz w:val="20"/>
                <w:szCs w:val="20"/>
              </w:rPr>
              <w:t>Pregnant/Breastfeeding</w:t>
            </w:r>
          </w:p>
          <w:p w14:paraId="463EF2E4" w14:textId="07F34DAE" w:rsidR="007621DC" w:rsidRPr="000265D7" w:rsidRDefault="007621DC" w:rsidP="000265D7">
            <w:pPr>
              <w:pStyle w:val="ListParagraph"/>
              <w:numPr>
                <w:ilvl w:val="0"/>
                <w:numId w:val="3"/>
              </w:numPr>
              <w:jc w:val="both"/>
              <w:rPr>
                <w:rFonts w:ascii="Arial" w:hAnsi="Arial" w:cs="Arial"/>
                <w:sz w:val="20"/>
                <w:szCs w:val="20"/>
              </w:rPr>
            </w:pPr>
            <w:r w:rsidRPr="000265D7">
              <w:rPr>
                <w:rFonts w:ascii="Arial" w:hAnsi="Arial" w:cs="Arial"/>
                <w:sz w:val="20"/>
                <w:szCs w:val="20"/>
              </w:rPr>
              <w:t>Uncontrolled psychiatric disorders</w:t>
            </w:r>
          </w:p>
          <w:p w14:paraId="77F8DE41" w14:textId="41B1F475" w:rsidR="007621DC" w:rsidRPr="000265D7" w:rsidRDefault="007621DC" w:rsidP="000265D7">
            <w:pPr>
              <w:pStyle w:val="ListParagraph"/>
              <w:numPr>
                <w:ilvl w:val="0"/>
                <w:numId w:val="3"/>
              </w:numPr>
              <w:jc w:val="both"/>
              <w:rPr>
                <w:rFonts w:ascii="Arial" w:hAnsi="Arial" w:cs="Arial"/>
                <w:sz w:val="20"/>
                <w:szCs w:val="20"/>
              </w:rPr>
            </w:pPr>
            <w:r w:rsidRPr="000265D7">
              <w:rPr>
                <w:rFonts w:ascii="Arial" w:hAnsi="Arial" w:cs="Arial"/>
                <w:sz w:val="20"/>
                <w:szCs w:val="20"/>
              </w:rPr>
              <w:t>Untreated Cushing’s Syndrome</w:t>
            </w:r>
          </w:p>
          <w:p w14:paraId="2173641E" w14:textId="78755C2F" w:rsidR="007621DC" w:rsidRPr="000265D7" w:rsidRDefault="007621DC" w:rsidP="000265D7">
            <w:pPr>
              <w:pStyle w:val="ListParagraph"/>
              <w:numPr>
                <w:ilvl w:val="0"/>
                <w:numId w:val="3"/>
              </w:numPr>
              <w:jc w:val="both"/>
              <w:rPr>
                <w:rFonts w:ascii="Arial" w:hAnsi="Arial" w:cs="Arial"/>
                <w:sz w:val="20"/>
                <w:szCs w:val="20"/>
              </w:rPr>
            </w:pPr>
            <w:r w:rsidRPr="000265D7">
              <w:rPr>
                <w:rFonts w:ascii="Arial" w:hAnsi="Arial" w:cs="Arial"/>
                <w:sz w:val="20"/>
                <w:szCs w:val="20"/>
              </w:rPr>
              <w:t>Deliberate self-harm or suicide attempt in last 12 months</w:t>
            </w:r>
          </w:p>
          <w:p w14:paraId="62D49A27" w14:textId="495E6093" w:rsidR="007621DC" w:rsidRPr="000265D7" w:rsidRDefault="007621DC" w:rsidP="000265D7">
            <w:pPr>
              <w:pStyle w:val="ListParagraph"/>
              <w:numPr>
                <w:ilvl w:val="0"/>
                <w:numId w:val="3"/>
              </w:numPr>
              <w:jc w:val="both"/>
              <w:rPr>
                <w:rFonts w:ascii="Arial" w:hAnsi="Arial" w:cs="Arial"/>
                <w:sz w:val="20"/>
                <w:szCs w:val="20"/>
              </w:rPr>
            </w:pPr>
            <w:r w:rsidRPr="000265D7">
              <w:rPr>
                <w:rFonts w:ascii="Arial" w:hAnsi="Arial" w:cs="Arial"/>
                <w:sz w:val="20"/>
                <w:szCs w:val="20"/>
              </w:rPr>
              <w:t>Ongoing drug/alcohol abuse</w:t>
            </w:r>
          </w:p>
          <w:p w14:paraId="1849EC71" w14:textId="77777777" w:rsidR="007621DC" w:rsidRPr="000265D7" w:rsidRDefault="007621DC" w:rsidP="007621DC">
            <w:pPr>
              <w:ind w:left="1800" w:firstLine="360"/>
              <w:jc w:val="both"/>
              <w:rPr>
                <w:rFonts w:ascii="Arial" w:hAnsi="Arial" w:cs="Arial"/>
                <w:sz w:val="20"/>
                <w:szCs w:val="20"/>
              </w:rPr>
            </w:pPr>
          </w:p>
          <w:p w14:paraId="0028E571" w14:textId="77777777" w:rsidR="00D86591" w:rsidRPr="000265D7" w:rsidRDefault="007621DC" w:rsidP="007621DC">
            <w:pPr>
              <w:jc w:val="both"/>
              <w:rPr>
                <w:rFonts w:ascii="Arial" w:hAnsi="Arial" w:cs="Arial"/>
                <w:sz w:val="20"/>
                <w:szCs w:val="20"/>
              </w:rPr>
            </w:pPr>
            <w:r w:rsidRPr="000265D7">
              <w:rPr>
                <w:rFonts w:ascii="Arial" w:hAnsi="Arial" w:cs="Arial"/>
                <w:sz w:val="20"/>
                <w:szCs w:val="20"/>
              </w:rPr>
              <w:t xml:space="preserve">Patients will attend a 12-week group programme with Dietitians, Physiotherapists and Clinical Psychologists to incorporate an MDT approach to help with weight loss and preparation for forthcoming bariatric surgery for suitable candidates. </w:t>
            </w:r>
          </w:p>
          <w:p w14:paraId="089362E8" w14:textId="77777777" w:rsidR="00D86591" w:rsidRPr="000265D7" w:rsidRDefault="00D86591" w:rsidP="007621DC">
            <w:pPr>
              <w:jc w:val="both"/>
              <w:rPr>
                <w:rFonts w:ascii="Arial" w:hAnsi="Arial" w:cs="Arial"/>
                <w:sz w:val="20"/>
                <w:szCs w:val="20"/>
              </w:rPr>
            </w:pPr>
          </w:p>
          <w:p w14:paraId="579CA57B" w14:textId="65B02C75" w:rsidR="007621DC" w:rsidRPr="000265D7" w:rsidRDefault="007621DC" w:rsidP="007621DC">
            <w:pPr>
              <w:jc w:val="both"/>
              <w:rPr>
                <w:rFonts w:ascii="Arial" w:hAnsi="Arial" w:cs="Arial"/>
                <w:b/>
                <w:bCs/>
                <w:i/>
                <w:iCs/>
                <w:sz w:val="20"/>
                <w:szCs w:val="20"/>
              </w:rPr>
            </w:pPr>
            <w:r w:rsidRPr="000265D7">
              <w:rPr>
                <w:rFonts w:ascii="Arial" w:hAnsi="Arial" w:cs="Arial"/>
                <w:b/>
                <w:bCs/>
                <w:i/>
                <w:iCs/>
                <w:sz w:val="20"/>
                <w:szCs w:val="20"/>
              </w:rPr>
              <w:t xml:space="preserve">At present there are </w:t>
            </w:r>
            <w:r w:rsidR="00176555" w:rsidRPr="00176555">
              <w:rPr>
                <w:rFonts w:ascii="Arial" w:hAnsi="Arial" w:cs="Arial"/>
                <w:b/>
                <w:bCs/>
                <w:i/>
                <w:iCs/>
                <w:sz w:val="20"/>
                <w:szCs w:val="20"/>
                <w:highlight w:val="yellow"/>
                <w:u w:val="single"/>
              </w:rPr>
              <w:t>NO</w:t>
            </w:r>
            <w:r w:rsidRPr="000265D7">
              <w:rPr>
                <w:rFonts w:ascii="Arial" w:hAnsi="Arial" w:cs="Arial"/>
                <w:b/>
                <w:bCs/>
                <w:i/>
                <w:iCs/>
                <w:sz w:val="20"/>
                <w:szCs w:val="20"/>
              </w:rPr>
              <w:t xml:space="preserve"> GLP-1 injectables included in the pathway</w:t>
            </w:r>
            <w:r w:rsidR="00D86591" w:rsidRPr="000265D7">
              <w:rPr>
                <w:rFonts w:ascii="Arial" w:hAnsi="Arial" w:cs="Arial"/>
                <w:b/>
                <w:bCs/>
                <w:i/>
                <w:iCs/>
                <w:sz w:val="20"/>
                <w:szCs w:val="20"/>
              </w:rPr>
              <w:t>.</w:t>
            </w:r>
          </w:p>
          <w:p w14:paraId="45BDF77D" w14:textId="77777777" w:rsidR="007621DC" w:rsidRPr="000265D7" w:rsidRDefault="007621DC" w:rsidP="007621DC">
            <w:pPr>
              <w:jc w:val="both"/>
              <w:rPr>
                <w:rFonts w:ascii="Arial" w:hAnsi="Arial" w:cs="Arial"/>
                <w:sz w:val="20"/>
                <w:szCs w:val="20"/>
              </w:rPr>
            </w:pPr>
          </w:p>
          <w:p w14:paraId="4D98E22C" w14:textId="67E13513" w:rsidR="007621DC" w:rsidRPr="000265D7" w:rsidRDefault="007621DC" w:rsidP="007621DC">
            <w:pPr>
              <w:jc w:val="both"/>
              <w:rPr>
                <w:rFonts w:ascii="Arial" w:hAnsi="Arial" w:cs="Arial"/>
                <w:sz w:val="20"/>
                <w:szCs w:val="20"/>
              </w:rPr>
            </w:pPr>
            <w:r w:rsidRPr="000265D7">
              <w:rPr>
                <w:rFonts w:ascii="Arial" w:hAnsi="Arial" w:cs="Arial"/>
                <w:sz w:val="20"/>
                <w:szCs w:val="20"/>
              </w:rPr>
              <w:t xml:space="preserve">Referrals are NOW OPEN via SystmOne using the Mid Yorks eReferral dashboard or via Arden’s template eReferrals section using Mid Yorkshire eReferrals button.  </w:t>
            </w:r>
          </w:p>
          <w:p w14:paraId="74BE023C" w14:textId="6188FD34" w:rsidR="007621DC" w:rsidRPr="000265D7" w:rsidRDefault="007621DC">
            <w:pPr>
              <w:rPr>
                <w:rFonts w:ascii="Arial" w:hAnsi="Arial" w:cs="Arial"/>
                <w:sz w:val="20"/>
                <w:szCs w:val="20"/>
              </w:rPr>
            </w:pPr>
          </w:p>
        </w:tc>
      </w:tr>
    </w:tbl>
    <w:p w14:paraId="06D187D2" w14:textId="76FADBE6" w:rsidR="001D2BB3" w:rsidRPr="000265D7" w:rsidRDefault="007621DC" w:rsidP="007621DC">
      <w:pPr>
        <w:rPr>
          <w:rFonts w:ascii="Arial" w:hAnsi="Arial" w:cs="Arial"/>
          <w:i/>
          <w:iCs/>
        </w:rPr>
      </w:pPr>
      <w:r w:rsidRPr="000265D7">
        <w:rPr>
          <w:rFonts w:ascii="Arial" w:hAnsi="Arial" w:cs="Arial"/>
          <w:i/>
          <w:iCs/>
        </w:rPr>
        <w:t>*</w:t>
      </w:r>
      <w:r w:rsidR="007A6513" w:rsidRPr="000265D7">
        <w:rPr>
          <w:rFonts w:ascii="Arial" w:hAnsi="Arial" w:cs="Arial"/>
          <w:i/>
          <w:iCs/>
        </w:rPr>
        <w:t>Criteria on Oviva website may differ but these are the criteria patients from our ICB area MUST meet.</w:t>
      </w:r>
    </w:p>
    <w:p w14:paraId="5FA8B80E" w14:textId="77777777" w:rsidR="000265D7" w:rsidRDefault="000265D7" w:rsidP="007621DC">
      <w:pPr>
        <w:rPr>
          <w:rFonts w:ascii="Arial" w:hAnsi="Arial" w:cs="Arial"/>
        </w:rPr>
      </w:pPr>
    </w:p>
    <w:p w14:paraId="60636EF1" w14:textId="25A3B8BD" w:rsidR="00176555" w:rsidRPr="00176555" w:rsidRDefault="001D2BB3" w:rsidP="00176555">
      <w:pPr>
        <w:rPr>
          <w:rFonts w:ascii="Arial" w:hAnsi="Arial" w:cs="Arial"/>
        </w:rPr>
      </w:pPr>
      <w:proofErr w:type="spellStart"/>
      <w:r w:rsidRPr="000265D7">
        <w:rPr>
          <w:rFonts w:ascii="Arial" w:hAnsi="Arial" w:cs="Arial"/>
        </w:rPr>
        <w:t>Tirzepatide</w:t>
      </w:r>
      <w:proofErr w:type="spellEnd"/>
      <w:r w:rsidRPr="000265D7">
        <w:rPr>
          <w:rFonts w:ascii="Arial" w:hAnsi="Arial" w:cs="Arial"/>
        </w:rPr>
        <w:t xml:space="preserve"> (</w:t>
      </w:r>
      <w:proofErr w:type="spellStart"/>
      <w:r w:rsidRPr="000265D7">
        <w:rPr>
          <w:rFonts w:ascii="Arial" w:hAnsi="Arial" w:cs="Arial"/>
        </w:rPr>
        <w:t>Mounjaro</w:t>
      </w:r>
      <w:proofErr w:type="spellEnd"/>
      <w:r w:rsidRPr="000265D7">
        <w:rPr>
          <w:rFonts w:ascii="Arial" w:hAnsi="Arial" w:cs="Arial"/>
        </w:rPr>
        <w:t>) is currently a RED drug for weight management. It cannot be prescribed for weight management in primary care unless it is commissioned and has attached “wrap around care” The ICB have commissioned some PCNs in Leeds to provide it as a pilot to a small cohort of patients. This is the only place in the West Yorkshire ICB where it can be prescribed via primary care for weight management.</w:t>
      </w:r>
      <w:r w:rsidR="00176555">
        <w:rPr>
          <w:rFonts w:ascii="Arial" w:hAnsi="Arial" w:cs="Arial"/>
        </w:rPr>
        <w:t xml:space="preserve"> </w:t>
      </w:r>
      <w:r w:rsidRPr="00176555">
        <w:rPr>
          <w:rFonts w:ascii="Arial" w:hAnsi="Arial" w:cs="Arial"/>
        </w:rPr>
        <w:t xml:space="preserve">It can be prescribed for diabetes </w:t>
      </w:r>
      <w:r w:rsidR="00690632" w:rsidRPr="00176555">
        <w:rPr>
          <w:rFonts w:ascii="Arial" w:hAnsi="Arial" w:cs="Arial"/>
        </w:rPr>
        <w:t>for improving diabetic control.</w:t>
      </w:r>
      <w:r w:rsidR="00176555">
        <w:rPr>
          <w:rFonts w:ascii="Arial" w:hAnsi="Arial" w:cs="Arial"/>
        </w:rPr>
        <w:t xml:space="preserve"> Further information will be shared shortly on the ICB approach to GLP-1 injectables across the ICB. </w:t>
      </w:r>
    </w:p>
    <w:sectPr w:rsidR="00176555" w:rsidRPr="00176555" w:rsidSect="007621D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85A7F"/>
    <w:multiLevelType w:val="hybridMultilevel"/>
    <w:tmpl w:val="2A683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C46B85"/>
    <w:multiLevelType w:val="hybridMultilevel"/>
    <w:tmpl w:val="28186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736A6"/>
    <w:multiLevelType w:val="hybridMultilevel"/>
    <w:tmpl w:val="02B2D7C0"/>
    <w:lvl w:ilvl="0" w:tplc="8E1441A0">
      <w:start w:val="2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F01068"/>
    <w:multiLevelType w:val="hybridMultilevel"/>
    <w:tmpl w:val="3294B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8834674">
    <w:abstractNumId w:val="2"/>
  </w:num>
  <w:num w:numId="2" w16cid:durableId="1245382659">
    <w:abstractNumId w:val="0"/>
  </w:num>
  <w:num w:numId="3" w16cid:durableId="207959340">
    <w:abstractNumId w:val="1"/>
  </w:num>
  <w:num w:numId="4" w16cid:durableId="1431660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6FE"/>
    <w:rsid w:val="000265D7"/>
    <w:rsid w:val="000321F8"/>
    <w:rsid w:val="000F1279"/>
    <w:rsid w:val="00176555"/>
    <w:rsid w:val="001D2BB3"/>
    <w:rsid w:val="00225D33"/>
    <w:rsid w:val="002D2DF7"/>
    <w:rsid w:val="0052624F"/>
    <w:rsid w:val="005866F1"/>
    <w:rsid w:val="005A0A2B"/>
    <w:rsid w:val="00690632"/>
    <w:rsid w:val="007621DC"/>
    <w:rsid w:val="007A6513"/>
    <w:rsid w:val="008116FE"/>
    <w:rsid w:val="00917F79"/>
    <w:rsid w:val="00992D0F"/>
    <w:rsid w:val="009F2EFE"/>
    <w:rsid w:val="00A879A3"/>
    <w:rsid w:val="00A96449"/>
    <w:rsid w:val="00AC0AE0"/>
    <w:rsid w:val="00AE2A29"/>
    <w:rsid w:val="00AE5830"/>
    <w:rsid w:val="00C9581D"/>
    <w:rsid w:val="00D86591"/>
    <w:rsid w:val="00ED3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4C4A"/>
  <w15:chartTrackingRefBased/>
  <w15:docId w15:val="{67B0860D-7198-44E7-A12E-94610D6F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1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6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6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6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6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6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6FE"/>
    <w:rPr>
      <w:rFonts w:eastAsiaTheme="majorEastAsia" w:cstheme="majorBidi"/>
      <w:color w:val="272727" w:themeColor="text1" w:themeTint="D8"/>
    </w:rPr>
  </w:style>
  <w:style w:type="paragraph" w:styleId="Title">
    <w:name w:val="Title"/>
    <w:basedOn w:val="Normal"/>
    <w:next w:val="Normal"/>
    <w:link w:val="TitleChar"/>
    <w:uiPriority w:val="10"/>
    <w:qFormat/>
    <w:rsid w:val="00811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6FE"/>
    <w:pPr>
      <w:spacing w:before="160"/>
      <w:jc w:val="center"/>
    </w:pPr>
    <w:rPr>
      <w:i/>
      <w:iCs/>
      <w:color w:val="404040" w:themeColor="text1" w:themeTint="BF"/>
    </w:rPr>
  </w:style>
  <w:style w:type="character" w:customStyle="1" w:styleId="QuoteChar">
    <w:name w:val="Quote Char"/>
    <w:basedOn w:val="DefaultParagraphFont"/>
    <w:link w:val="Quote"/>
    <w:uiPriority w:val="29"/>
    <w:rsid w:val="008116FE"/>
    <w:rPr>
      <w:i/>
      <w:iCs/>
      <w:color w:val="404040" w:themeColor="text1" w:themeTint="BF"/>
    </w:rPr>
  </w:style>
  <w:style w:type="paragraph" w:styleId="ListParagraph">
    <w:name w:val="List Paragraph"/>
    <w:basedOn w:val="Normal"/>
    <w:uiPriority w:val="34"/>
    <w:qFormat/>
    <w:rsid w:val="008116FE"/>
    <w:pPr>
      <w:ind w:left="720"/>
      <w:contextualSpacing/>
    </w:pPr>
  </w:style>
  <w:style w:type="character" w:styleId="IntenseEmphasis">
    <w:name w:val="Intense Emphasis"/>
    <w:basedOn w:val="DefaultParagraphFont"/>
    <w:uiPriority w:val="21"/>
    <w:qFormat/>
    <w:rsid w:val="008116FE"/>
    <w:rPr>
      <w:i/>
      <w:iCs/>
      <w:color w:val="0F4761" w:themeColor="accent1" w:themeShade="BF"/>
    </w:rPr>
  </w:style>
  <w:style w:type="paragraph" w:styleId="IntenseQuote">
    <w:name w:val="Intense Quote"/>
    <w:basedOn w:val="Normal"/>
    <w:next w:val="Normal"/>
    <w:link w:val="IntenseQuoteChar"/>
    <w:uiPriority w:val="30"/>
    <w:qFormat/>
    <w:rsid w:val="00811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6FE"/>
    <w:rPr>
      <w:i/>
      <w:iCs/>
      <w:color w:val="0F4761" w:themeColor="accent1" w:themeShade="BF"/>
    </w:rPr>
  </w:style>
  <w:style w:type="character" w:styleId="IntenseReference">
    <w:name w:val="Intense Reference"/>
    <w:basedOn w:val="DefaultParagraphFont"/>
    <w:uiPriority w:val="32"/>
    <w:qFormat/>
    <w:rsid w:val="008116FE"/>
    <w:rPr>
      <w:b/>
      <w:bCs/>
      <w:smallCaps/>
      <w:color w:val="0F4761" w:themeColor="accent1" w:themeShade="BF"/>
      <w:spacing w:val="5"/>
    </w:rPr>
  </w:style>
  <w:style w:type="character" w:styleId="Hyperlink">
    <w:name w:val="Hyperlink"/>
    <w:basedOn w:val="DefaultParagraphFont"/>
    <w:uiPriority w:val="99"/>
    <w:unhideWhenUsed/>
    <w:rsid w:val="008116FE"/>
    <w:rPr>
      <w:color w:val="0000FF"/>
      <w:u w:val="single"/>
    </w:rPr>
  </w:style>
  <w:style w:type="table" w:styleId="TableGrid">
    <w:name w:val="Table Grid"/>
    <w:basedOn w:val="TableNormal"/>
    <w:uiPriority w:val="39"/>
    <w:rsid w:val="00ED3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621DC"/>
    <w:rPr>
      <w:color w:val="605E5C"/>
      <w:shd w:val="clear" w:color="auto" w:fill="E1DFDD"/>
    </w:rPr>
  </w:style>
  <w:style w:type="paragraph" w:customStyle="1" w:styleId="p1">
    <w:name w:val="p1"/>
    <w:basedOn w:val="Normal"/>
    <w:rsid w:val="000265D7"/>
    <w:pPr>
      <w:spacing w:after="0" w:line="240" w:lineRule="auto"/>
    </w:pPr>
    <w:rPr>
      <w:rFonts w:ascii="Helvetica" w:eastAsia="Times New Roman" w:hAnsi="Helvetica" w:cs="Times New Roman"/>
      <w:color w:val="000B24"/>
      <w:kern w:val="0"/>
      <w:sz w:val="18"/>
      <w:szCs w:val="18"/>
      <w:lang w:eastAsia="en-GB"/>
      <w14:ligatures w14:val="none"/>
    </w:rPr>
  </w:style>
  <w:style w:type="character" w:customStyle="1" w:styleId="s1">
    <w:name w:val="s1"/>
    <w:basedOn w:val="DefaultParagraphFont"/>
    <w:rsid w:val="000265D7"/>
    <w:rPr>
      <w:rFonts w:ascii="Helvetica" w:hAnsi="Helvetica" w:hint="default"/>
      <w:color w:val="000000"/>
      <w:sz w:val="21"/>
      <w:szCs w:val="21"/>
    </w:rPr>
  </w:style>
  <w:style w:type="character" w:customStyle="1" w:styleId="s2">
    <w:name w:val="s2"/>
    <w:basedOn w:val="DefaultParagraphFont"/>
    <w:rsid w:val="000265D7"/>
    <w:rPr>
      <w:rFonts w:ascii="Helvetica" w:hAnsi="Helvetica"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iva.com/uk/en/" TargetMode="External"/><Relationship Id="rId3" Type="http://schemas.openxmlformats.org/officeDocument/2006/relationships/settings" Target="settings.xml"/><Relationship Id="rId7" Type="http://schemas.openxmlformats.org/officeDocument/2006/relationships/hyperlink" Target="https://www.england.nhs.uk/digital-weight-manag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kefield.gov.uk/sport-and-leisure/healthy-living/aspire-health-referral" TargetMode="External"/><Relationship Id="rId5" Type="http://schemas.openxmlformats.org/officeDocument/2006/relationships/hyperlink" Target="https://www.england.nhs.uk/publication/interim-commissioning-guidance-implementation-of-the-nice-technology-appraisal-ta1026-and-the-nice-funding-variation-for-tirzepatide-mounjaro-for-the-management-of-obesi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hall</dc:creator>
  <cp:keywords/>
  <dc:description/>
  <cp:lastModifiedBy>James B</cp:lastModifiedBy>
  <cp:revision>5</cp:revision>
  <dcterms:created xsi:type="dcterms:W3CDTF">2025-07-17T09:36:00Z</dcterms:created>
  <dcterms:modified xsi:type="dcterms:W3CDTF">2025-07-17T09:45:00Z</dcterms:modified>
</cp:coreProperties>
</file>