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tbl>
      <w:tblPr>
        <w:tblW w:w="9030" w:type="dxa"/>
        <w:tblBorders>
          <w:top w:val="single" w:color="000000" w:sz="12"/>
          <w:start w:color="000000" w:sz="12" w:val="single"/>
          <w:left w:val="single"/>
          <w:bottom w:val="single" w:color="000000" w:sz="12"/>
          <w:end w:color="000000" w:sz="12" w:val="single"/>
          <w:right w:val="single"/>
          <w:insideH w:val="single" w:color="000000" w:sz="12"/>
          <w:insideV w:val="single" w:color="000000" w:sz="12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e5f5fd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" w:hAnsi="Livvic" w:cs="Livvic" w:eastAsia="Livvic"/>
                <w:color w:val="000000"/>
                <w:sz w:val="28"/>
                <w:szCs w:val="28"/>
              </w:rPr>
              <w:t>Group</w:t>
            </w:r>
            <w:r>
              <w:rPr>
                <w:rFonts w:ascii="Livvic" w:hAnsi="Livvic" w:cs="Livvic" w:eastAsia="Livvic"/>
                <w:color w:val="000000"/>
                <w:sz w:val="28"/>
                <w:szCs w:val="28"/>
              </w:rPr>
              <w:t xml:space="preserve">
</w:t>
            </w:r>
          </w:p>
        </w:tc>
        <w:tc>
          <w:tcPr>
            <w:tcW w:w="4515" w:type="dxa"/>
            <w:shd w:val="clear" w:color="auto" w:fill="e5f5fd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" w:hAnsi="Livvic" w:cs="Livvic" w:eastAsia="Livvic"/>
                <w:color w:val="000000"/>
                <w:sz w:val="28"/>
                <w:szCs w:val="28"/>
              </w:rPr>
              <w:t>Product</w:t>
            </w:r>
            <w:r>
              <w:rPr>
                <w:rFonts w:ascii="Livvic" w:hAnsi="Livvic" w:cs="Livvic" w:eastAsia="Livvic"/>
                <w:color w:val="000000"/>
                <w:sz w:val="28"/>
                <w:szCs w:val="28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Reliever inhalers and nebuliser solutions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Ipratropium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Salbutamol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Terbutaline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All anticoagulants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Apixaban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Edoxaba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Dabigatr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Rivaroxaban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Warfarin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Anti-epileptic medications (for epilepsy management only)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Carbamazepine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Gabapentin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Lamotrigine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Levetiracetam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Phenobarbitone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Phenytoin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Topiramate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Sodium 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Valproate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Anti-psychotic medications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Aripiprazole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Haloperidol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Medications for Schizophrenia/Bipolar/Psychosis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Lithium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Olanzapine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Quetiapine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Risperidone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Parkinson's medications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Co-beneldopa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Co-careldopa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Levodopa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Long term steroids (for patients who take steroids every day)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Dexamethasone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Fludrocortisone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Prednisolone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Nitrates and anti-angina medications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Glyceryl trinitrate spray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Isosorbide mononitrate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Isosorbide dinitrate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Ivabradine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Nicorandil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Verapamil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Ranolazine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Anti-arrhythmic drugs (for cardiac arrhythmias only - not for treatment of high blood pressure)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Amiodarone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Atenolol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Digoxin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Diltiazem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Flecanide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Propranolol (not for anxiety)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Sotolol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Verapamil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Palliative care medications (end of life)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Anticipatory drugs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Cyclizine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Diamorphine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Glycopyronium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Levomepromazine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Midazolam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Water for injection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Heart failure medications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Bisoprolol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Furosemide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Bumetanide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Diabetic medications (for type 1 diabetics only)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All insulin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Metformin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Needles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Test strips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Sharps bins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66" w:lineRule="auto"/>
              <w:ind w:firstLine="0" w:start="0"/>
              <w:jc w:val="start"/>
            </w:pP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>Anaphylaxis injections</w:t>
            </w:r>
            <w:r>
              <w:rPr>
                <w:rFonts w:ascii="Livvic Bold" w:hAnsi="Livvic Bold" w:cs="Livvic Bold" w:eastAsia="Livvic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numPr>
                <w:ilvl w:val="0"/>
                <w:numId w:val="1"/>
              </w:numPr>
              <w:spacing w:after="0" w:before="0" w:line="266" w:lineRule="auto"/>
              <w:jc w:val="start"/>
            </w:pP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>Epipens</w:t>
            </w:r>
            <w:r>
              <w:rPr>
                <w:rFonts w:ascii="Livvic" w:hAnsi="Livvic" w:cs="Livvic" w:eastAsia="Livvic"/>
                <w:color w:val="000000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Livvic Bold">
    <w:panose1 w:val="00000000000000000000"/>
    <w:charset w:characterSet="1"/>
    <w:embedBold r:id="rId5"/>
  </w:font>
  <w:font w:name="Livvic">
    <w:panose1 w:val="00000000000000000000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2025-12-13T11:20:02Z</dcterms:created>
  <dc:creator>Apache POI</dc:creator>
</cp:coreProperties>
</file>