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636D" w14:textId="7F3FF593" w:rsidR="002970C8" w:rsidRDefault="006213F0" w:rsidP="006213F0">
      <w:pPr>
        <w:jc w:val="center"/>
        <w:rPr>
          <w:b/>
          <w:bCs/>
          <w:sz w:val="28"/>
          <w:szCs w:val="28"/>
          <w:lang w:val="en-US"/>
        </w:rPr>
      </w:pPr>
      <w:r w:rsidRPr="006213F0">
        <w:rPr>
          <w:b/>
          <w:bCs/>
          <w:sz w:val="28"/>
          <w:szCs w:val="28"/>
          <w:lang w:val="en-US"/>
        </w:rPr>
        <w:t>PATIENT PARTICIPATION GROUP</w:t>
      </w:r>
    </w:p>
    <w:p w14:paraId="12ADF45A" w14:textId="77777777" w:rsidR="006213F0" w:rsidRDefault="006213F0" w:rsidP="006213F0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213F0" w14:paraId="43981F47" w14:textId="77777777" w:rsidTr="006213F0">
        <w:tc>
          <w:tcPr>
            <w:tcW w:w="3681" w:type="dxa"/>
          </w:tcPr>
          <w:p w14:paraId="3131580A" w14:textId="513EF542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DATE OF MEETING &amp; TIME</w:t>
            </w:r>
          </w:p>
        </w:tc>
        <w:tc>
          <w:tcPr>
            <w:tcW w:w="5335" w:type="dxa"/>
          </w:tcPr>
          <w:p w14:paraId="4D0B3FB7" w14:textId="068C2814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</w:t>
            </w:r>
            <w:r w:rsidRPr="006213F0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January 2024 - 2.00pm</w:t>
            </w:r>
          </w:p>
        </w:tc>
      </w:tr>
      <w:tr w:rsidR="006213F0" w14:paraId="35121F08" w14:textId="77777777" w:rsidTr="006213F0">
        <w:tc>
          <w:tcPr>
            <w:tcW w:w="3681" w:type="dxa"/>
          </w:tcPr>
          <w:p w14:paraId="3DF4D1CB" w14:textId="64A852B2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ATTENDEES</w:t>
            </w:r>
          </w:p>
        </w:tc>
        <w:tc>
          <w:tcPr>
            <w:tcW w:w="5335" w:type="dxa"/>
          </w:tcPr>
          <w:p w14:paraId="68261E40" w14:textId="77777777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Laura Baker (Surgery Rep.)</w:t>
            </w:r>
          </w:p>
          <w:p w14:paraId="72253040" w14:textId="50D52F4E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Steve Smith (Patient Rep.)</w:t>
            </w:r>
          </w:p>
          <w:p w14:paraId="03ED74C1" w14:textId="1A6DB530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Lynn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Hollan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(Patient Rep.- Secretary)</w:t>
            </w:r>
          </w:p>
          <w:p w14:paraId="74211AE8" w14:textId="0EEDC5D6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Joan White (Patient Rep.)</w:t>
            </w:r>
          </w:p>
        </w:tc>
      </w:tr>
    </w:tbl>
    <w:p w14:paraId="7AC5A9C6" w14:textId="77777777" w:rsidR="006213F0" w:rsidRDefault="006213F0" w:rsidP="006213F0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799"/>
      </w:tblGrid>
      <w:tr w:rsidR="006213F0" w14:paraId="54961253" w14:textId="77777777" w:rsidTr="006213F0">
        <w:tc>
          <w:tcPr>
            <w:tcW w:w="704" w:type="dxa"/>
          </w:tcPr>
          <w:p w14:paraId="05F5E4C4" w14:textId="77C58770" w:rsidR="006213F0" w:rsidRPr="006213F0" w:rsidRDefault="006213F0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7513" w:type="dxa"/>
          </w:tcPr>
          <w:p w14:paraId="746286D3" w14:textId="77777777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Apologies</w:t>
            </w:r>
          </w:p>
          <w:p w14:paraId="4555F271" w14:textId="7C1791C0" w:rsidR="006213F0" w:rsidRPr="00FB455D" w:rsidRDefault="00FB455D" w:rsidP="006213F0">
            <w:pPr>
              <w:rPr>
                <w:color w:val="FF0000"/>
                <w:sz w:val="28"/>
                <w:szCs w:val="28"/>
                <w:lang w:val="en-US"/>
              </w:rPr>
            </w:pPr>
            <w:r w:rsidRPr="00FB455D">
              <w:rPr>
                <w:sz w:val="28"/>
                <w:szCs w:val="28"/>
                <w:lang w:val="en-US"/>
              </w:rPr>
              <w:t xml:space="preserve">Nicky Bunning &amp; Gary Joynt – Garry unfortunately will </w:t>
            </w:r>
            <w:proofErr w:type="spellStart"/>
            <w:r w:rsidRPr="00FB455D">
              <w:rPr>
                <w:sz w:val="28"/>
                <w:szCs w:val="28"/>
                <w:lang w:val="en-US"/>
              </w:rPr>
              <w:t>not</w:t>
            </w:r>
            <w:proofErr w:type="spellEnd"/>
            <w:r w:rsidRPr="00FB455D">
              <w:rPr>
                <w:sz w:val="28"/>
                <w:szCs w:val="28"/>
                <w:lang w:val="en-US"/>
              </w:rPr>
              <w:t xml:space="preserve"> longer be part of our </w:t>
            </w:r>
            <w:proofErr w:type="gramStart"/>
            <w:r w:rsidRPr="00FB455D">
              <w:rPr>
                <w:sz w:val="28"/>
                <w:szCs w:val="28"/>
                <w:lang w:val="en-US"/>
              </w:rPr>
              <w:t>PPG .</w:t>
            </w:r>
            <w:proofErr w:type="gramEnd"/>
          </w:p>
        </w:tc>
        <w:tc>
          <w:tcPr>
            <w:tcW w:w="799" w:type="dxa"/>
          </w:tcPr>
          <w:p w14:paraId="78512A16" w14:textId="77777777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42BE95" w14:textId="139C9628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LB</w:t>
            </w:r>
          </w:p>
        </w:tc>
      </w:tr>
      <w:tr w:rsidR="006213F0" w14:paraId="38C3C77D" w14:textId="77777777" w:rsidTr="006213F0">
        <w:tc>
          <w:tcPr>
            <w:tcW w:w="704" w:type="dxa"/>
          </w:tcPr>
          <w:p w14:paraId="1C49DCD6" w14:textId="20AEBD04" w:rsidR="006213F0" w:rsidRDefault="006213F0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7513" w:type="dxa"/>
          </w:tcPr>
          <w:p w14:paraId="013E486B" w14:textId="3920B167" w:rsidR="00C20DB2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Minutes from meeting held </w:t>
            </w:r>
            <w:r w:rsidR="00C20DB2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C20DB2" w:rsidRPr="00C20DB2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="00C20DB2">
              <w:rPr>
                <w:b/>
                <w:bCs/>
                <w:sz w:val="28"/>
                <w:szCs w:val="28"/>
                <w:lang w:val="en-US"/>
              </w:rPr>
              <w:t xml:space="preserve"> November 2023</w:t>
            </w:r>
          </w:p>
          <w:p w14:paraId="58A9B9AF" w14:textId="176DA262" w:rsidR="006213F0" w:rsidRPr="00C20DB2" w:rsidRDefault="00C20DB2" w:rsidP="006213F0">
            <w:pPr>
              <w:rPr>
                <w:sz w:val="28"/>
                <w:szCs w:val="28"/>
                <w:lang w:val="en-US"/>
              </w:rPr>
            </w:pPr>
            <w:r w:rsidRPr="00C20DB2">
              <w:rPr>
                <w:sz w:val="28"/>
                <w:szCs w:val="28"/>
                <w:lang w:val="en-US"/>
              </w:rPr>
              <w:t>Minutes from meeting held 9</w:t>
            </w:r>
            <w:r w:rsidRPr="00C20DB2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C20DB2">
              <w:rPr>
                <w:sz w:val="28"/>
                <w:szCs w:val="28"/>
                <w:lang w:val="en-US"/>
              </w:rPr>
              <w:t xml:space="preserve"> November 2023 were confirmed as correct by those present at that meeting.</w:t>
            </w:r>
          </w:p>
        </w:tc>
        <w:tc>
          <w:tcPr>
            <w:tcW w:w="799" w:type="dxa"/>
          </w:tcPr>
          <w:p w14:paraId="02455468" w14:textId="77777777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213F0" w14:paraId="7914A499" w14:textId="77777777" w:rsidTr="006213F0">
        <w:tc>
          <w:tcPr>
            <w:tcW w:w="704" w:type="dxa"/>
          </w:tcPr>
          <w:p w14:paraId="49C8D89C" w14:textId="32F5BA60" w:rsidR="006213F0" w:rsidRDefault="00C20DB2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7513" w:type="dxa"/>
          </w:tcPr>
          <w:p w14:paraId="4B22D8A7" w14:textId="77777777" w:rsidR="006213F0" w:rsidRDefault="00C20DB2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Matters arising from minutes.</w:t>
            </w:r>
          </w:p>
          <w:p w14:paraId="26E4B000" w14:textId="77777777" w:rsidR="00C20DB2" w:rsidRDefault="00C20DB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Position of Chair still outstanding.</w:t>
            </w:r>
          </w:p>
          <w:p w14:paraId="4FD162BB" w14:textId="77777777" w:rsidR="00C20DB2" w:rsidRDefault="00C20DB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Secretary – Lynn Holland</w:t>
            </w:r>
          </w:p>
          <w:p w14:paraId="392AAD1E" w14:textId="642265DD" w:rsidR="00C20DB2" w:rsidRPr="00C20DB2" w:rsidRDefault="00C20DB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Treasurer – Nicola Bunning </w:t>
            </w:r>
          </w:p>
        </w:tc>
        <w:tc>
          <w:tcPr>
            <w:tcW w:w="799" w:type="dxa"/>
          </w:tcPr>
          <w:p w14:paraId="35402693" w14:textId="77777777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213F0" w14:paraId="7641DC11" w14:textId="77777777" w:rsidTr="006213F0">
        <w:tc>
          <w:tcPr>
            <w:tcW w:w="704" w:type="dxa"/>
          </w:tcPr>
          <w:p w14:paraId="27FB8190" w14:textId="2EA80575" w:rsidR="006213F0" w:rsidRDefault="00C20DB2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7513" w:type="dxa"/>
          </w:tcPr>
          <w:p w14:paraId="518C617F" w14:textId="77777777" w:rsidR="006213F0" w:rsidRDefault="00C20DB2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New Triage System</w:t>
            </w:r>
          </w:p>
          <w:p w14:paraId="1C839C0E" w14:textId="1591774F" w:rsidR="00C20DB2" w:rsidRDefault="00C20DB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Generally working well but a victim of its own success as it reaches </w:t>
            </w:r>
            <w:proofErr w:type="gramStart"/>
            <w:r>
              <w:rPr>
                <w:sz w:val="28"/>
                <w:szCs w:val="28"/>
                <w:lang w:val="en-US"/>
              </w:rPr>
              <w:t>capacity &amp; has to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be suspended early in the day when no further appointments available.  Under normal situations it is available from 6 – 10am. before suspending.</w:t>
            </w:r>
          </w:p>
          <w:p w14:paraId="76A62E14" w14:textId="15B0B570" w:rsidR="00C20DB2" w:rsidRPr="00C20DB2" w:rsidRDefault="00C20DB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Doctors tweak the system as they were concerned that serious health issues could be missed therefore additional wording was introduced.</w:t>
            </w:r>
          </w:p>
        </w:tc>
        <w:tc>
          <w:tcPr>
            <w:tcW w:w="799" w:type="dxa"/>
          </w:tcPr>
          <w:p w14:paraId="60429B04" w14:textId="77777777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213F0" w14:paraId="5CBE55A5" w14:textId="77777777" w:rsidTr="006213F0">
        <w:tc>
          <w:tcPr>
            <w:tcW w:w="704" w:type="dxa"/>
          </w:tcPr>
          <w:p w14:paraId="57A45C6E" w14:textId="34406462" w:rsidR="006213F0" w:rsidRDefault="00C20DB2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7513" w:type="dxa"/>
          </w:tcPr>
          <w:p w14:paraId="573EBD1A" w14:textId="77777777" w:rsidR="006213F0" w:rsidRDefault="00C20DB2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 on surgery staffing etc.</w:t>
            </w:r>
          </w:p>
          <w:p w14:paraId="71022570" w14:textId="312410E4" w:rsidR="00C20DB2" w:rsidRDefault="00B2509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 new GP Dr. </w:t>
            </w:r>
            <w:proofErr w:type="spellStart"/>
            <w:r>
              <w:rPr>
                <w:sz w:val="28"/>
                <w:szCs w:val="28"/>
                <w:lang w:val="en-US"/>
              </w:rPr>
              <w:t>Ngu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had commenced &amp; whilst initially was part time (Monday &amp; Tuesday) will soon be full time. Dr. </w:t>
            </w:r>
            <w:proofErr w:type="spellStart"/>
            <w:r>
              <w:rPr>
                <w:sz w:val="28"/>
                <w:szCs w:val="28"/>
                <w:lang w:val="en-US"/>
              </w:rPr>
              <w:t>Ngu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is a partner.</w:t>
            </w:r>
          </w:p>
          <w:p w14:paraId="7AB94B3C" w14:textId="77777777" w:rsidR="00B25092" w:rsidRDefault="00B2509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Bolsher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who took on additional day when Dr. </w:t>
            </w:r>
            <w:proofErr w:type="spellStart"/>
            <w:r>
              <w:rPr>
                <w:sz w:val="28"/>
                <w:szCs w:val="28"/>
                <w:lang w:val="en-US"/>
              </w:rPr>
              <w:t>Huggard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left, will </w:t>
            </w:r>
            <w:proofErr w:type="gramStart"/>
            <w:r>
              <w:rPr>
                <w:sz w:val="28"/>
                <w:szCs w:val="28"/>
                <w:lang w:val="en-US"/>
              </w:rPr>
              <w:t>revert back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to days prior to Dr. </w:t>
            </w:r>
            <w:proofErr w:type="spellStart"/>
            <w:r>
              <w:rPr>
                <w:sz w:val="28"/>
                <w:szCs w:val="28"/>
                <w:lang w:val="en-US"/>
              </w:rPr>
              <w:t>Huggard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leaving.</w:t>
            </w:r>
          </w:p>
          <w:p w14:paraId="398FBEF4" w14:textId="77777777" w:rsidR="00B25092" w:rsidRDefault="00B2509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Dr. Parker works 3 days as an employee rather than a partner.</w:t>
            </w:r>
          </w:p>
          <w:p w14:paraId="23E18766" w14:textId="77777777" w:rsidR="00B25092" w:rsidRDefault="00B25092" w:rsidP="006213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Dr. Wilkins works 4 days.</w:t>
            </w:r>
          </w:p>
          <w:p w14:paraId="16FEE92A" w14:textId="77777777" w:rsidR="00B25092" w:rsidRPr="00B25092" w:rsidRDefault="00B25092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5092">
              <w:rPr>
                <w:b/>
                <w:bCs/>
                <w:sz w:val="28"/>
                <w:szCs w:val="28"/>
                <w:lang w:val="en-US"/>
              </w:rPr>
              <w:t>Reception team</w:t>
            </w:r>
          </w:p>
          <w:p w14:paraId="19E8583B" w14:textId="77777777" w:rsidR="00B25092" w:rsidRPr="00B25092" w:rsidRDefault="00B25092" w:rsidP="006213F0">
            <w:pPr>
              <w:rPr>
                <w:sz w:val="28"/>
                <w:szCs w:val="28"/>
                <w:lang w:val="en-US"/>
              </w:rPr>
            </w:pPr>
            <w:r w:rsidRPr="00B25092">
              <w:rPr>
                <w:sz w:val="28"/>
                <w:szCs w:val="28"/>
                <w:lang w:val="en-US"/>
              </w:rPr>
              <w:t>1 member of staff off long term sick.</w:t>
            </w:r>
          </w:p>
          <w:p w14:paraId="4E594527" w14:textId="77777777" w:rsidR="00B25092" w:rsidRDefault="00B25092" w:rsidP="006213F0">
            <w:pPr>
              <w:rPr>
                <w:sz w:val="28"/>
                <w:szCs w:val="28"/>
                <w:lang w:val="en-US"/>
              </w:rPr>
            </w:pPr>
            <w:r w:rsidRPr="00B25092">
              <w:rPr>
                <w:sz w:val="28"/>
                <w:szCs w:val="28"/>
                <w:lang w:val="en-US"/>
              </w:rPr>
              <w:t>7 staff working approximately 4/5 FTE</w:t>
            </w:r>
          </w:p>
          <w:p w14:paraId="577AC34C" w14:textId="6DED9425" w:rsidR="00FB455D" w:rsidRPr="00B25092" w:rsidRDefault="00FB455D" w:rsidP="006213F0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99" w:type="dxa"/>
          </w:tcPr>
          <w:p w14:paraId="1BA3248F" w14:textId="77777777" w:rsidR="006213F0" w:rsidRDefault="006213F0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25092" w14:paraId="1AC3B770" w14:textId="77777777" w:rsidTr="006213F0">
        <w:tc>
          <w:tcPr>
            <w:tcW w:w="704" w:type="dxa"/>
          </w:tcPr>
          <w:p w14:paraId="38AD48B8" w14:textId="6346D1C7" w:rsidR="00B25092" w:rsidRDefault="00B25092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7513" w:type="dxa"/>
          </w:tcPr>
          <w:p w14:paraId="0C8589D2" w14:textId="77777777" w:rsidR="00B25092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Queries from PPG</w:t>
            </w:r>
          </w:p>
          <w:p w14:paraId="5A76F902" w14:textId="693EC630" w:rsidR="008825CE" w:rsidRDefault="008825CE" w:rsidP="006213F0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LH </w:t>
            </w:r>
            <w:r w:rsidRPr="008825CE">
              <w:rPr>
                <w:sz w:val="28"/>
                <w:szCs w:val="28"/>
                <w:lang w:val="en-US"/>
              </w:rPr>
              <w:t xml:space="preserve">had queried </w:t>
            </w:r>
            <w:proofErr w:type="gramStart"/>
            <w:r w:rsidRPr="008825CE">
              <w:rPr>
                <w:sz w:val="28"/>
                <w:szCs w:val="28"/>
                <w:lang w:val="en-US"/>
              </w:rPr>
              <w:t>whether or not</w:t>
            </w:r>
            <w:proofErr w:type="gramEnd"/>
            <w:r w:rsidRPr="008825CE">
              <w:rPr>
                <w:sz w:val="28"/>
                <w:szCs w:val="28"/>
                <w:lang w:val="en-US"/>
              </w:rPr>
              <w:t xml:space="preserve"> there was a list of costings for when public attended GP/Nurse/Bloods/A &amp; E appointments etc. as previously years ago such a list was given to members.</w:t>
            </w:r>
          </w:p>
          <w:p w14:paraId="6ACB9B6D" w14:textId="28EFF260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825CE">
              <w:rPr>
                <w:b/>
                <w:bCs/>
                <w:sz w:val="28"/>
                <w:szCs w:val="28"/>
                <w:lang w:val="en-US"/>
              </w:rPr>
              <w:t>LB</w:t>
            </w:r>
            <w:r>
              <w:rPr>
                <w:sz w:val="28"/>
                <w:szCs w:val="28"/>
                <w:lang w:val="en-US"/>
              </w:rPr>
              <w:t xml:space="preserve"> had been trying to source such a document but had </w:t>
            </w:r>
            <w:proofErr w:type="gramStart"/>
            <w:r>
              <w:rPr>
                <w:sz w:val="28"/>
                <w:szCs w:val="28"/>
                <w:lang w:val="en-US"/>
              </w:rPr>
              <w:t>drew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 blank as nearest one which can be found quotes %. Ongoing.</w:t>
            </w:r>
          </w:p>
        </w:tc>
        <w:tc>
          <w:tcPr>
            <w:tcW w:w="799" w:type="dxa"/>
          </w:tcPr>
          <w:p w14:paraId="35CC7161" w14:textId="77777777" w:rsidR="00B25092" w:rsidRDefault="00B25092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16839C" w14:textId="7E98789A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LB</w:t>
            </w:r>
          </w:p>
        </w:tc>
      </w:tr>
      <w:tr w:rsidR="008825CE" w14:paraId="3408740A" w14:textId="77777777" w:rsidTr="006213F0">
        <w:tc>
          <w:tcPr>
            <w:tcW w:w="704" w:type="dxa"/>
          </w:tcPr>
          <w:p w14:paraId="7C47D58F" w14:textId="4E6E96D4" w:rsidR="008825CE" w:rsidRDefault="008825CE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7513" w:type="dxa"/>
          </w:tcPr>
          <w:p w14:paraId="067FC282" w14:textId="77777777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Campaign support</w:t>
            </w:r>
          </w:p>
          <w:p w14:paraId="2ACA39AF" w14:textId="77777777" w:rsidR="008825CE" w:rsidRDefault="008825CE" w:rsidP="006213F0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LB </w:t>
            </w:r>
            <w:r w:rsidRPr="008825CE">
              <w:rPr>
                <w:sz w:val="28"/>
                <w:szCs w:val="28"/>
                <w:lang w:val="en-US"/>
              </w:rPr>
              <w:t xml:space="preserve">raised question for members as to which Campaign they would like to support this year. Various examples were put forward </w:t>
            </w:r>
            <w:proofErr w:type="spellStart"/>
            <w:r w:rsidRPr="008825CE">
              <w:rPr>
                <w:sz w:val="28"/>
                <w:szCs w:val="28"/>
                <w:lang w:val="en-US"/>
              </w:rPr>
              <w:t>eg.</w:t>
            </w:r>
            <w:proofErr w:type="spellEnd"/>
            <w:r w:rsidRPr="008825CE">
              <w:rPr>
                <w:sz w:val="28"/>
                <w:szCs w:val="28"/>
                <w:lang w:val="en-US"/>
              </w:rPr>
              <w:t xml:space="preserve"> Walking month in May, Measles, Shingles, </w:t>
            </w:r>
            <w:proofErr w:type="spellStart"/>
            <w:r w:rsidRPr="008825CE">
              <w:rPr>
                <w:sz w:val="28"/>
                <w:szCs w:val="28"/>
                <w:lang w:val="en-US"/>
              </w:rPr>
              <w:t>Alzheimers</w:t>
            </w:r>
            <w:proofErr w:type="spellEnd"/>
            <w:r w:rsidRPr="008825CE">
              <w:rPr>
                <w:sz w:val="28"/>
                <w:szCs w:val="28"/>
                <w:lang w:val="en-US"/>
              </w:rPr>
              <w:t>, Diabetes, Blood donor day.</w:t>
            </w:r>
          </w:p>
          <w:p w14:paraId="6AD8C3AF" w14:textId="2302BBA3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LB agreed to forward annual list of all Campaigns with view to Group </w:t>
            </w:r>
            <w:proofErr w:type="gramStart"/>
            <w:r>
              <w:rPr>
                <w:sz w:val="28"/>
                <w:szCs w:val="28"/>
                <w:lang w:val="en-US"/>
              </w:rPr>
              <w:t>making a decision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at next meeting.</w:t>
            </w:r>
          </w:p>
        </w:tc>
        <w:tc>
          <w:tcPr>
            <w:tcW w:w="799" w:type="dxa"/>
          </w:tcPr>
          <w:p w14:paraId="0169A189" w14:textId="77777777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8D810C7" w14:textId="1C8EB0DD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LB</w:t>
            </w:r>
          </w:p>
        </w:tc>
      </w:tr>
      <w:tr w:rsidR="008825CE" w14:paraId="07A1D664" w14:textId="77777777" w:rsidTr="006213F0">
        <w:tc>
          <w:tcPr>
            <w:tcW w:w="704" w:type="dxa"/>
          </w:tcPr>
          <w:p w14:paraId="70265455" w14:textId="30ED6469" w:rsidR="008825CE" w:rsidRDefault="008825CE" w:rsidP="006213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7513" w:type="dxa"/>
          </w:tcPr>
          <w:p w14:paraId="1902F3F6" w14:textId="77777777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Date of next meeting</w:t>
            </w:r>
          </w:p>
          <w:p w14:paraId="35BF5CCE" w14:textId="77777777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r w:rsidRPr="008825CE">
              <w:rPr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February 2024 – 2pm </w:t>
            </w:r>
          </w:p>
          <w:p w14:paraId="097E3971" w14:textId="53C8A458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Campaign meeting</w:t>
            </w:r>
          </w:p>
        </w:tc>
        <w:tc>
          <w:tcPr>
            <w:tcW w:w="799" w:type="dxa"/>
          </w:tcPr>
          <w:p w14:paraId="4A6E6191" w14:textId="77777777" w:rsidR="008825CE" w:rsidRDefault="008825CE" w:rsidP="006213F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727D0CB" w14:textId="77777777" w:rsidR="006213F0" w:rsidRPr="006213F0" w:rsidRDefault="006213F0" w:rsidP="006213F0">
      <w:pPr>
        <w:rPr>
          <w:b/>
          <w:bCs/>
          <w:sz w:val="28"/>
          <w:szCs w:val="28"/>
          <w:lang w:val="en-US"/>
        </w:rPr>
      </w:pPr>
    </w:p>
    <w:sectPr w:rsidR="006213F0" w:rsidRPr="0062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3FA4"/>
    <w:multiLevelType w:val="hybridMultilevel"/>
    <w:tmpl w:val="95046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F0"/>
    <w:rsid w:val="002970C8"/>
    <w:rsid w:val="005105AF"/>
    <w:rsid w:val="006213F0"/>
    <w:rsid w:val="008825CE"/>
    <w:rsid w:val="00A90D7A"/>
    <w:rsid w:val="00B25092"/>
    <w:rsid w:val="00BA6720"/>
    <w:rsid w:val="00C20DB2"/>
    <w:rsid w:val="00E1551C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E6B6"/>
  <w15:chartTrackingRefBased/>
  <w15:docId w15:val="{3546AE9A-0D23-4904-97CE-B8CFCD6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Holland</dc:creator>
  <cp:keywords/>
  <dc:description/>
  <cp:lastModifiedBy>BAKER, Laura (RAINWORTH HEALTH CENTRE)</cp:lastModifiedBy>
  <cp:revision>3</cp:revision>
  <dcterms:created xsi:type="dcterms:W3CDTF">2024-02-06T13:02:00Z</dcterms:created>
  <dcterms:modified xsi:type="dcterms:W3CDTF">2024-03-21T10:56:00Z</dcterms:modified>
</cp:coreProperties>
</file>