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48018260"/>
      <w:r>
        <w:rPr>
          <w:sz w:val="28"/>
          <w:szCs w:val="28"/>
        </w:rPr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148018261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15CD809A" w14:textId="77777777" w:rsidR="007A75DE" w:rsidRDefault="007A75DE" w:rsidP="007A75DE">
      <w:pPr>
        <w:rPr>
          <w:rFonts w:ascii="Arial" w:eastAsia="Arial" w:hAnsi="Arial" w:cs="Arial"/>
          <w:sz w:val="22"/>
          <w:szCs w:val="22"/>
        </w:rPr>
      </w:pPr>
      <w:bookmarkStart w:id="3" w:name="_Toc148018262"/>
      <w:r>
        <w:rPr>
          <w:rFonts w:ascii="Arial" w:eastAsia="Arial" w:hAnsi="Arial" w:cs="Arial"/>
          <w:sz w:val="22"/>
          <w:szCs w:val="22"/>
        </w:rPr>
        <w:t xml:space="preserve">At this organisation, all patients will routinely be offered a chaperone, ideally at the time of booking an appointment. It is a requirement that, when necessary, chaperones are provided to protect and safeguard both patients and clinicians during intimate examinations or procedures. This policy adheres to the guidance detailed in </w:t>
      </w:r>
      <w:hyperlink r:id="rId9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CQC GP mythbuster 15: Chaperones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07CB4421" w14:textId="77777777" w:rsidR="007A75DE" w:rsidRDefault="007A75DE" w:rsidP="007A75DE">
      <w:pPr>
        <w:rPr>
          <w:rFonts w:ascii="Arial" w:eastAsia="Arial" w:hAnsi="Arial" w:cs="Arial"/>
          <w:sz w:val="22"/>
          <w:szCs w:val="22"/>
        </w:rPr>
      </w:pPr>
    </w:p>
    <w:p w14:paraId="1C015199" w14:textId="77777777" w:rsidR="007A75DE" w:rsidRPr="00B74F93" w:rsidRDefault="007A75DE" w:rsidP="007A75D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raise awareness, the chaperone policy will be clearly advertised. At this organisation, a chaperone poster is displayed in the waiting area, all clinical areas and annotated in the organisation leaflet as well as on the organisation website.</w:t>
      </w:r>
    </w:p>
    <w:p w14:paraId="7F4050D4" w14:textId="06A8C47F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3"/>
    </w:p>
    <w:p w14:paraId="591C78C3" w14:textId="77777777" w:rsidR="007A75DE" w:rsidRDefault="007A75DE" w:rsidP="007A75DE">
      <w:pPr>
        <w:rPr>
          <w:rFonts w:ascii="Arial" w:hAnsi="Arial" w:cs="Arial"/>
          <w:sz w:val="22"/>
          <w:szCs w:val="22"/>
        </w:rPr>
      </w:pPr>
      <w:bookmarkStart w:id="4" w:name="_Toc55992397"/>
      <w:bookmarkStart w:id="5" w:name="_Toc55996804"/>
      <w:bookmarkStart w:id="6" w:name="_Toc55997017"/>
      <w:bookmarkStart w:id="7" w:name="_Toc43391044"/>
      <w:bookmarkStart w:id="8" w:name="_Toc43391298"/>
      <w:bookmarkStart w:id="9" w:name="_Toc43391045"/>
      <w:bookmarkStart w:id="10" w:name="_Toc43391299"/>
      <w:bookmarkStart w:id="11" w:name="_Toc43391046"/>
      <w:bookmarkStart w:id="12" w:name="_Toc43391300"/>
      <w:bookmarkStart w:id="13" w:name="_Toc43391047"/>
      <w:bookmarkStart w:id="14" w:name="_Toc433913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</w:rPr>
        <w:t xml:space="preserve">In accordance with the </w:t>
      </w:r>
      <w:hyperlink r:id="rId10" w:history="1">
        <w:r w:rsidRPr="002B2C8C">
          <w:rPr>
            <w:rStyle w:val="Hyperlink"/>
            <w:rFonts w:ascii="Arial" w:hAnsi="Arial" w:cs="Arial"/>
            <w:sz w:val="22"/>
            <w:szCs w:val="22"/>
          </w:rPr>
          <w:t>Equality Act 2010</w:t>
        </w:r>
      </w:hyperlink>
      <w:r>
        <w:rPr>
          <w:rFonts w:ascii="Arial" w:hAnsi="Arial" w:cs="Arial"/>
          <w:sz w:val="22"/>
          <w:szCs w:val="22"/>
        </w:rPr>
        <w:t xml:space="preserve">, we have considered how provisions within this policy might impact on different groups and individuals. This document and any procedures contained within it are non-contractual, which means they may be modified or withdrawn at any time. They apply to all employees and contractors working for the organisation. </w:t>
      </w:r>
    </w:p>
    <w:p w14:paraId="55CFE305" w14:textId="77777777" w:rsidR="002826CC" w:rsidRPr="006B3AFE" w:rsidRDefault="002826CC" w:rsidP="00286DF9">
      <w:pPr>
        <w:rPr>
          <w:lang w:val="en-US"/>
        </w:rPr>
      </w:pPr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15" w:name="_Toc40256520"/>
      <w:bookmarkStart w:id="16" w:name="_Toc40256521"/>
      <w:bookmarkStart w:id="17" w:name="_Toc40256522"/>
      <w:bookmarkStart w:id="18" w:name="_Toc56247915"/>
      <w:bookmarkStart w:id="19" w:name="_Toc56247916"/>
      <w:bookmarkStart w:id="20" w:name="_Toc56247917"/>
      <w:bookmarkStart w:id="21" w:name="_Toc148018263"/>
      <w:bookmarkEnd w:id="2"/>
      <w:bookmarkEnd w:id="15"/>
      <w:bookmarkEnd w:id="16"/>
      <w:bookmarkEnd w:id="17"/>
      <w:bookmarkEnd w:id="18"/>
      <w:bookmarkEnd w:id="19"/>
      <w:bookmarkEnd w:id="20"/>
      <w:r>
        <w:rPr>
          <w:sz w:val="28"/>
          <w:szCs w:val="28"/>
        </w:rPr>
        <w:t>Policy</w:t>
      </w:r>
      <w:bookmarkEnd w:id="21"/>
    </w:p>
    <w:p w14:paraId="060F4E31" w14:textId="4C9F1307" w:rsidR="00CD211E" w:rsidRPr="00A96691" w:rsidRDefault="00572EA9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2" w:name="_Toc148018264"/>
      <w:r>
        <w:rPr>
          <w:rFonts w:ascii="Arial" w:hAnsi="Arial" w:cs="Arial"/>
          <w:smallCaps w:val="0"/>
          <w:sz w:val="24"/>
          <w:szCs w:val="24"/>
        </w:rPr>
        <w:t>Who can act as a chaperone</w:t>
      </w:r>
      <w:bookmarkEnd w:id="22"/>
    </w:p>
    <w:p w14:paraId="572CA56B" w14:textId="77777777" w:rsidR="007A75DE" w:rsidRPr="00173773" w:rsidRDefault="007A75DE" w:rsidP="007A75DE">
      <w:pPr>
        <w:rPr>
          <w:rFonts w:ascii="Arial" w:eastAsia="Arial" w:hAnsi="Arial" w:cs="Arial"/>
          <w:color w:val="231F20"/>
          <w:sz w:val="22"/>
          <w:szCs w:val="22"/>
        </w:rPr>
      </w:pPr>
      <w:bookmarkStart w:id="23" w:name="_Toc148018265"/>
      <w:r>
        <w:rPr>
          <w:rFonts w:ascii="Arial" w:eastAsia="Arial" w:hAnsi="Arial" w:cs="Arial"/>
          <w:color w:val="231F20"/>
          <w:sz w:val="22"/>
          <w:szCs w:val="22"/>
        </w:rPr>
        <w:t xml:space="preserve">At this organisation, it is policy that any member of the team can act as a chaperone. However, they must have undertaken chaperone training as detailed in </w:t>
      </w:r>
      <w:hyperlink r:id="rId11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CQC GP mythbuster 15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. Additionally, </w:t>
      </w:r>
      <w:r>
        <w:rPr>
          <w:rFonts w:ascii="Arial" w:eastAsia="Arial" w:hAnsi="Arial" w:cs="Arial"/>
          <w:b/>
          <w:color w:val="231F20"/>
          <w:sz w:val="22"/>
          <w:szCs w:val="22"/>
        </w:rPr>
        <w:t xml:space="preserve">all staff 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must complete chaperone awareness training which covers the role of the chaperone. </w:t>
      </w: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23"/>
    </w:p>
    <w:p w14:paraId="1DE9DCEA" w14:textId="77777777" w:rsidR="007A75DE" w:rsidRDefault="007A75DE" w:rsidP="007A75DE">
      <w:pPr>
        <w:rPr>
          <w:rFonts w:ascii="Arial" w:eastAsia="Arial" w:hAnsi="Arial" w:cs="Arial"/>
          <w:sz w:val="22"/>
          <w:szCs w:val="22"/>
        </w:rPr>
      </w:pPr>
      <w:bookmarkStart w:id="24" w:name="_Toc148018266"/>
      <w:bookmarkStart w:id="25" w:name="_Toc148018267"/>
      <w:bookmarkEnd w:id="24"/>
      <w:r>
        <w:rPr>
          <w:rFonts w:ascii="Arial" w:eastAsia="Arial" w:hAnsi="Arial" w:cs="Arial"/>
          <w:sz w:val="22"/>
          <w:szCs w:val="22"/>
        </w:rPr>
        <w:t xml:space="preserve">The </w:t>
      </w:r>
      <w:hyperlink r:id="rId12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General Medical Council (GMC) Intimate examinations and chaperones guidance</w:t>
        </w:r>
      </w:hyperlink>
      <w:r>
        <w:rPr>
          <w:rFonts w:ascii="Arial" w:eastAsia="Arial" w:hAnsi="Arial" w:cs="Arial"/>
          <w:sz w:val="22"/>
          <w:szCs w:val="22"/>
        </w:rPr>
        <w:t xml:space="preserve"> explains that the patient should be given the option of having an impartial observer (a chaperone) present whenever possible. </w:t>
      </w:r>
    </w:p>
    <w:p w14:paraId="2FCCC397" w14:textId="77777777" w:rsidR="007A75DE" w:rsidRDefault="007A75DE" w:rsidP="007A75DE">
      <w:pPr>
        <w:rPr>
          <w:rFonts w:ascii="Arial" w:eastAsia="Arial" w:hAnsi="Arial" w:cs="Arial"/>
          <w:sz w:val="22"/>
          <w:szCs w:val="22"/>
        </w:rPr>
      </w:pPr>
    </w:p>
    <w:p w14:paraId="5D7855BD" w14:textId="77777777" w:rsidR="007A75DE" w:rsidRDefault="007A75DE" w:rsidP="007A75D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per the GMC guidance, relatives or friends of the patient are not considered to be an impartial observer so would not usually be a suitable chaperone but staff at this organisation should comply with a reasonable request to have such a person present in addition to the chaperone.</w:t>
      </w:r>
    </w:p>
    <w:p w14:paraId="6C7E245A" w14:textId="77777777" w:rsidR="007A75DE" w:rsidRDefault="007A75DE" w:rsidP="007A75DE">
      <w:pPr>
        <w:rPr>
          <w:rFonts w:ascii="Arial" w:eastAsia="Arial" w:hAnsi="Arial" w:cs="Arial"/>
          <w:color w:val="231F20"/>
          <w:sz w:val="22"/>
          <w:szCs w:val="22"/>
        </w:rPr>
      </w:pPr>
    </w:p>
    <w:p w14:paraId="3E4571BA" w14:textId="77777777" w:rsidR="007A75DE" w:rsidRDefault="007A75DE" w:rsidP="007A75DE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 xml:space="preserve">The GMC guidance also provides detailed guidance on what the clinician should do before and during the examination, including adhering to the GMC </w:t>
      </w:r>
      <w:hyperlink r:id="rId13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Decision making and consent guidance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. </w:t>
      </w:r>
    </w:p>
    <w:p w14:paraId="0928CF1B" w14:textId="77777777" w:rsidR="007A75DE" w:rsidRDefault="007A75DE" w:rsidP="007A75D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D9DECD0" w14:textId="77777777" w:rsidR="007A75DE" w:rsidRDefault="007A75DE" w:rsidP="007A75DE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When a chaperone is present, the details of the chaperone must be recorded in the patient’s clinical record.</w:t>
      </w:r>
    </w:p>
    <w:p w14:paraId="4FA79759" w14:textId="4A333389" w:rsidR="007C7F1F" w:rsidRPr="00A96691" w:rsidRDefault="007A75DE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r>
        <w:rPr>
          <w:rFonts w:ascii="Arial" w:hAnsi="Arial" w:cs="Arial"/>
          <w:smallCaps w:val="0"/>
          <w:sz w:val="24"/>
          <w:szCs w:val="24"/>
        </w:rPr>
        <w:t>Role and e</w:t>
      </w:r>
      <w:r w:rsidR="00F22797">
        <w:rPr>
          <w:rFonts w:ascii="Arial" w:hAnsi="Arial" w:cs="Arial"/>
          <w:smallCaps w:val="0"/>
          <w:sz w:val="24"/>
          <w:szCs w:val="24"/>
        </w:rPr>
        <w:t>xpectations of a chaperone</w:t>
      </w:r>
      <w:bookmarkEnd w:id="25"/>
    </w:p>
    <w:p w14:paraId="04EC4CB6" w14:textId="77777777" w:rsidR="007A75DE" w:rsidRPr="00173773" w:rsidRDefault="007A75DE" w:rsidP="007A75DE">
      <w:pPr>
        <w:rPr>
          <w:rFonts w:ascii="Arial" w:eastAsia="Arial" w:hAnsi="Arial" w:cs="Arial"/>
          <w:color w:val="231F20"/>
          <w:sz w:val="22"/>
          <w:szCs w:val="22"/>
        </w:rPr>
      </w:pPr>
      <w:r w:rsidRPr="002741A3">
        <w:rPr>
          <w:rFonts w:ascii="Arial" w:eastAsia="Arial" w:hAnsi="Arial" w:cs="Arial"/>
          <w:color w:val="231F20"/>
          <w:sz w:val="22"/>
          <w:szCs w:val="22"/>
        </w:rPr>
        <w:t xml:space="preserve">Staff at this organisation acting as a chaperone are to adhere to the </w:t>
      </w:r>
      <w:r w:rsidRPr="002741A3">
        <w:rPr>
          <w:rFonts w:ascii="Arial" w:hAnsi="Arial" w:cs="Arial"/>
          <w:sz w:val="22"/>
          <w:szCs w:val="22"/>
        </w:rPr>
        <w:t>guidance referenced at 2.2.</w:t>
      </w:r>
      <w:r w:rsidRPr="002741A3"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hyperlink r:id="rId14" w:history="1">
        <w:r w:rsidRPr="002741A3">
          <w:rPr>
            <w:rStyle w:val="Hyperlink"/>
            <w:rFonts w:ascii="Arial" w:eastAsia="Arial" w:hAnsi="Arial" w:cs="Arial"/>
            <w:sz w:val="22"/>
            <w:szCs w:val="22"/>
          </w:rPr>
          <w:t>CQC GP mythbuster 15: Chaperones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 advises that for most </w:t>
      </w:r>
      <w:r>
        <w:rPr>
          <w:rFonts w:ascii="Arial" w:eastAsia="Arial" w:hAnsi="Arial" w:cs="Arial"/>
          <w:color w:val="231F20"/>
          <w:sz w:val="22"/>
          <w:szCs w:val="22"/>
        </w:rPr>
        <w:lastRenderedPageBreak/>
        <w:t>patients and procedures, respect, explanation, consent and privacy are all that are needed. These take precedence over the need for a chaperone. A chaperone does not remove the need for adequate explanation and courtesy. Neither can a chaperone provide full assurance that the procedure or examination is conducted appropriately.</w:t>
      </w:r>
    </w:p>
    <w:p w14:paraId="1D5446FC" w14:textId="456BA09B" w:rsidR="0065017B" w:rsidRPr="00A96691" w:rsidRDefault="0065017B" w:rsidP="0065017B">
      <w:pPr>
        <w:pStyle w:val="Heading2"/>
        <w:rPr>
          <w:rFonts w:ascii="Arial" w:hAnsi="Arial" w:cs="Arial"/>
          <w:smallCaps w:val="0"/>
          <w:sz w:val="24"/>
          <w:szCs w:val="24"/>
        </w:rPr>
      </w:pPr>
      <w:r w:rsidRPr="008E59BA" w:rsidDel="0065017B">
        <w:rPr>
          <w:rFonts w:ascii="Arial" w:eastAsia="Times New Roman" w:hAnsi="Arial" w:cs="Arial"/>
          <w:bCs w:val="0"/>
          <w:iCs/>
          <w:color w:val="231F20"/>
          <w:sz w:val="22"/>
          <w:szCs w:val="22"/>
          <w:vertAlign w:val="superscript"/>
          <w:lang w:eastAsia="en-GB"/>
        </w:rPr>
        <w:t xml:space="preserve"> </w:t>
      </w:r>
      <w:bookmarkStart w:id="26" w:name="_Toc148018268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26"/>
      <w:r>
        <w:rPr>
          <w:rFonts w:ascii="Arial" w:hAnsi="Arial" w:cs="Arial"/>
          <w:smallCaps w:val="0"/>
          <w:sz w:val="24"/>
          <w:szCs w:val="24"/>
        </w:rPr>
        <w:t xml:space="preserve"> </w:t>
      </w:r>
    </w:p>
    <w:p w14:paraId="3DE833AC" w14:textId="77777777" w:rsidR="007A75DE" w:rsidRPr="00173773" w:rsidRDefault="007A75DE" w:rsidP="007A75DE">
      <w:pPr>
        <w:rPr>
          <w:rFonts w:ascii="Arial" w:eastAsia="Arial" w:hAnsi="Arial" w:cs="Arial"/>
          <w:color w:val="231F20"/>
          <w:sz w:val="22"/>
          <w:szCs w:val="22"/>
        </w:rPr>
      </w:pPr>
      <w:bookmarkStart w:id="27" w:name="_Toc148018269"/>
      <w:r>
        <w:rPr>
          <w:rFonts w:ascii="Arial" w:eastAsia="Arial" w:hAnsi="Arial" w:cs="Arial"/>
          <w:color w:val="231F20"/>
          <w:sz w:val="22"/>
          <w:szCs w:val="22"/>
        </w:rPr>
        <w:t>The GMC further advises that if either the clinician or the patient does not want the examination to go ahead without a chaperone present, or if either is uncomfortable with the choice of chaperone, the clinician may offer to delay the examination until a later date when a suitable chaperone will be available providing the delay would not adversely affect the patient’s health.</w:t>
      </w:r>
    </w:p>
    <w:p w14:paraId="1A5ACA41" w14:textId="77777777" w:rsidR="00DE3802" w:rsidRDefault="00DE3802" w:rsidP="00DE3802">
      <w:pPr>
        <w:pStyle w:val="Heading2"/>
        <w:rPr>
          <w:rFonts w:ascii="Arial" w:hAnsi="Arial" w:cs="Arial"/>
          <w:smallCaps w:val="0"/>
          <w:sz w:val="24"/>
          <w:szCs w:val="24"/>
        </w:rPr>
      </w:pPr>
      <w:r>
        <w:rPr>
          <w:rFonts w:ascii="Arial" w:hAnsi="Arial" w:cs="Arial"/>
          <w:smallCaps w:val="0"/>
          <w:sz w:val="24"/>
          <w:szCs w:val="24"/>
        </w:rPr>
        <w:t>When a patient refuses a chaperone</w:t>
      </w:r>
      <w:bookmarkEnd w:id="27"/>
    </w:p>
    <w:p w14:paraId="6C6E044D" w14:textId="77777777" w:rsidR="007A75DE" w:rsidRDefault="007A75DE" w:rsidP="007A75D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the clinician does not want to proceed with the examination without a chaperone but the patient has refused a chaperone, the clinician must clearly explain why they want a chaperone to be present. The </w:t>
      </w:r>
      <w:r w:rsidRPr="002741A3">
        <w:rPr>
          <w:rFonts w:ascii="Arial" w:eastAsia="Arial" w:hAnsi="Arial" w:cs="Arial"/>
          <w:color w:val="000000" w:themeColor="text1"/>
          <w:sz w:val="22"/>
          <w:szCs w:val="22"/>
        </w:rPr>
        <w:t>GMC</w:t>
      </w:r>
      <w:hyperlink r:id="rId15">
        <w:r>
          <w:rPr>
            <w:rFonts w:ascii="Arial" w:eastAsia="Arial" w:hAnsi="Arial" w:cs="Arial"/>
            <w:color w:val="000000"/>
            <w:sz w:val="22"/>
            <w:szCs w:val="22"/>
          </w:rPr>
          <w:t xml:space="preserve"> state</w:t>
        </w:r>
      </w:hyperlink>
      <w:r>
        <w:rPr>
          <w:rFonts w:ascii="Arial" w:eastAsia="Arial" w:hAnsi="Arial" w:cs="Arial"/>
          <w:sz w:val="22"/>
          <w:szCs w:val="22"/>
        </w:rPr>
        <w:t xml:space="preserve">s that ultimately the patient’s clinical needs must take precedence. The clinician may wish to consider referring the patient to a colleague who would be willing to examine them without a chaperone providing a delay would not adversely affect the patient’s health. </w:t>
      </w:r>
    </w:p>
    <w:p w14:paraId="18F12CCC" w14:textId="77777777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38C372BA" w14:textId="6F86CC9B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Any discussion about chaperones and the outcome should be recorded in the patient’s medical record, and in particular:</w:t>
      </w:r>
    </w:p>
    <w:p w14:paraId="6EB1882D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Who the chaperone was</w:t>
      </w:r>
    </w:p>
    <w:p w14:paraId="2BC21E29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510BCF74" w14:textId="77777777" w:rsidR="00DE3802" w:rsidRPr="00AB1996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C972379" w14:textId="30EF8662" w:rsidR="00E70E2D" w:rsidRPr="00A96691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8" w:name="_Toc148018270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28"/>
    </w:p>
    <w:p w14:paraId="7CE44C3F" w14:textId="77777777" w:rsidR="007A75DE" w:rsidRPr="00173773" w:rsidRDefault="007A75DE" w:rsidP="007A75DE">
      <w:pPr>
        <w:rPr>
          <w:rFonts w:ascii="Arial" w:eastAsia="Arial" w:hAnsi="Arial" w:cs="Arial"/>
          <w:color w:val="231F20"/>
          <w:sz w:val="22"/>
          <w:szCs w:val="22"/>
        </w:rPr>
      </w:pPr>
      <w:bookmarkStart w:id="29" w:name="_Toc77169090"/>
      <w:bookmarkStart w:id="30" w:name="_Toc60921744"/>
      <w:bookmarkStart w:id="31" w:name="_Toc60921790"/>
      <w:bookmarkStart w:id="32" w:name="_Toc60922250"/>
      <w:bookmarkStart w:id="33" w:name="_Toc148018278"/>
      <w:bookmarkStart w:id="34" w:name="_Toc148018279"/>
      <w:bookmarkStart w:id="35" w:name="_Toc148018280"/>
      <w:bookmarkStart w:id="36" w:name="_Toc148018281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Arial" w:eastAsia="Arial" w:hAnsi="Arial" w:cs="Arial"/>
          <w:color w:val="231F20"/>
          <w:sz w:val="22"/>
          <w:szCs w:val="22"/>
        </w:rPr>
        <w:t xml:space="preserve">Clinical staff who undertake a chaperone role at this organisation will already have a DBS check. </w:t>
      </w:r>
      <w:hyperlink r:id="rId16" w:history="1">
        <w:r w:rsidRPr="00C24CC0">
          <w:rPr>
            <w:rStyle w:val="Hyperlink"/>
            <w:rFonts w:ascii="Arial" w:eastAsia="Arial" w:hAnsi="Arial" w:cs="Arial"/>
            <w:sz w:val="22"/>
            <w:szCs w:val="22"/>
          </w:rPr>
          <w:t>CQC GP mythbuster 15: Chaperones</w:t>
        </w:r>
      </w:hyperlink>
      <w:hyperlink r:id="rId17">
        <w:r>
          <w:rPr>
            <w:rFonts w:ascii="Arial" w:eastAsia="Arial" w:hAnsi="Arial" w:cs="Arial"/>
            <w:color w:val="000000"/>
            <w:sz w:val="22"/>
            <w:szCs w:val="22"/>
          </w:rPr>
          <w:t xml:space="preserve"> state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>s that non-clinical staff who carry out chaperone duties may need a DBS check. This is due to the nature of chaperoning duties and the level of patient contact. Should the organisation decide not to carry out a DBS check for any non-clinical staff, then a clear rationale for this decision must be given including an appropriate risk assessment.</w:t>
      </w:r>
      <w:r>
        <w:rPr>
          <w:rFonts w:ascii="Arial" w:eastAsia="Arial" w:hAnsi="Arial" w:cs="Arial"/>
          <w:color w:val="231F20"/>
          <w:sz w:val="22"/>
          <w:szCs w:val="22"/>
          <w:vertAlign w:val="superscript"/>
        </w:rPr>
        <w:t xml:space="preserve"> </w:t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36"/>
    </w:p>
    <w:p w14:paraId="0D9DEE6A" w14:textId="77777777" w:rsidR="007A75DE" w:rsidRDefault="007A75DE" w:rsidP="007A75DE">
      <w:pPr>
        <w:shd w:val="clear" w:color="auto" w:fill="FFFFFF"/>
        <w:spacing w:after="320"/>
        <w:rPr>
          <w:rFonts w:ascii="Arial" w:eastAsia="Arial" w:hAnsi="Arial" w:cs="Arial"/>
          <w:color w:val="0563C1"/>
          <w:sz w:val="22"/>
          <w:szCs w:val="22"/>
          <w:u w:val="single"/>
        </w:rPr>
      </w:pPr>
      <w:bookmarkStart w:id="37" w:name="_Hlk212634698"/>
      <w:bookmarkStart w:id="38" w:name="_Toc148018282"/>
      <w:r>
        <w:rPr>
          <w:rFonts w:ascii="Arial" w:eastAsia="Arial" w:hAnsi="Arial" w:cs="Arial"/>
          <w:sz w:val="22"/>
          <w:szCs w:val="22"/>
        </w:rPr>
        <w:t xml:space="preserve">While it is widely accepted that many intimate examinations will not be suitable for a video consultation, should such a consultation be agreed, staff at this organisation are to adhere to the guidance detailed in </w:t>
      </w:r>
      <w:hyperlink r:id="rId18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CQC GP mythbuster 15</w:t>
        </w:r>
      </w:hyperlink>
      <w:r>
        <w:rPr>
          <w:rFonts w:ascii="Arial" w:eastAsia="Arial" w:hAnsi="Arial" w:cs="Arial"/>
          <w:color w:val="0563C1"/>
          <w:sz w:val="22"/>
          <w:szCs w:val="22"/>
          <w:u w:val="single"/>
        </w:rPr>
        <w:t xml:space="preserve">. </w:t>
      </w:r>
    </w:p>
    <w:bookmarkEnd w:id="37"/>
    <w:p w14:paraId="483A280C" w14:textId="0614441E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38"/>
    </w:p>
    <w:p w14:paraId="1F45DF6F" w14:textId="1C7D8070" w:rsidR="002624B0" w:rsidRDefault="000114A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39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45B7385F" w14:textId="521D96AA" w:rsidR="000114A0" w:rsidRDefault="00D40AE2" w:rsidP="007A75DE">
      <w:pPr>
        <w:pStyle w:val="ListParagraph"/>
        <w:numPr>
          <w:ilvl w:val="0"/>
          <w:numId w:val="16"/>
        </w:num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20FA6AD5" w14:textId="66EFA2FF" w:rsidR="000114A0" w:rsidRDefault="00D40AE2" w:rsidP="007A75DE">
      <w:pPr>
        <w:pStyle w:val="ListParagraph"/>
        <w:numPr>
          <w:ilvl w:val="0"/>
          <w:numId w:val="15"/>
        </w:num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0F335031" w14:textId="4C02F6A2" w:rsidR="00286DF9" w:rsidRDefault="00D40AE2" w:rsidP="007A75DE">
      <w:pPr>
        <w:pStyle w:val="ListParagraph"/>
        <w:numPr>
          <w:ilvl w:val="0"/>
          <w:numId w:val="15"/>
        </w:num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762632AC" w14:textId="66240727" w:rsidR="000114A0" w:rsidRPr="00A96691" w:rsidRDefault="00D40AE2" w:rsidP="007A75DE">
      <w:pPr>
        <w:pStyle w:val="ListParagraph"/>
        <w:numPr>
          <w:ilvl w:val="0"/>
          <w:numId w:val="15"/>
        </w:num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3272F9D4" w14:textId="3E98264B" w:rsidR="000114A0" w:rsidRPr="00A96691" w:rsidRDefault="00D40AE2" w:rsidP="007A75DE">
      <w:pPr>
        <w:pStyle w:val="ListParagraph"/>
        <w:numPr>
          <w:ilvl w:val="0"/>
          <w:numId w:val="15"/>
        </w:num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adhere to their role at all times</w:t>
      </w:r>
    </w:p>
    <w:p w14:paraId="7FE711E7" w14:textId="09DA95C1" w:rsidR="000114A0" w:rsidRPr="00A96691" w:rsidRDefault="00D40AE2" w:rsidP="007A75DE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09587ECD" w14:textId="1EAE4567" w:rsidR="00286DF9" w:rsidRPr="00912CB8" w:rsidRDefault="00D40AE2" w:rsidP="007A75DE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  <w:bookmarkStart w:id="40" w:name="_Toc56247939"/>
      <w:bookmarkStart w:id="41" w:name="_Toc56247940"/>
      <w:bookmarkStart w:id="42" w:name="_Toc56247941"/>
      <w:bookmarkStart w:id="43" w:name="_Toc56247942"/>
      <w:bookmarkStart w:id="44" w:name="_Toc56247943"/>
      <w:bookmarkEnd w:id="39"/>
      <w:bookmarkEnd w:id="40"/>
      <w:bookmarkEnd w:id="41"/>
      <w:bookmarkEnd w:id="42"/>
      <w:bookmarkEnd w:id="43"/>
      <w:bookmarkEnd w:id="44"/>
    </w:p>
    <w:p w14:paraId="14323E2F" w14:textId="77777777" w:rsidR="009807BB" w:rsidRPr="009807BB" w:rsidRDefault="009807BB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53C95E7" w14:textId="77777777" w:rsidR="00DF03EF" w:rsidRDefault="00DF03EF" w:rsidP="00DF03EF">
      <w:pPr>
        <w:rPr>
          <w:rStyle w:val="Hyperlink"/>
          <w:lang w:val="en-US"/>
        </w:rPr>
      </w:pPr>
      <w:bookmarkStart w:id="45" w:name="_Annex_A_–"/>
      <w:bookmarkEnd w:id="45"/>
    </w:p>
    <w:sectPr w:rsidR="00DF03EF" w:rsidSect="00343A1F">
      <w:headerReference w:type="default" r:id="rId19"/>
      <w:footerReference w:type="even" r:id="rId20"/>
      <w:footerReference w:type="default" r:id="rId21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1EA7" w14:textId="77777777" w:rsidR="0078209E" w:rsidRDefault="0078209E" w:rsidP="001A7ADA">
      <w:r>
        <w:separator/>
      </w:r>
    </w:p>
  </w:endnote>
  <w:endnote w:type="continuationSeparator" w:id="0">
    <w:p w14:paraId="22023CF8" w14:textId="77777777" w:rsidR="0078209E" w:rsidRDefault="0078209E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047E" w14:textId="23B5DEC4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</w:p>
  <w:p w14:paraId="026A0C06" w14:textId="77777777" w:rsidR="00126D4A" w:rsidRDefault="00126D4A" w:rsidP="002335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1859" w14:textId="77777777" w:rsidR="0078209E" w:rsidRDefault="0078209E" w:rsidP="001A7ADA">
      <w:r>
        <w:separator/>
      </w:r>
    </w:p>
  </w:footnote>
  <w:footnote w:type="continuationSeparator" w:id="0">
    <w:p w14:paraId="27AB9CCC" w14:textId="77777777" w:rsidR="0078209E" w:rsidRDefault="0078209E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7B6F" w14:textId="77777777" w:rsidR="00233500" w:rsidRPr="009A4E2B" w:rsidRDefault="00233500" w:rsidP="00233500">
    <w:pPr>
      <w:pStyle w:val="Header"/>
      <w:jc w:val="center"/>
      <w:rPr>
        <w:rFonts w:ascii="Arial" w:hAnsi="Arial" w:cs="Arial"/>
        <w:b/>
        <w:bCs/>
      </w:rPr>
    </w:pPr>
    <w:r w:rsidRPr="009A4E2B">
      <w:rPr>
        <w:rFonts w:ascii="Arial" w:hAnsi="Arial" w:cs="Arial"/>
        <w:b/>
        <w:bCs/>
      </w:rPr>
      <w:t>Howdale Group Practice</w:t>
    </w:r>
  </w:p>
  <w:p w14:paraId="085CE0CF" w14:textId="77777777" w:rsidR="00126D4A" w:rsidRDefault="00126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8A9"/>
    <w:multiLevelType w:val="hybridMultilevel"/>
    <w:tmpl w:val="3DA2B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755">
    <w:abstractNumId w:val="8"/>
  </w:num>
  <w:num w:numId="2" w16cid:durableId="82846231">
    <w:abstractNumId w:val="0"/>
  </w:num>
  <w:num w:numId="3" w16cid:durableId="2052075681">
    <w:abstractNumId w:val="16"/>
  </w:num>
  <w:num w:numId="4" w16cid:durableId="1056586517">
    <w:abstractNumId w:val="26"/>
  </w:num>
  <w:num w:numId="5" w16cid:durableId="1812018166">
    <w:abstractNumId w:val="24"/>
  </w:num>
  <w:num w:numId="6" w16cid:durableId="2094353283">
    <w:abstractNumId w:val="15"/>
  </w:num>
  <w:num w:numId="7" w16cid:durableId="1504010502">
    <w:abstractNumId w:val="2"/>
  </w:num>
  <w:num w:numId="8" w16cid:durableId="1998193429">
    <w:abstractNumId w:val="4"/>
  </w:num>
  <w:num w:numId="9" w16cid:durableId="1257179569">
    <w:abstractNumId w:val="22"/>
  </w:num>
  <w:num w:numId="10" w16cid:durableId="437334169">
    <w:abstractNumId w:val="5"/>
  </w:num>
  <w:num w:numId="11" w16cid:durableId="1072966176">
    <w:abstractNumId w:val="9"/>
  </w:num>
  <w:num w:numId="12" w16cid:durableId="1943802675">
    <w:abstractNumId w:val="11"/>
  </w:num>
  <w:num w:numId="13" w16cid:durableId="209616336">
    <w:abstractNumId w:val="21"/>
  </w:num>
  <w:num w:numId="14" w16cid:durableId="472913591">
    <w:abstractNumId w:val="25"/>
  </w:num>
  <w:num w:numId="15" w16cid:durableId="862010163">
    <w:abstractNumId w:val="12"/>
  </w:num>
  <w:num w:numId="16" w16cid:durableId="215891948">
    <w:abstractNumId w:val="20"/>
  </w:num>
  <w:num w:numId="17" w16cid:durableId="284580584">
    <w:abstractNumId w:val="14"/>
  </w:num>
  <w:num w:numId="18" w16cid:durableId="713624504">
    <w:abstractNumId w:val="27"/>
  </w:num>
  <w:num w:numId="19" w16cid:durableId="1449547284">
    <w:abstractNumId w:val="1"/>
  </w:num>
  <w:num w:numId="20" w16cid:durableId="468861511">
    <w:abstractNumId w:val="18"/>
  </w:num>
  <w:num w:numId="21" w16cid:durableId="411970916">
    <w:abstractNumId w:val="19"/>
  </w:num>
  <w:num w:numId="22" w16cid:durableId="1674146510">
    <w:abstractNumId w:val="23"/>
  </w:num>
  <w:num w:numId="23" w16cid:durableId="58208681">
    <w:abstractNumId w:val="5"/>
  </w:num>
  <w:num w:numId="24" w16cid:durableId="1898394818">
    <w:abstractNumId w:val="5"/>
  </w:num>
  <w:num w:numId="25" w16cid:durableId="2132281515">
    <w:abstractNumId w:val="5"/>
  </w:num>
  <w:num w:numId="26" w16cid:durableId="810950085">
    <w:abstractNumId w:val="5"/>
  </w:num>
  <w:num w:numId="27" w16cid:durableId="1984695282">
    <w:abstractNumId w:val="5"/>
  </w:num>
  <w:num w:numId="28" w16cid:durableId="209001073">
    <w:abstractNumId w:val="7"/>
  </w:num>
  <w:num w:numId="29" w16cid:durableId="424039911">
    <w:abstractNumId w:val="6"/>
  </w:num>
  <w:num w:numId="30" w16cid:durableId="369309280">
    <w:abstractNumId w:val="10"/>
  </w:num>
  <w:num w:numId="31" w16cid:durableId="71127276">
    <w:abstractNumId w:val="13"/>
  </w:num>
  <w:num w:numId="32" w16cid:durableId="609895966">
    <w:abstractNumId w:val="17"/>
  </w:num>
  <w:num w:numId="33" w16cid:durableId="177779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114A0"/>
    <w:rsid w:val="000525E2"/>
    <w:rsid w:val="000532E5"/>
    <w:rsid w:val="000658F4"/>
    <w:rsid w:val="00072CCD"/>
    <w:rsid w:val="00077F82"/>
    <w:rsid w:val="0009116B"/>
    <w:rsid w:val="000927F2"/>
    <w:rsid w:val="000C08D7"/>
    <w:rsid w:val="000C63A7"/>
    <w:rsid w:val="000D64AA"/>
    <w:rsid w:val="000F5555"/>
    <w:rsid w:val="001124E3"/>
    <w:rsid w:val="00126D4A"/>
    <w:rsid w:val="00131749"/>
    <w:rsid w:val="00132D32"/>
    <w:rsid w:val="00134281"/>
    <w:rsid w:val="00146831"/>
    <w:rsid w:val="00150EE5"/>
    <w:rsid w:val="00160F0B"/>
    <w:rsid w:val="00165544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3500"/>
    <w:rsid w:val="002341BB"/>
    <w:rsid w:val="00236735"/>
    <w:rsid w:val="00242BCA"/>
    <w:rsid w:val="00244DCD"/>
    <w:rsid w:val="00245B14"/>
    <w:rsid w:val="00250BC0"/>
    <w:rsid w:val="00253637"/>
    <w:rsid w:val="002624B0"/>
    <w:rsid w:val="0026600E"/>
    <w:rsid w:val="0026767F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31C1D"/>
    <w:rsid w:val="00340F32"/>
    <w:rsid w:val="00343A1F"/>
    <w:rsid w:val="0036134E"/>
    <w:rsid w:val="003671BB"/>
    <w:rsid w:val="003727CB"/>
    <w:rsid w:val="0038271D"/>
    <w:rsid w:val="00396043"/>
    <w:rsid w:val="003A093C"/>
    <w:rsid w:val="003A6581"/>
    <w:rsid w:val="003B55E8"/>
    <w:rsid w:val="003B6270"/>
    <w:rsid w:val="003D217F"/>
    <w:rsid w:val="003D707C"/>
    <w:rsid w:val="003E73F4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30BF"/>
    <w:rsid w:val="004E0159"/>
    <w:rsid w:val="00504519"/>
    <w:rsid w:val="00512D0A"/>
    <w:rsid w:val="0051380A"/>
    <w:rsid w:val="00520739"/>
    <w:rsid w:val="0052132E"/>
    <w:rsid w:val="00524F20"/>
    <w:rsid w:val="00534940"/>
    <w:rsid w:val="00534B66"/>
    <w:rsid w:val="00536205"/>
    <w:rsid w:val="0054597C"/>
    <w:rsid w:val="00547585"/>
    <w:rsid w:val="0055414F"/>
    <w:rsid w:val="00572EA9"/>
    <w:rsid w:val="00582904"/>
    <w:rsid w:val="00584A0C"/>
    <w:rsid w:val="00592497"/>
    <w:rsid w:val="005A5B08"/>
    <w:rsid w:val="005B0DE9"/>
    <w:rsid w:val="005E00AE"/>
    <w:rsid w:val="005E2680"/>
    <w:rsid w:val="005F25AB"/>
    <w:rsid w:val="00625E93"/>
    <w:rsid w:val="00634245"/>
    <w:rsid w:val="00637498"/>
    <w:rsid w:val="00637A51"/>
    <w:rsid w:val="0065017B"/>
    <w:rsid w:val="00652704"/>
    <w:rsid w:val="006650B1"/>
    <w:rsid w:val="0066702B"/>
    <w:rsid w:val="006731F9"/>
    <w:rsid w:val="00674ED2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6F7639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6115"/>
    <w:rsid w:val="00766ED9"/>
    <w:rsid w:val="007703BC"/>
    <w:rsid w:val="00781C84"/>
    <w:rsid w:val="0078209E"/>
    <w:rsid w:val="007A475E"/>
    <w:rsid w:val="007A75DE"/>
    <w:rsid w:val="007C7F1F"/>
    <w:rsid w:val="007D2438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511B"/>
    <w:rsid w:val="00866374"/>
    <w:rsid w:val="008706B5"/>
    <w:rsid w:val="00873FA8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55869"/>
    <w:rsid w:val="00960231"/>
    <w:rsid w:val="00964E93"/>
    <w:rsid w:val="0096760D"/>
    <w:rsid w:val="00971F60"/>
    <w:rsid w:val="00973C78"/>
    <w:rsid w:val="00974822"/>
    <w:rsid w:val="00977F92"/>
    <w:rsid w:val="009807BB"/>
    <w:rsid w:val="00991584"/>
    <w:rsid w:val="00996F35"/>
    <w:rsid w:val="009A2EFB"/>
    <w:rsid w:val="009A600C"/>
    <w:rsid w:val="00A02316"/>
    <w:rsid w:val="00A13559"/>
    <w:rsid w:val="00A16C3A"/>
    <w:rsid w:val="00A33265"/>
    <w:rsid w:val="00A40D2A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E1AFE"/>
    <w:rsid w:val="00AF05C1"/>
    <w:rsid w:val="00AF101E"/>
    <w:rsid w:val="00B06CE8"/>
    <w:rsid w:val="00B430B4"/>
    <w:rsid w:val="00B63CCD"/>
    <w:rsid w:val="00B80470"/>
    <w:rsid w:val="00B84C8A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969"/>
    <w:rsid w:val="00C24A13"/>
    <w:rsid w:val="00C271B0"/>
    <w:rsid w:val="00C330F5"/>
    <w:rsid w:val="00C36C74"/>
    <w:rsid w:val="00C50536"/>
    <w:rsid w:val="00C531AC"/>
    <w:rsid w:val="00C6500F"/>
    <w:rsid w:val="00C67537"/>
    <w:rsid w:val="00C949CF"/>
    <w:rsid w:val="00CA0E7B"/>
    <w:rsid w:val="00CA6885"/>
    <w:rsid w:val="00CB1844"/>
    <w:rsid w:val="00CD211E"/>
    <w:rsid w:val="00CD3E06"/>
    <w:rsid w:val="00CD5FAF"/>
    <w:rsid w:val="00CD6B41"/>
    <w:rsid w:val="00CE0E7A"/>
    <w:rsid w:val="00CE2B1E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09B5"/>
    <w:rsid w:val="00D77819"/>
    <w:rsid w:val="00D86F8B"/>
    <w:rsid w:val="00D91812"/>
    <w:rsid w:val="00D926C0"/>
    <w:rsid w:val="00D946C4"/>
    <w:rsid w:val="00DB0A65"/>
    <w:rsid w:val="00DE0117"/>
    <w:rsid w:val="00DE3802"/>
    <w:rsid w:val="00DF03EF"/>
    <w:rsid w:val="00DF7F75"/>
    <w:rsid w:val="00E16AC8"/>
    <w:rsid w:val="00E3013A"/>
    <w:rsid w:val="00E4181D"/>
    <w:rsid w:val="00E44634"/>
    <w:rsid w:val="00E45E0A"/>
    <w:rsid w:val="00E63567"/>
    <w:rsid w:val="00E676CA"/>
    <w:rsid w:val="00E70E2D"/>
    <w:rsid w:val="00E77596"/>
    <w:rsid w:val="00E7793A"/>
    <w:rsid w:val="00E87247"/>
    <w:rsid w:val="00E94ECF"/>
    <w:rsid w:val="00EA48C3"/>
    <w:rsid w:val="00EA6050"/>
    <w:rsid w:val="00EA7AC4"/>
    <w:rsid w:val="00EB4939"/>
    <w:rsid w:val="00EC40B2"/>
    <w:rsid w:val="00ED5BC9"/>
    <w:rsid w:val="00EE2AEB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AF101E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973C78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75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mc-uk.org/professional-standards/professional-standards-for-doctors/decision-making-and-consent" TargetMode="External"/><Relationship Id="rId18" Type="http://schemas.openxmlformats.org/officeDocument/2006/relationships/hyperlink" Target="https://www.cqc.org.uk/guidance-providers/gps/gp-mythbusters/gp-mythbuster-15-chaperones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gmc-uk.org/professional-standards/professional-standards-for-doctors/intimate-examinations-and-chaperones/intimate-examinations-and-chaperones" TargetMode="External"/><Relationship Id="rId17" Type="http://schemas.openxmlformats.org/officeDocument/2006/relationships/hyperlink" Target="https://www.cqc.org.uk/guidance-providers/gps/gp-mythbusters/gp-mythbuster-15-chapero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qc.org.uk/guidance-providers/gps/gp-mythbusters/gp-mythbuster-15-chaperon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qc.org.uk/guidance-providers/gps/gp-mythbusters/gp-mythbuster-15-chaperon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uk/ukpga/2010/15/contents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qc.org.uk/guidance-providers/gps/gp-mythbusters/gp-mythbuster-15-chaperones" TargetMode="External"/><Relationship Id="rId14" Type="http://schemas.openxmlformats.org/officeDocument/2006/relationships/hyperlink" Target="https://www.cqc.org.uk/guidance-providers/gps/gp-mythbusters/gp-mythbuster-15-chaperon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6660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WORBY-SMITH, Maxine (CAMPINGLAND SURGERY)</cp:lastModifiedBy>
  <cp:revision>2</cp:revision>
  <dcterms:created xsi:type="dcterms:W3CDTF">2025-11-05T11:51:00Z</dcterms:created>
  <dcterms:modified xsi:type="dcterms:W3CDTF">2025-11-05T11:51:00Z</dcterms:modified>
</cp:coreProperties>
</file>