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94C3F41" w14:textId="77777777" w:rsidR="00C34ACB" w:rsidRPr="0063286F" w:rsidRDefault="00C34ACB" w:rsidP="00C34ACB">
            <w:pPr>
              <w:spacing w:after="0" w:line="240" w:lineRule="auto"/>
              <w:rPr>
                <w:b/>
                <w:bCs/>
              </w:rPr>
            </w:pPr>
            <w:r w:rsidRPr="0063286F">
              <w:rPr>
                <w:b/>
                <w:bCs/>
              </w:rPr>
              <w:t>Robin Hood Surgery</w:t>
            </w:r>
          </w:p>
          <w:p w14:paraId="6D2368EB" w14:textId="77777777" w:rsidR="00C34ACB" w:rsidRPr="0063286F" w:rsidRDefault="00C34ACB" w:rsidP="00C34ACB">
            <w:pPr>
              <w:spacing w:after="0" w:line="240" w:lineRule="auto"/>
            </w:pPr>
            <w:r w:rsidRPr="0063286F">
              <w:t>94 Croydon Road,</w:t>
            </w:r>
            <w:r w:rsidRPr="0063286F">
              <w:br/>
              <w:t>Anerley,</w:t>
            </w:r>
            <w:r w:rsidRPr="0063286F">
              <w:br/>
              <w:t>London,</w:t>
            </w:r>
            <w:r w:rsidRPr="0063286F">
              <w:br/>
              <w:t>SE20 7AB</w:t>
            </w:r>
          </w:p>
          <w:p w14:paraId="737F7C4E" w14:textId="027CE414" w:rsidR="006A6874" w:rsidRPr="00677811" w:rsidRDefault="00C34ACB" w:rsidP="00C34AC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63286F">
                <w:rPr>
                  <w:rStyle w:val="Hyperlink"/>
                </w:rPr>
                <w:t>020 8778 8651</w:t>
              </w:r>
            </w:hyperlink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proofErr w:type="gramStart"/>
            <w:r w:rsidR="003E4316" w:rsidRPr="00677811">
              <w:t>an Article</w:t>
            </w:r>
            <w:proofErr w:type="gramEnd"/>
            <w:r w:rsidR="003E4316" w:rsidRPr="00677811">
              <w:t xml:space="preserve">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44A6" w14:textId="77777777" w:rsidR="00BD407F" w:rsidRDefault="00BD407F" w:rsidP="00F07C61">
      <w:pPr>
        <w:spacing w:after="0" w:line="240" w:lineRule="auto"/>
      </w:pPr>
      <w:r>
        <w:separator/>
      </w:r>
    </w:p>
  </w:endnote>
  <w:endnote w:type="continuationSeparator" w:id="0">
    <w:p w14:paraId="132E1C2B" w14:textId="77777777" w:rsidR="00BD407F" w:rsidRDefault="00BD407F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3540" w14:textId="77777777" w:rsidR="00BD407F" w:rsidRDefault="00BD407F" w:rsidP="00F07C61">
      <w:pPr>
        <w:spacing w:after="0" w:line="240" w:lineRule="auto"/>
      </w:pPr>
      <w:r>
        <w:separator/>
      </w:r>
    </w:p>
  </w:footnote>
  <w:footnote w:type="continuationSeparator" w:id="0">
    <w:p w14:paraId="60795CD7" w14:textId="77777777" w:rsidR="00BD407F" w:rsidRDefault="00BD407F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452FC"/>
    <w:rsid w:val="00062E2C"/>
    <w:rsid w:val="00067D3E"/>
    <w:rsid w:val="00071708"/>
    <w:rsid w:val="000A31F2"/>
    <w:rsid w:val="000A6B68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1A36FA"/>
    <w:rsid w:val="001E45D9"/>
    <w:rsid w:val="00203C98"/>
    <w:rsid w:val="00204264"/>
    <w:rsid w:val="0022555D"/>
    <w:rsid w:val="002329C4"/>
    <w:rsid w:val="00251684"/>
    <w:rsid w:val="00255F4D"/>
    <w:rsid w:val="00270D71"/>
    <w:rsid w:val="00272542"/>
    <w:rsid w:val="00273194"/>
    <w:rsid w:val="00286CCD"/>
    <w:rsid w:val="002B4E95"/>
    <w:rsid w:val="002C7B02"/>
    <w:rsid w:val="002D1BDC"/>
    <w:rsid w:val="00320023"/>
    <w:rsid w:val="003432E8"/>
    <w:rsid w:val="003902E4"/>
    <w:rsid w:val="003C2B1A"/>
    <w:rsid w:val="003D1401"/>
    <w:rsid w:val="003D6471"/>
    <w:rsid w:val="003E3028"/>
    <w:rsid w:val="003E4316"/>
    <w:rsid w:val="003E4C39"/>
    <w:rsid w:val="003F5FED"/>
    <w:rsid w:val="00424C77"/>
    <w:rsid w:val="00426EA7"/>
    <w:rsid w:val="0046281F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5"/>
    <w:rsid w:val="00565CFC"/>
    <w:rsid w:val="005820B0"/>
    <w:rsid w:val="005B1581"/>
    <w:rsid w:val="005D0EB2"/>
    <w:rsid w:val="005E4B1A"/>
    <w:rsid w:val="005E683A"/>
    <w:rsid w:val="0067666F"/>
    <w:rsid w:val="00677811"/>
    <w:rsid w:val="00685600"/>
    <w:rsid w:val="006A31D4"/>
    <w:rsid w:val="006A6874"/>
    <w:rsid w:val="006B7DB3"/>
    <w:rsid w:val="006D71F0"/>
    <w:rsid w:val="006F7772"/>
    <w:rsid w:val="00703FCC"/>
    <w:rsid w:val="00716EA2"/>
    <w:rsid w:val="007346FB"/>
    <w:rsid w:val="0073512B"/>
    <w:rsid w:val="00762408"/>
    <w:rsid w:val="0076414B"/>
    <w:rsid w:val="007A4683"/>
    <w:rsid w:val="007B7278"/>
    <w:rsid w:val="007D3121"/>
    <w:rsid w:val="007E6854"/>
    <w:rsid w:val="007F0D46"/>
    <w:rsid w:val="007F1C49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487C"/>
    <w:rsid w:val="00B011F2"/>
    <w:rsid w:val="00B34EDF"/>
    <w:rsid w:val="00B43F8C"/>
    <w:rsid w:val="00B6671B"/>
    <w:rsid w:val="00B7041D"/>
    <w:rsid w:val="00B8732B"/>
    <w:rsid w:val="00BD15C8"/>
    <w:rsid w:val="00BD407F"/>
    <w:rsid w:val="00BD53AC"/>
    <w:rsid w:val="00BD63EA"/>
    <w:rsid w:val="00BE2746"/>
    <w:rsid w:val="00BE55B3"/>
    <w:rsid w:val="00BE64F1"/>
    <w:rsid w:val="00C2669B"/>
    <w:rsid w:val="00C34AC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3281D"/>
    <w:rsid w:val="00DC1B1B"/>
    <w:rsid w:val="00DC4218"/>
    <w:rsid w:val="00DC68B4"/>
    <w:rsid w:val="00DD3A3F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36A89"/>
    <w:rsid w:val="00F60F87"/>
    <w:rsid w:val="00F621B0"/>
    <w:rsid w:val="00F64D1B"/>
    <w:rsid w:val="00F73F45"/>
    <w:rsid w:val="00F8755B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8%20865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284B5A-7496-4702-8616-DDD46FD0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2519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2025-05-30T16:15:00Z</dcterms:created>
  <dcterms:modified xsi:type="dcterms:W3CDTF">2025-05-30T16:15:00Z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