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0E65696">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2"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0971718">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Controller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64E7A3A6" w14:textId="77777777" w:rsidR="00BE6C79" w:rsidRPr="00267A07" w:rsidRDefault="00BE6C79" w:rsidP="00BE6C79">
            <w:pPr>
              <w:spacing w:after="0" w:line="240" w:lineRule="auto"/>
              <w:rPr>
                <w:b/>
                <w:bCs/>
              </w:rPr>
            </w:pPr>
            <w:r w:rsidRPr="00267A07">
              <w:rPr>
                <w:b/>
                <w:bCs/>
              </w:rPr>
              <w:t>Corner Ways Surgery</w:t>
            </w:r>
          </w:p>
          <w:p w14:paraId="257E1124" w14:textId="77777777" w:rsidR="00BE6C79" w:rsidRPr="00267A07" w:rsidRDefault="00BE6C79" w:rsidP="00BE6C79">
            <w:pPr>
              <w:spacing w:after="0" w:line="240" w:lineRule="auto"/>
            </w:pPr>
            <w:r w:rsidRPr="00267A07">
              <w:t>50 Manor Road,</w:t>
            </w:r>
            <w:r w:rsidRPr="00267A07">
              <w:br/>
              <w:t>Beckenham,</w:t>
            </w:r>
            <w:r w:rsidRPr="00267A07">
              <w:br/>
              <w:t>Kent,</w:t>
            </w:r>
            <w:r w:rsidRPr="00267A07">
              <w:br/>
              <w:t>BR3 5LG</w:t>
            </w:r>
          </w:p>
          <w:p w14:paraId="5479C058" w14:textId="706452E3" w:rsidR="006A6874" w:rsidRPr="00600757" w:rsidRDefault="00BE6C79" w:rsidP="00BE6C79">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267A07">
                <w:rPr>
                  <w:rStyle w:val="Hyperlink"/>
                </w:rPr>
                <w:t>0208 650 2444</w:t>
              </w:r>
            </w:hyperlink>
          </w:p>
        </w:tc>
      </w:tr>
      <w:tr w:rsidR="00CB1B71" w:rsidRPr="00600757" w14:paraId="47F7EFF4" w14:textId="77777777" w:rsidTr="00971718">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3D8E0A41" w14:textId="77777777" w:rsidR="00E15371" w:rsidRPr="00E15371" w:rsidRDefault="00E15371" w:rsidP="00E15371">
            <w:pPr>
              <w:spacing w:after="0" w:line="360" w:lineRule="auto"/>
              <w:rPr>
                <w:rFonts w:ascii="Arial" w:hAnsi="Arial" w:cs="Arial"/>
                <w:color w:val="339966"/>
                <w:sz w:val="24"/>
                <w:szCs w:val="24"/>
                <w:lang w:eastAsia="en-GB"/>
              </w:rPr>
            </w:pPr>
            <w:r w:rsidRPr="00E15371">
              <w:rPr>
                <w:rFonts w:ascii="Arial" w:hAnsi="Arial" w:cs="Arial"/>
                <w:color w:val="339966"/>
                <w:sz w:val="24"/>
                <w:szCs w:val="24"/>
                <w:lang w:eastAsia="en-GB"/>
              </w:rPr>
              <w:t>GP Data Protection Officer</w:t>
            </w:r>
          </w:p>
          <w:p w14:paraId="76D44214" w14:textId="3DA37265" w:rsidR="00CB1B71" w:rsidRPr="00600757" w:rsidRDefault="00E15371" w:rsidP="00E15371">
            <w:pPr>
              <w:spacing w:after="0" w:line="360" w:lineRule="auto"/>
              <w:rPr>
                <w:rFonts w:ascii="Arial" w:hAnsi="Arial" w:cs="Arial"/>
                <w:color w:val="339966"/>
                <w:sz w:val="24"/>
                <w:szCs w:val="24"/>
                <w:lang w:eastAsia="en-GB"/>
              </w:rPr>
            </w:pPr>
            <w:hyperlink r:id="rId14"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0623CC3">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0971718">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0971718">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0971718">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w:t>
            </w:r>
            <w:proofErr w:type="gramStart"/>
            <w:r w:rsidRPr="00D1321A">
              <w:rPr>
                <w:rFonts w:ascii="Arial" w:hAnsi="Arial" w:cs="Arial"/>
                <w:color w:val="000000"/>
                <w:sz w:val="24"/>
                <w:szCs w:val="24"/>
                <w:lang w:eastAsia="en-GB"/>
              </w:rPr>
              <w:t>all of</w:t>
            </w:r>
            <w:proofErr w:type="gramEnd"/>
            <w:r w:rsidRPr="00D1321A">
              <w:rPr>
                <w:rFonts w:ascii="Arial" w:hAnsi="Arial" w:cs="Arial"/>
                <w:color w:val="000000"/>
                <w:sz w:val="24"/>
                <w:szCs w:val="24"/>
                <w:lang w:eastAsia="en-GB"/>
              </w:rPr>
              <w:t xml:space="preserve">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0971718">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0971718">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0971718">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7777777"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5" w:history="1">
              <w:r w:rsidR="00D1321A" w:rsidRPr="00CD65DD">
                <w:rPr>
                  <w:rStyle w:val="Hyperlink"/>
                  <w:rFonts w:ascii="Arial" w:hAnsi="Arial" w:cs="Arial"/>
                  <w:sz w:val="24"/>
                  <w:szCs w:val="24"/>
                </w:rPr>
                <w:t>https://ico.org.uk/make-a-complaint/data-protection-complaints/</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8AFC" w14:textId="77777777" w:rsidR="0009544E" w:rsidRDefault="0009544E" w:rsidP="00F07C61">
      <w:pPr>
        <w:spacing w:after="0" w:line="240" w:lineRule="auto"/>
      </w:pPr>
      <w:r>
        <w:separator/>
      </w:r>
    </w:p>
  </w:endnote>
  <w:endnote w:type="continuationSeparator" w:id="0">
    <w:p w14:paraId="71225F79" w14:textId="77777777" w:rsidR="0009544E" w:rsidRDefault="0009544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9421" w14:textId="77777777" w:rsidR="0009544E" w:rsidRDefault="0009544E" w:rsidP="00F07C61">
      <w:pPr>
        <w:spacing w:after="0" w:line="240" w:lineRule="auto"/>
      </w:pPr>
      <w:r>
        <w:separator/>
      </w:r>
    </w:p>
  </w:footnote>
  <w:footnote w:type="continuationSeparator" w:id="0">
    <w:p w14:paraId="21028562" w14:textId="77777777" w:rsidR="0009544E" w:rsidRDefault="0009544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9544E"/>
    <w:rsid w:val="000A31F2"/>
    <w:rsid w:val="000A48D9"/>
    <w:rsid w:val="000B696B"/>
    <w:rsid w:val="000C71E2"/>
    <w:rsid w:val="000F4F02"/>
    <w:rsid w:val="000F6EB1"/>
    <w:rsid w:val="00154519"/>
    <w:rsid w:val="00184F49"/>
    <w:rsid w:val="001D07D7"/>
    <w:rsid w:val="00255F4D"/>
    <w:rsid w:val="00286CCD"/>
    <w:rsid w:val="002B50C8"/>
    <w:rsid w:val="002C7B02"/>
    <w:rsid w:val="002D1BDC"/>
    <w:rsid w:val="002F0FDC"/>
    <w:rsid w:val="002F21E7"/>
    <w:rsid w:val="003219C2"/>
    <w:rsid w:val="00337DC3"/>
    <w:rsid w:val="0034035A"/>
    <w:rsid w:val="003902E4"/>
    <w:rsid w:val="003A072E"/>
    <w:rsid w:val="003D3B99"/>
    <w:rsid w:val="003E4C39"/>
    <w:rsid w:val="003F5FED"/>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A55B0"/>
    <w:rsid w:val="005C3EB6"/>
    <w:rsid w:val="005D0EB2"/>
    <w:rsid w:val="005D54D4"/>
    <w:rsid w:val="00600757"/>
    <w:rsid w:val="00617F6E"/>
    <w:rsid w:val="00623CC3"/>
    <w:rsid w:val="00685362"/>
    <w:rsid w:val="006A6874"/>
    <w:rsid w:val="006B7DB3"/>
    <w:rsid w:val="006D6A2A"/>
    <w:rsid w:val="006F7772"/>
    <w:rsid w:val="007005DF"/>
    <w:rsid w:val="00703FCC"/>
    <w:rsid w:val="00757F28"/>
    <w:rsid w:val="00762408"/>
    <w:rsid w:val="007C7FF2"/>
    <w:rsid w:val="007D3121"/>
    <w:rsid w:val="007E6854"/>
    <w:rsid w:val="008065D5"/>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74EC1"/>
    <w:rsid w:val="00A93BFE"/>
    <w:rsid w:val="00AD0C30"/>
    <w:rsid w:val="00AE487C"/>
    <w:rsid w:val="00AF1D40"/>
    <w:rsid w:val="00B43F8C"/>
    <w:rsid w:val="00B64D03"/>
    <w:rsid w:val="00B7041D"/>
    <w:rsid w:val="00B948A1"/>
    <w:rsid w:val="00BD15C8"/>
    <w:rsid w:val="00BE6C79"/>
    <w:rsid w:val="00C21B06"/>
    <w:rsid w:val="00C5708D"/>
    <w:rsid w:val="00CA07AE"/>
    <w:rsid w:val="00CA258A"/>
    <w:rsid w:val="00CA2F6D"/>
    <w:rsid w:val="00CA7472"/>
    <w:rsid w:val="00CB1B71"/>
    <w:rsid w:val="00CB2F51"/>
    <w:rsid w:val="00CD1185"/>
    <w:rsid w:val="00CD11B8"/>
    <w:rsid w:val="00CE1CDF"/>
    <w:rsid w:val="00CF55DF"/>
    <w:rsid w:val="00D1321A"/>
    <w:rsid w:val="00D32C1C"/>
    <w:rsid w:val="00DB42AA"/>
    <w:rsid w:val="00E15371"/>
    <w:rsid w:val="00E2339F"/>
    <w:rsid w:val="00E333EA"/>
    <w:rsid w:val="00E41B5A"/>
    <w:rsid w:val="00E65696"/>
    <w:rsid w:val="00E70986"/>
    <w:rsid w:val="00E85727"/>
    <w:rsid w:val="00E90F8F"/>
    <w:rsid w:val="00E93322"/>
    <w:rsid w:val="00E96ACB"/>
    <w:rsid w:val="00EB554A"/>
    <w:rsid w:val="00ED6EE0"/>
    <w:rsid w:val="00F07C61"/>
    <w:rsid w:val="00F2262C"/>
    <w:rsid w:val="00F31D37"/>
    <w:rsid w:val="00F32D48"/>
    <w:rsid w:val="00F60F87"/>
    <w:rsid w:val="00F84F7C"/>
    <w:rsid w:val="00FA416A"/>
    <w:rsid w:val="00FA5793"/>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2086502444"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riving-medical-condi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8ADE925-9357-44FE-ABF1-0FF2434280AB}">
  <ds:schemaRefs>
    <ds:schemaRef ds:uri="Microsoft.SharePoint.Taxonomy.ContentTypeSync"/>
  </ds:schemaRefs>
</ds:datastoreItem>
</file>

<file path=customXml/itemProps2.xml><?xml version="1.0" encoding="utf-8"?>
<ds:datastoreItem xmlns:ds="http://schemas.openxmlformats.org/officeDocument/2006/customXml" ds:itemID="{FC9C6460-5B94-48F7-BDAC-5724DD9C73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4.xml><?xml version="1.0" encoding="utf-8"?>
<ds:datastoreItem xmlns:ds="http://schemas.openxmlformats.org/officeDocument/2006/customXml" ds:itemID="{F85B5A8A-D380-4FA2-8648-4CC01407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ED83B67-CF2F-4C66-88EE-F7ABF3FE9D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3141</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262172</vt:i4>
      </vt:variant>
      <vt:variant>
        <vt:i4>0</vt:i4>
      </vt:variant>
      <vt:variant>
        <vt:i4>0</vt:i4>
      </vt:variant>
      <vt:variant>
        <vt:i4>5</vt:i4>
      </vt:variant>
      <vt:variant>
        <vt:lpwstr>https://www.gov.uk/driving-medical-conditions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2025-05-22T18:42:00Z</dcterms:created>
  <dcterms:modified xsi:type="dcterms:W3CDTF">2025-05-22T18:42:00Z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ies>
</file>