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07CB" w14:textId="77777777" w:rsidR="00526D14" w:rsidRDefault="002E24F0">
      <w:pPr>
        <w:ind w:right="1718"/>
      </w:pPr>
      <w:r>
        <w:t xml:space="preserve">Privacy Notice </w:t>
      </w:r>
      <w:r>
        <w:t>–</w:t>
      </w:r>
      <w:r>
        <w:t xml:space="preserve"> Litigations &amp; Claims </w:t>
      </w:r>
    </w:p>
    <w:p w14:paraId="7226A2F3" w14:textId="77777777" w:rsidR="00526D14" w:rsidRDefault="002E24F0">
      <w:pPr>
        <w:ind w:left="-732" w:right="0" w:firstLine="0"/>
        <w:jc w:val="left"/>
      </w:pPr>
      <w:r>
        <w:t xml:space="preserve"> </w:t>
      </w:r>
    </w:p>
    <w:tbl>
      <w:tblPr>
        <w:tblStyle w:val="TableGrid"/>
        <w:tblW w:w="10601" w:type="dxa"/>
        <w:tblInd w:w="-727" w:type="dxa"/>
        <w:tblCellMar>
          <w:top w:w="13" w:type="dxa"/>
          <w:left w:w="108" w:type="dxa"/>
          <w:bottom w:w="0" w:type="dxa"/>
          <w:right w:w="75" w:type="dxa"/>
        </w:tblCellMar>
        <w:tblLook w:val="04A0" w:firstRow="1" w:lastRow="0" w:firstColumn="1" w:lastColumn="0" w:noHBand="0" w:noVBand="1"/>
      </w:tblPr>
      <w:tblGrid>
        <w:gridCol w:w="3229"/>
        <w:gridCol w:w="7372"/>
      </w:tblGrid>
      <w:tr w:rsidR="00526D14" w14:paraId="30745E21" w14:textId="77777777">
        <w:trPr>
          <w:trHeight w:val="4839"/>
        </w:trPr>
        <w:tc>
          <w:tcPr>
            <w:tcW w:w="10601" w:type="dxa"/>
            <w:gridSpan w:val="2"/>
            <w:tcBorders>
              <w:top w:val="single" w:sz="4" w:space="0" w:color="000000"/>
              <w:left w:val="single" w:sz="4" w:space="0" w:color="000000"/>
              <w:bottom w:val="single" w:sz="4" w:space="0" w:color="000000"/>
              <w:right w:val="single" w:sz="4" w:space="0" w:color="000000"/>
            </w:tcBorders>
          </w:tcPr>
          <w:p w14:paraId="4F464AEC" w14:textId="77777777" w:rsidR="00526D14" w:rsidRDefault="002E24F0">
            <w:pPr>
              <w:spacing w:line="359" w:lineRule="auto"/>
              <w:ind w:left="0" w:right="0" w:firstLine="0"/>
              <w:jc w:val="left"/>
            </w:pPr>
            <w:r>
              <w:rPr>
                <w:rFonts w:ascii="Arial" w:eastAsia="Arial" w:hAnsi="Arial" w:cs="Arial"/>
                <w:b w:val="0"/>
                <w:sz w:val="28"/>
              </w:rPr>
              <w:t xml:space="preserve">This Practice </w:t>
            </w:r>
            <w:r>
              <w:rPr>
                <w:rFonts w:ascii="Arial" w:eastAsia="Arial" w:hAnsi="Arial" w:cs="Arial"/>
                <w:b w:val="0"/>
                <w:sz w:val="28"/>
              </w:rPr>
              <w:t xml:space="preserve">is legally obliged to investigate any litigation or claims brought against them, and this will require us to access, process and hold some your personal identifiable data. This may include your name, address, date or birth and medical condition and other data we may hold. The data this Practice will need to process will depend on the type of litigation or claim received.  </w:t>
            </w:r>
          </w:p>
          <w:p w14:paraId="56B5294F" w14:textId="77777777" w:rsidR="00526D14" w:rsidRDefault="002E24F0">
            <w:pPr>
              <w:spacing w:after="134"/>
              <w:ind w:left="0" w:right="0" w:firstLine="0"/>
              <w:jc w:val="left"/>
            </w:pPr>
            <w:r>
              <w:rPr>
                <w:rFonts w:ascii="Arial" w:eastAsia="Arial" w:hAnsi="Arial" w:cs="Arial"/>
                <w:b w:val="0"/>
                <w:sz w:val="28"/>
              </w:rPr>
              <w:t xml:space="preserve"> </w:t>
            </w:r>
          </w:p>
          <w:p w14:paraId="7EFE92EA" w14:textId="77777777" w:rsidR="00526D14" w:rsidRDefault="002E24F0">
            <w:pPr>
              <w:spacing w:line="360" w:lineRule="auto"/>
              <w:ind w:left="0" w:right="0" w:firstLine="0"/>
              <w:jc w:val="left"/>
            </w:pPr>
            <w:r>
              <w:rPr>
                <w:rFonts w:ascii="Arial" w:eastAsia="Arial" w:hAnsi="Arial" w:cs="Arial"/>
                <w:b w:val="0"/>
                <w:sz w:val="28"/>
              </w:rPr>
              <w:t xml:space="preserve">This NHS Litigation Authority operates a scheme which this Practice pays an annual contribution for, and in return the NHS Litigation Authority supports the settlement of any clinical negligence claims the Practice receives.  </w:t>
            </w:r>
          </w:p>
          <w:p w14:paraId="07570556" w14:textId="77777777" w:rsidR="00526D14" w:rsidRDefault="002E24F0">
            <w:pPr>
              <w:ind w:left="0" w:right="0" w:firstLine="0"/>
              <w:jc w:val="left"/>
            </w:pPr>
            <w:r>
              <w:rPr>
                <w:rFonts w:ascii="Arial" w:eastAsia="Arial" w:hAnsi="Arial" w:cs="Arial"/>
                <w:b w:val="0"/>
                <w:sz w:val="28"/>
              </w:rPr>
              <w:t xml:space="preserve"> </w:t>
            </w:r>
          </w:p>
        </w:tc>
      </w:tr>
      <w:tr w:rsidR="00526D14" w14:paraId="38A39CB1" w14:textId="77777777">
        <w:trPr>
          <w:trHeight w:val="1694"/>
        </w:trPr>
        <w:tc>
          <w:tcPr>
            <w:tcW w:w="3229" w:type="dxa"/>
            <w:tcBorders>
              <w:top w:val="single" w:sz="4" w:space="0" w:color="000000"/>
              <w:left w:val="single" w:sz="4" w:space="0" w:color="000000"/>
              <w:bottom w:val="single" w:sz="4" w:space="0" w:color="000000"/>
              <w:right w:val="single" w:sz="4" w:space="0" w:color="000000"/>
            </w:tcBorders>
          </w:tcPr>
          <w:p w14:paraId="7B4BE011" w14:textId="77777777" w:rsidR="00526D14" w:rsidRDefault="002E24F0">
            <w:pPr>
              <w:spacing w:line="361" w:lineRule="auto"/>
              <w:ind w:left="0" w:right="0" w:firstLine="0"/>
              <w:jc w:val="left"/>
            </w:pPr>
            <w:r>
              <w:rPr>
                <w:rFonts w:ascii="Arial" w:eastAsia="Arial" w:hAnsi="Arial" w:cs="Arial"/>
                <w:b w:val="0"/>
                <w:sz w:val="24"/>
              </w:rPr>
              <w:t>1</w:t>
            </w:r>
            <w:r>
              <w:rPr>
                <w:rFonts w:ascii="Arial" w:eastAsia="Arial" w:hAnsi="Arial" w:cs="Arial"/>
                <w:sz w:val="24"/>
              </w:rPr>
              <w:t xml:space="preserve">) Data Controller </w:t>
            </w:r>
            <w:r>
              <w:rPr>
                <w:rFonts w:ascii="Arial" w:eastAsia="Arial" w:hAnsi="Arial" w:cs="Arial"/>
                <w:b w:val="0"/>
                <w:sz w:val="24"/>
              </w:rPr>
              <w:t>contact details</w:t>
            </w:r>
            <w:r>
              <w:rPr>
                <w:rFonts w:ascii="Arial" w:eastAsia="Arial" w:hAnsi="Arial" w:cs="Arial"/>
                <w:sz w:val="24"/>
              </w:rPr>
              <w:t xml:space="preserve"> </w:t>
            </w:r>
          </w:p>
          <w:p w14:paraId="28DFE257" w14:textId="77777777" w:rsidR="00526D14" w:rsidRDefault="002E24F0">
            <w:pPr>
              <w:spacing w:after="117"/>
              <w:ind w:left="0" w:right="0" w:firstLine="0"/>
              <w:jc w:val="left"/>
            </w:pPr>
            <w:r>
              <w:rPr>
                <w:rFonts w:ascii="Arial" w:eastAsia="Arial" w:hAnsi="Arial" w:cs="Arial"/>
                <w:b w:val="0"/>
                <w:sz w:val="24"/>
              </w:rPr>
              <w:t xml:space="preserve"> </w:t>
            </w:r>
          </w:p>
          <w:p w14:paraId="2FFAE851" w14:textId="77777777" w:rsidR="00526D14" w:rsidRDefault="002E24F0">
            <w:pPr>
              <w:ind w:left="0" w:right="0" w:firstLine="0"/>
              <w:jc w:val="left"/>
            </w:pPr>
            <w:r>
              <w:rPr>
                <w:rFonts w:ascii="Arial" w:eastAsia="Arial" w:hAnsi="Arial" w:cs="Arial"/>
                <w:b w:val="0"/>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47AF348E" w14:textId="77777777" w:rsidR="00526D14" w:rsidRDefault="002E24F0">
            <w:pPr>
              <w:spacing w:after="21"/>
              <w:ind w:left="0" w:right="0" w:firstLine="0"/>
              <w:jc w:val="left"/>
            </w:pPr>
            <w:r>
              <w:rPr>
                <w:rFonts w:ascii="Arial" w:eastAsia="Arial" w:hAnsi="Arial" w:cs="Arial"/>
                <w:b w:val="0"/>
                <w:sz w:val="24"/>
              </w:rPr>
              <w:t xml:space="preserve">Eden Park Surgery  </w:t>
            </w:r>
          </w:p>
          <w:p w14:paraId="27801037" w14:textId="77777777" w:rsidR="00526D14" w:rsidRDefault="002E24F0">
            <w:pPr>
              <w:spacing w:after="19"/>
              <w:ind w:left="0" w:right="0" w:firstLine="0"/>
              <w:jc w:val="left"/>
            </w:pPr>
            <w:r>
              <w:rPr>
                <w:rFonts w:ascii="Arial" w:eastAsia="Arial" w:hAnsi="Arial" w:cs="Arial"/>
                <w:b w:val="0"/>
                <w:sz w:val="24"/>
              </w:rPr>
              <w:t xml:space="preserve">194 Croydon Road  </w:t>
            </w:r>
          </w:p>
          <w:p w14:paraId="76FAE5A5" w14:textId="77777777" w:rsidR="00526D14" w:rsidRDefault="002E24F0">
            <w:pPr>
              <w:spacing w:after="19"/>
              <w:ind w:left="0" w:right="0" w:firstLine="0"/>
              <w:jc w:val="left"/>
            </w:pPr>
            <w:r>
              <w:rPr>
                <w:rFonts w:ascii="Arial" w:eastAsia="Arial" w:hAnsi="Arial" w:cs="Arial"/>
                <w:b w:val="0"/>
                <w:sz w:val="24"/>
              </w:rPr>
              <w:t xml:space="preserve">Beckenham  </w:t>
            </w:r>
          </w:p>
          <w:p w14:paraId="1248D8B7" w14:textId="77777777" w:rsidR="00526D14" w:rsidRDefault="002E24F0">
            <w:pPr>
              <w:spacing w:after="19"/>
              <w:ind w:left="0" w:right="0" w:firstLine="0"/>
              <w:jc w:val="left"/>
            </w:pPr>
            <w:r>
              <w:rPr>
                <w:rFonts w:ascii="Arial" w:eastAsia="Arial" w:hAnsi="Arial" w:cs="Arial"/>
                <w:b w:val="0"/>
                <w:sz w:val="24"/>
              </w:rPr>
              <w:t xml:space="preserve">BR3 4DQ </w:t>
            </w:r>
          </w:p>
          <w:p w14:paraId="0FAE9C01" w14:textId="77777777" w:rsidR="00526D14" w:rsidRDefault="002E24F0">
            <w:pPr>
              <w:ind w:left="0" w:right="0" w:firstLine="0"/>
              <w:jc w:val="left"/>
            </w:pPr>
            <w:r>
              <w:rPr>
                <w:rFonts w:ascii="Arial" w:eastAsia="Arial" w:hAnsi="Arial" w:cs="Arial"/>
                <w:b w:val="0"/>
                <w:sz w:val="24"/>
              </w:rPr>
              <w:t xml:space="preserve"> </w:t>
            </w:r>
          </w:p>
        </w:tc>
      </w:tr>
      <w:tr w:rsidR="00526D14" w14:paraId="05D4C3A7" w14:textId="77777777">
        <w:trPr>
          <w:trHeight w:val="1755"/>
        </w:trPr>
        <w:tc>
          <w:tcPr>
            <w:tcW w:w="3229" w:type="dxa"/>
            <w:tcBorders>
              <w:top w:val="single" w:sz="4" w:space="0" w:color="000000"/>
              <w:left w:val="single" w:sz="4" w:space="0" w:color="000000"/>
              <w:bottom w:val="single" w:sz="4" w:space="0" w:color="000000"/>
              <w:right w:val="single" w:sz="4" w:space="0" w:color="000000"/>
            </w:tcBorders>
          </w:tcPr>
          <w:p w14:paraId="77BF1354" w14:textId="77777777" w:rsidR="00526D14" w:rsidRDefault="002E24F0">
            <w:pPr>
              <w:spacing w:after="3" w:line="359" w:lineRule="auto"/>
              <w:ind w:left="0" w:right="0" w:firstLine="0"/>
              <w:jc w:val="left"/>
            </w:pPr>
            <w:r>
              <w:rPr>
                <w:rFonts w:ascii="Arial" w:eastAsia="Arial" w:hAnsi="Arial" w:cs="Arial"/>
                <w:sz w:val="24"/>
              </w:rPr>
              <w:t xml:space="preserve">2) Data Protection Officer </w:t>
            </w:r>
            <w:r>
              <w:rPr>
                <w:rFonts w:ascii="Arial" w:eastAsia="Arial" w:hAnsi="Arial" w:cs="Arial"/>
                <w:b w:val="0"/>
                <w:sz w:val="24"/>
              </w:rPr>
              <w:t xml:space="preserve">contact details </w:t>
            </w:r>
          </w:p>
          <w:p w14:paraId="78558655" w14:textId="77777777" w:rsidR="00526D14" w:rsidRDefault="002E24F0">
            <w:pPr>
              <w:spacing w:after="115"/>
              <w:ind w:left="0" w:right="0" w:firstLine="0"/>
              <w:jc w:val="left"/>
            </w:pPr>
            <w:r>
              <w:rPr>
                <w:rFonts w:ascii="Arial" w:eastAsia="Arial" w:hAnsi="Arial" w:cs="Arial"/>
                <w:b w:val="0"/>
                <w:sz w:val="24"/>
              </w:rPr>
              <w:t xml:space="preserve"> </w:t>
            </w:r>
          </w:p>
          <w:p w14:paraId="040F5ECC" w14:textId="77777777" w:rsidR="00526D14" w:rsidRDefault="002E24F0">
            <w:pPr>
              <w:ind w:left="0" w:right="0" w:firstLine="0"/>
              <w:jc w:val="left"/>
            </w:pPr>
            <w:r>
              <w:rPr>
                <w:rFonts w:ascii="Arial" w:eastAsia="Arial" w:hAnsi="Arial" w:cs="Arial"/>
                <w:b w:val="0"/>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1D844E4A" w14:textId="77777777" w:rsidR="0059286F" w:rsidRPr="0059286F" w:rsidRDefault="0059286F" w:rsidP="0059286F">
            <w:pPr>
              <w:spacing w:after="317"/>
              <w:ind w:left="0" w:right="0" w:firstLine="0"/>
              <w:jc w:val="left"/>
              <w:rPr>
                <w:rFonts w:ascii="Arial" w:eastAsia="Arial" w:hAnsi="Arial" w:cs="Arial"/>
                <w:b w:val="0"/>
                <w:sz w:val="24"/>
              </w:rPr>
            </w:pPr>
            <w:r w:rsidRPr="0059286F">
              <w:rPr>
                <w:rFonts w:ascii="Arial" w:eastAsia="Arial" w:hAnsi="Arial" w:cs="Arial"/>
                <w:bCs/>
                <w:sz w:val="24"/>
              </w:rPr>
              <w:t>Address:</w:t>
            </w:r>
            <w:r w:rsidRPr="0059286F">
              <w:rPr>
                <w:rFonts w:ascii="Arial" w:eastAsia="Arial" w:hAnsi="Arial" w:cs="Arial"/>
                <w:b w:val="0"/>
                <w:sz w:val="24"/>
              </w:rPr>
              <w:t> 160 Tooley Street London, SE1 2TZ.</w:t>
            </w:r>
          </w:p>
          <w:p w14:paraId="18A1C92B" w14:textId="77777777" w:rsidR="0059286F" w:rsidRDefault="0059286F" w:rsidP="0059286F">
            <w:pPr>
              <w:spacing w:after="317"/>
              <w:ind w:left="0" w:right="0" w:firstLine="0"/>
              <w:jc w:val="left"/>
              <w:rPr>
                <w:rFonts w:ascii="Arial" w:eastAsia="Arial" w:hAnsi="Arial" w:cs="Arial"/>
                <w:b w:val="0"/>
                <w:sz w:val="24"/>
              </w:rPr>
            </w:pPr>
            <w:r w:rsidRPr="0059286F">
              <w:rPr>
                <w:rFonts w:ascii="Arial" w:eastAsia="Arial" w:hAnsi="Arial" w:cs="Arial"/>
                <w:bCs/>
                <w:sz w:val="24"/>
              </w:rPr>
              <w:t>Email:</w:t>
            </w:r>
            <w:r w:rsidRPr="0059286F">
              <w:rPr>
                <w:rFonts w:ascii="Arial" w:eastAsia="Arial" w:hAnsi="Arial" w:cs="Arial"/>
                <w:b w:val="0"/>
                <w:sz w:val="24"/>
              </w:rPr>
              <w:t> </w:t>
            </w:r>
            <w:hyperlink r:id="rId7" w:tooltip="mailto:gpdpo@selondonics.nhs.uk" w:history="1">
              <w:r w:rsidRPr="0059286F">
                <w:rPr>
                  <w:rStyle w:val="Hyperlink"/>
                  <w:rFonts w:ascii="Arial" w:eastAsia="Arial" w:hAnsi="Arial" w:cs="Arial"/>
                  <w:b w:val="0"/>
                  <w:sz w:val="24"/>
                </w:rPr>
                <w:t>gpdpo@selondonics.nhs.uk</w:t>
              </w:r>
            </w:hyperlink>
          </w:p>
          <w:p w14:paraId="10902B2B" w14:textId="32A254F3" w:rsidR="00526D14" w:rsidRPr="0059286F" w:rsidRDefault="0059286F" w:rsidP="0059286F">
            <w:pPr>
              <w:spacing w:after="317"/>
              <w:ind w:left="0" w:right="0" w:firstLine="0"/>
              <w:jc w:val="left"/>
              <w:rPr>
                <w:rFonts w:ascii="Arial" w:eastAsia="Arial" w:hAnsi="Arial" w:cs="Arial"/>
                <w:b w:val="0"/>
                <w:sz w:val="24"/>
              </w:rPr>
            </w:pPr>
            <w:r w:rsidRPr="0059286F">
              <w:rPr>
                <w:rFonts w:ascii="Arial" w:eastAsia="Arial" w:hAnsi="Arial" w:cs="Arial"/>
                <w:bCs/>
                <w:sz w:val="24"/>
              </w:rPr>
              <w:t>Telephone:</w:t>
            </w:r>
            <w:r w:rsidRPr="0059286F">
              <w:rPr>
                <w:rFonts w:ascii="Arial" w:eastAsia="Arial" w:hAnsi="Arial" w:cs="Arial"/>
                <w:b w:val="0"/>
                <w:sz w:val="24"/>
              </w:rPr>
              <w:t> 020 8176 0366</w:t>
            </w:r>
          </w:p>
        </w:tc>
      </w:tr>
      <w:tr w:rsidR="00526D14" w14:paraId="3DC969E5" w14:textId="77777777">
        <w:trPr>
          <w:trHeight w:val="838"/>
        </w:trPr>
        <w:tc>
          <w:tcPr>
            <w:tcW w:w="3229" w:type="dxa"/>
            <w:tcBorders>
              <w:top w:val="single" w:sz="4" w:space="0" w:color="000000"/>
              <w:left w:val="single" w:sz="4" w:space="0" w:color="000000"/>
              <w:bottom w:val="single" w:sz="4" w:space="0" w:color="000000"/>
              <w:right w:val="single" w:sz="4" w:space="0" w:color="000000"/>
            </w:tcBorders>
          </w:tcPr>
          <w:p w14:paraId="4E628587" w14:textId="77777777" w:rsidR="00526D14" w:rsidRDefault="002E24F0">
            <w:pPr>
              <w:ind w:left="0" w:right="0" w:firstLine="0"/>
              <w:jc w:val="left"/>
            </w:pPr>
            <w:r>
              <w:rPr>
                <w:rFonts w:ascii="Arial" w:eastAsia="Arial" w:hAnsi="Arial" w:cs="Arial"/>
                <w:b w:val="0"/>
                <w:sz w:val="24"/>
              </w:rPr>
              <w:t xml:space="preserve">3) </w:t>
            </w:r>
            <w:r>
              <w:rPr>
                <w:rFonts w:ascii="Arial" w:eastAsia="Arial" w:hAnsi="Arial" w:cs="Arial"/>
                <w:sz w:val="24"/>
              </w:rPr>
              <w:t>Purpose</w:t>
            </w:r>
            <w:r>
              <w:rPr>
                <w:rFonts w:ascii="Arial" w:eastAsia="Arial" w:hAnsi="Arial" w:cs="Arial"/>
                <w:b w:val="0"/>
                <w:sz w:val="24"/>
              </w:rPr>
              <w:t xml:space="preserve"> of the processing </w:t>
            </w:r>
          </w:p>
        </w:tc>
        <w:tc>
          <w:tcPr>
            <w:tcW w:w="7372" w:type="dxa"/>
            <w:tcBorders>
              <w:top w:val="single" w:sz="4" w:space="0" w:color="000000"/>
              <w:left w:val="single" w:sz="4" w:space="0" w:color="000000"/>
              <w:bottom w:val="single" w:sz="4" w:space="0" w:color="000000"/>
              <w:right w:val="single" w:sz="4" w:space="0" w:color="000000"/>
            </w:tcBorders>
          </w:tcPr>
          <w:p w14:paraId="34A97E29" w14:textId="77777777" w:rsidR="00526D14" w:rsidRDefault="002E24F0">
            <w:pPr>
              <w:spacing w:after="117"/>
              <w:ind w:left="0" w:right="0" w:firstLine="0"/>
              <w:jc w:val="left"/>
            </w:pPr>
            <w:r>
              <w:rPr>
                <w:rFonts w:ascii="Arial" w:eastAsia="Arial" w:hAnsi="Arial" w:cs="Arial"/>
                <w:b w:val="0"/>
                <w:sz w:val="24"/>
              </w:rPr>
              <w:t xml:space="preserve">Legal Obligations of the Practice </w:t>
            </w:r>
          </w:p>
          <w:p w14:paraId="6559B6DF" w14:textId="77777777" w:rsidR="00526D14" w:rsidRDefault="002E24F0">
            <w:pPr>
              <w:ind w:left="0" w:right="0" w:firstLine="0"/>
              <w:jc w:val="left"/>
            </w:pPr>
            <w:r>
              <w:rPr>
                <w:rFonts w:ascii="Arial" w:eastAsia="Arial" w:hAnsi="Arial" w:cs="Arial"/>
                <w:b w:val="0"/>
                <w:sz w:val="24"/>
              </w:rPr>
              <w:t xml:space="preserve"> </w:t>
            </w:r>
          </w:p>
        </w:tc>
      </w:tr>
      <w:tr w:rsidR="00526D14" w14:paraId="7ECCDE1C" w14:textId="77777777">
        <w:trPr>
          <w:trHeight w:val="3737"/>
        </w:trPr>
        <w:tc>
          <w:tcPr>
            <w:tcW w:w="3229" w:type="dxa"/>
            <w:tcBorders>
              <w:top w:val="single" w:sz="4" w:space="0" w:color="000000"/>
              <w:left w:val="single" w:sz="4" w:space="0" w:color="000000"/>
              <w:bottom w:val="single" w:sz="4" w:space="0" w:color="000000"/>
              <w:right w:val="single" w:sz="4" w:space="0" w:color="000000"/>
            </w:tcBorders>
          </w:tcPr>
          <w:p w14:paraId="72F04AB5" w14:textId="77777777" w:rsidR="00526D14" w:rsidRDefault="002E24F0">
            <w:pPr>
              <w:spacing w:after="117"/>
              <w:ind w:left="0" w:right="0" w:firstLine="0"/>
              <w:jc w:val="left"/>
            </w:pPr>
            <w:r>
              <w:rPr>
                <w:rFonts w:ascii="Arial" w:eastAsia="Arial" w:hAnsi="Arial" w:cs="Arial"/>
                <w:b w:val="0"/>
                <w:sz w:val="24"/>
              </w:rPr>
              <w:lastRenderedPageBreak/>
              <w:t xml:space="preserve">4) </w:t>
            </w:r>
            <w:r>
              <w:rPr>
                <w:rFonts w:ascii="Arial" w:eastAsia="Arial" w:hAnsi="Arial" w:cs="Arial"/>
                <w:sz w:val="24"/>
              </w:rPr>
              <w:t xml:space="preserve">The Lawfulness </w:t>
            </w:r>
          </w:p>
          <w:p w14:paraId="076EFDC4" w14:textId="77777777" w:rsidR="00526D14" w:rsidRDefault="002E24F0">
            <w:pPr>
              <w:spacing w:after="115"/>
              <w:ind w:left="0" w:right="0" w:firstLine="0"/>
              <w:jc w:val="left"/>
            </w:pPr>
            <w:r>
              <w:rPr>
                <w:rFonts w:ascii="Arial" w:eastAsia="Arial" w:hAnsi="Arial" w:cs="Arial"/>
                <w:sz w:val="24"/>
              </w:rPr>
              <w:t xml:space="preserve">Conditions and Special </w:t>
            </w:r>
          </w:p>
          <w:p w14:paraId="4809ECFE" w14:textId="77777777" w:rsidR="00526D14" w:rsidRDefault="002E24F0">
            <w:pPr>
              <w:ind w:left="0" w:right="0" w:firstLine="0"/>
              <w:jc w:val="left"/>
            </w:pPr>
            <w:r>
              <w:rPr>
                <w:rFonts w:ascii="Arial" w:eastAsia="Arial" w:hAnsi="Arial" w:cs="Arial"/>
                <w:sz w:val="24"/>
              </w:rPr>
              <w:t xml:space="preserve">Categories </w:t>
            </w:r>
          </w:p>
        </w:tc>
        <w:tc>
          <w:tcPr>
            <w:tcW w:w="7372" w:type="dxa"/>
            <w:tcBorders>
              <w:top w:val="single" w:sz="4" w:space="0" w:color="000000"/>
              <w:left w:val="single" w:sz="4" w:space="0" w:color="000000"/>
              <w:bottom w:val="single" w:sz="4" w:space="0" w:color="000000"/>
              <w:right w:val="single" w:sz="4" w:space="0" w:color="000000"/>
            </w:tcBorders>
          </w:tcPr>
          <w:p w14:paraId="3FD5AD3B" w14:textId="77777777" w:rsidR="00526D14" w:rsidRDefault="002E24F0">
            <w:pPr>
              <w:spacing w:line="361" w:lineRule="auto"/>
              <w:ind w:left="0" w:right="0" w:firstLine="0"/>
              <w:jc w:val="left"/>
            </w:pPr>
            <w:r>
              <w:rPr>
                <w:rFonts w:ascii="Arial" w:eastAsia="Arial" w:hAnsi="Arial" w:cs="Arial"/>
                <w:b w:val="0"/>
                <w:sz w:val="24"/>
              </w:rPr>
              <w:t xml:space="preserve">The lawful justifications for the processing and possible sharing of this data under Data Protection Legislation are - </w:t>
            </w:r>
          </w:p>
          <w:p w14:paraId="03638BED" w14:textId="77777777" w:rsidR="00526D14" w:rsidRDefault="002E24F0">
            <w:pPr>
              <w:spacing w:after="121"/>
              <w:ind w:left="0" w:right="0" w:firstLine="0"/>
              <w:jc w:val="left"/>
            </w:pPr>
            <w:r>
              <w:rPr>
                <w:rFonts w:ascii="Arial" w:eastAsia="Arial" w:hAnsi="Arial" w:cs="Arial"/>
                <w:b w:val="0"/>
                <w:sz w:val="24"/>
              </w:rPr>
              <w:t xml:space="preserve"> </w:t>
            </w:r>
          </w:p>
          <w:p w14:paraId="1CFBAE42" w14:textId="77777777" w:rsidR="00526D14" w:rsidRDefault="002E24F0">
            <w:pPr>
              <w:spacing w:line="366" w:lineRule="auto"/>
              <w:ind w:left="0" w:right="0" w:firstLine="0"/>
              <w:jc w:val="left"/>
            </w:pPr>
            <w:r>
              <w:rPr>
                <w:rFonts w:ascii="Arial" w:eastAsia="Arial" w:hAnsi="Arial" w:cs="Arial"/>
                <w:b w:val="0"/>
                <w:sz w:val="24"/>
              </w:rPr>
              <w:t xml:space="preserve">Article 6(1)(c) “the processing is necessary for compliance with any legal obligation to which the controller is subject”. </w:t>
            </w:r>
          </w:p>
          <w:p w14:paraId="7E58E56D" w14:textId="77777777" w:rsidR="00526D14" w:rsidRDefault="002E24F0">
            <w:pPr>
              <w:spacing w:after="116"/>
              <w:ind w:left="0" w:right="0" w:firstLine="0"/>
              <w:jc w:val="left"/>
            </w:pPr>
            <w:r>
              <w:rPr>
                <w:rFonts w:ascii="Arial" w:eastAsia="Arial" w:hAnsi="Arial" w:cs="Arial"/>
                <w:b w:val="0"/>
                <w:sz w:val="24"/>
              </w:rPr>
              <w:t xml:space="preserve"> </w:t>
            </w:r>
          </w:p>
          <w:p w14:paraId="3366836E" w14:textId="77777777" w:rsidR="00526D14" w:rsidRDefault="002E24F0">
            <w:pPr>
              <w:ind w:left="0" w:right="26" w:firstLine="0"/>
              <w:jc w:val="left"/>
            </w:pPr>
            <w:r>
              <w:rPr>
                <w:rFonts w:ascii="Arial" w:eastAsia="Arial" w:hAnsi="Arial" w:cs="Arial"/>
                <w:b w:val="0"/>
                <w:sz w:val="24"/>
              </w:rPr>
              <w:t>Article 9(f) “</w:t>
            </w:r>
            <w:r>
              <w:rPr>
                <w:rFonts w:ascii="Arial" w:eastAsia="Arial" w:hAnsi="Arial" w:cs="Arial"/>
                <w:b w:val="0"/>
                <w:sz w:val="24"/>
              </w:rPr>
              <w:t xml:space="preserve">the processing is necessary for the establishment, exercise or defence of legal claims or whenever courts are acting in their judicial capacity” </w:t>
            </w:r>
          </w:p>
        </w:tc>
      </w:tr>
      <w:tr w:rsidR="00526D14" w14:paraId="57A2E146" w14:textId="77777777">
        <w:trPr>
          <w:trHeight w:val="1284"/>
        </w:trPr>
        <w:tc>
          <w:tcPr>
            <w:tcW w:w="3229" w:type="dxa"/>
            <w:tcBorders>
              <w:top w:val="single" w:sz="4" w:space="0" w:color="000000"/>
              <w:left w:val="single" w:sz="4" w:space="0" w:color="000000"/>
              <w:bottom w:val="single" w:sz="4" w:space="0" w:color="000000"/>
              <w:right w:val="single" w:sz="4" w:space="0" w:color="000000"/>
            </w:tcBorders>
          </w:tcPr>
          <w:p w14:paraId="1471DF7F" w14:textId="77777777" w:rsidR="00526D14" w:rsidRDefault="002E24F0">
            <w:pPr>
              <w:ind w:left="0" w:right="0" w:firstLine="0"/>
              <w:jc w:val="left"/>
            </w:pPr>
            <w:r>
              <w:rPr>
                <w:rFonts w:ascii="Arial" w:eastAsia="Arial" w:hAnsi="Arial" w:cs="Arial"/>
                <w:b w:val="0"/>
                <w:sz w:val="24"/>
              </w:rPr>
              <w:t xml:space="preserve">5) </w:t>
            </w:r>
            <w:r>
              <w:rPr>
                <w:rFonts w:ascii="Arial" w:eastAsia="Arial" w:hAnsi="Arial" w:cs="Arial"/>
                <w:sz w:val="24"/>
              </w:rPr>
              <w:t xml:space="preserve">Recipient or categories of recipients </w:t>
            </w:r>
            <w:r>
              <w:rPr>
                <w:rFonts w:ascii="Arial" w:eastAsia="Arial" w:hAnsi="Arial" w:cs="Arial"/>
                <w:b w:val="0"/>
                <w:sz w:val="24"/>
              </w:rPr>
              <w:t xml:space="preserve">of the shared data </w:t>
            </w:r>
          </w:p>
        </w:tc>
        <w:tc>
          <w:tcPr>
            <w:tcW w:w="7372" w:type="dxa"/>
            <w:tcBorders>
              <w:top w:val="single" w:sz="4" w:space="0" w:color="000000"/>
              <w:left w:val="single" w:sz="4" w:space="0" w:color="000000"/>
              <w:bottom w:val="single" w:sz="4" w:space="0" w:color="000000"/>
              <w:right w:val="single" w:sz="4" w:space="0" w:color="000000"/>
            </w:tcBorders>
          </w:tcPr>
          <w:p w14:paraId="6F97C068" w14:textId="77777777" w:rsidR="00526D14" w:rsidRDefault="002E24F0">
            <w:pPr>
              <w:spacing w:after="133"/>
              <w:ind w:left="0" w:right="0" w:firstLine="0"/>
              <w:jc w:val="left"/>
            </w:pPr>
            <w:r>
              <w:rPr>
                <w:rFonts w:ascii="Arial" w:eastAsia="Arial" w:hAnsi="Arial" w:cs="Arial"/>
                <w:b w:val="0"/>
                <w:sz w:val="24"/>
              </w:rPr>
              <w:t xml:space="preserve">The data may </w:t>
            </w:r>
            <w:r>
              <w:rPr>
                <w:rFonts w:ascii="Arial" w:eastAsia="Arial" w:hAnsi="Arial" w:cs="Arial"/>
                <w:b w:val="0"/>
                <w:sz w:val="24"/>
              </w:rPr>
              <w:t>be shared with organisations such as</w:t>
            </w:r>
            <w:r>
              <w:rPr>
                <w:rFonts w:ascii="Arial" w:eastAsia="Arial" w:hAnsi="Arial" w:cs="Arial"/>
                <w:color w:val="FF0000"/>
                <w:sz w:val="24"/>
              </w:rPr>
              <w:t xml:space="preserve"> </w:t>
            </w:r>
          </w:p>
          <w:p w14:paraId="2BBD5B9B" w14:textId="77777777" w:rsidR="00526D14" w:rsidRDefault="002E24F0">
            <w:pPr>
              <w:numPr>
                <w:ilvl w:val="0"/>
                <w:numId w:val="1"/>
              </w:numPr>
              <w:spacing w:after="91"/>
              <w:ind w:right="0" w:hanging="360"/>
              <w:jc w:val="left"/>
            </w:pPr>
            <w:r>
              <w:rPr>
                <w:rFonts w:ascii="Arial" w:eastAsia="Arial" w:hAnsi="Arial" w:cs="Arial"/>
                <w:b w:val="0"/>
                <w:sz w:val="24"/>
              </w:rPr>
              <w:t xml:space="preserve">Our solicitors or legal team </w:t>
            </w:r>
          </w:p>
          <w:p w14:paraId="1A700CAC" w14:textId="77777777" w:rsidR="00526D14" w:rsidRDefault="002E24F0">
            <w:pPr>
              <w:numPr>
                <w:ilvl w:val="0"/>
                <w:numId w:val="1"/>
              </w:numPr>
              <w:ind w:right="0" w:hanging="360"/>
              <w:jc w:val="left"/>
            </w:pPr>
            <w:r>
              <w:rPr>
                <w:rFonts w:ascii="Arial" w:eastAsia="Arial" w:hAnsi="Arial" w:cs="Arial"/>
                <w:b w:val="0"/>
                <w:sz w:val="24"/>
              </w:rPr>
              <w:t xml:space="preserve">The Court processing the claim. </w:t>
            </w:r>
          </w:p>
        </w:tc>
      </w:tr>
    </w:tbl>
    <w:p w14:paraId="1EA91C83" w14:textId="77777777" w:rsidR="00526D14" w:rsidRDefault="002E24F0">
      <w:pPr>
        <w:ind w:right="1718"/>
      </w:pPr>
      <w:r>
        <w:t xml:space="preserve">Privacy Notice </w:t>
      </w:r>
      <w:r>
        <w:t>–</w:t>
      </w:r>
      <w:r>
        <w:t xml:space="preserve"> Litigations &amp; Claims </w:t>
      </w:r>
    </w:p>
    <w:p w14:paraId="58B79E83" w14:textId="77777777" w:rsidR="00526D14" w:rsidRDefault="002E24F0">
      <w:pPr>
        <w:ind w:left="-732" w:right="0" w:firstLine="0"/>
        <w:jc w:val="left"/>
      </w:pPr>
      <w:r>
        <w:t xml:space="preserve"> </w:t>
      </w:r>
    </w:p>
    <w:tbl>
      <w:tblPr>
        <w:tblStyle w:val="TableGrid"/>
        <w:tblW w:w="10601" w:type="dxa"/>
        <w:tblInd w:w="-727" w:type="dxa"/>
        <w:tblCellMar>
          <w:top w:w="13" w:type="dxa"/>
          <w:left w:w="108" w:type="dxa"/>
          <w:bottom w:w="0" w:type="dxa"/>
          <w:right w:w="44" w:type="dxa"/>
        </w:tblCellMar>
        <w:tblLook w:val="04A0" w:firstRow="1" w:lastRow="0" w:firstColumn="1" w:lastColumn="0" w:noHBand="0" w:noVBand="1"/>
      </w:tblPr>
      <w:tblGrid>
        <w:gridCol w:w="3229"/>
        <w:gridCol w:w="7372"/>
      </w:tblGrid>
      <w:tr w:rsidR="00526D14" w14:paraId="2BC2289F" w14:textId="77777777">
        <w:trPr>
          <w:trHeight w:val="2096"/>
        </w:trPr>
        <w:tc>
          <w:tcPr>
            <w:tcW w:w="3229" w:type="dxa"/>
            <w:tcBorders>
              <w:top w:val="single" w:sz="4" w:space="0" w:color="000000"/>
              <w:left w:val="single" w:sz="4" w:space="0" w:color="000000"/>
              <w:bottom w:val="single" w:sz="4" w:space="0" w:color="000000"/>
              <w:right w:val="single" w:sz="4" w:space="0" w:color="000000"/>
            </w:tcBorders>
          </w:tcPr>
          <w:p w14:paraId="1748E806" w14:textId="77777777" w:rsidR="00526D14" w:rsidRDefault="00526D14">
            <w:pPr>
              <w:spacing w:after="160"/>
              <w:ind w:left="0" w:right="0" w:firstLine="0"/>
              <w:jc w:val="left"/>
            </w:pPr>
          </w:p>
        </w:tc>
        <w:tc>
          <w:tcPr>
            <w:tcW w:w="7372" w:type="dxa"/>
            <w:tcBorders>
              <w:top w:val="single" w:sz="4" w:space="0" w:color="000000"/>
              <w:left w:val="single" w:sz="4" w:space="0" w:color="000000"/>
              <w:bottom w:val="single" w:sz="4" w:space="0" w:color="000000"/>
              <w:right w:val="single" w:sz="4" w:space="0" w:color="000000"/>
            </w:tcBorders>
          </w:tcPr>
          <w:p w14:paraId="62F9FF40" w14:textId="77777777" w:rsidR="00526D14" w:rsidRDefault="002E24F0">
            <w:pPr>
              <w:ind w:left="720" w:right="0" w:hanging="360"/>
              <w:jc w:val="left"/>
            </w:pPr>
            <w:r>
              <w:rPr>
                <w:rFonts w:ascii="Segoe UI Symbol" w:eastAsia="Segoe UI Symbol" w:hAnsi="Segoe UI Symbol" w:cs="Segoe UI Symbol"/>
                <w:b w:val="0"/>
                <w:sz w:val="24"/>
              </w:rPr>
              <w:t>•</w:t>
            </w:r>
            <w:r>
              <w:rPr>
                <w:rFonts w:ascii="Arial" w:eastAsia="Arial" w:hAnsi="Arial" w:cs="Arial"/>
                <w:b w:val="0"/>
                <w:sz w:val="24"/>
              </w:rPr>
              <w:t xml:space="preserve"> </w:t>
            </w:r>
            <w:r>
              <w:rPr>
                <w:rFonts w:ascii="Arial" w:eastAsia="Arial" w:hAnsi="Arial" w:cs="Arial"/>
                <w:b w:val="0"/>
                <w:sz w:val="24"/>
              </w:rPr>
              <w:t>Any regulatory body who has a statutory basis for evidencing, overseeing, investigating, or substantiating litigation, a claim or national or professional standards such as the GMC, the Care Quality Commission and other bodies or the outcomes of such action.</w:t>
            </w:r>
            <w:r>
              <w:rPr>
                <w:rFonts w:ascii="Arial" w:eastAsia="Arial" w:hAnsi="Arial" w:cs="Arial"/>
                <w:color w:val="FF0000"/>
                <w:sz w:val="24"/>
              </w:rPr>
              <w:t xml:space="preserve"> </w:t>
            </w:r>
          </w:p>
        </w:tc>
      </w:tr>
      <w:tr w:rsidR="00526D14" w14:paraId="4DBDE339" w14:textId="77777777">
        <w:trPr>
          <w:trHeight w:val="7544"/>
        </w:trPr>
        <w:tc>
          <w:tcPr>
            <w:tcW w:w="3229" w:type="dxa"/>
            <w:tcBorders>
              <w:top w:val="single" w:sz="4" w:space="0" w:color="000000"/>
              <w:left w:val="single" w:sz="4" w:space="0" w:color="000000"/>
              <w:bottom w:val="single" w:sz="4" w:space="0" w:color="000000"/>
              <w:right w:val="single" w:sz="4" w:space="0" w:color="000000"/>
            </w:tcBorders>
          </w:tcPr>
          <w:p w14:paraId="529D2497" w14:textId="77777777" w:rsidR="00526D14" w:rsidRDefault="002E24F0">
            <w:pPr>
              <w:ind w:left="0" w:right="0" w:firstLine="0"/>
              <w:jc w:val="left"/>
            </w:pPr>
            <w:r>
              <w:rPr>
                <w:rFonts w:ascii="Arial" w:eastAsia="Arial" w:hAnsi="Arial" w:cs="Arial"/>
                <w:b w:val="0"/>
                <w:sz w:val="24"/>
              </w:rPr>
              <w:lastRenderedPageBreak/>
              <w:t xml:space="preserve">6) </w:t>
            </w:r>
            <w:r>
              <w:rPr>
                <w:rFonts w:ascii="Arial" w:eastAsia="Arial" w:hAnsi="Arial" w:cs="Arial"/>
                <w:sz w:val="24"/>
              </w:rPr>
              <w:t>Rights to object</w:t>
            </w:r>
            <w:r>
              <w:rPr>
                <w:rFonts w:ascii="Arial" w:eastAsia="Arial" w:hAnsi="Arial" w:cs="Arial"/>
                <w:b w:val="0"/>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7191A3F9" w14:textId="77777777" w:rsidR="00526D14" w:rsidRDefault="002E24F0">
            <w:pPr>
              <w:spacing w:after="4" w:line="360" w:lineRule="auto"/>
              <w:ind w:left="0" w:right="0" w:firstLine="0"/>
              <w:jc w:val="left"/>
            </w:pPr>
            <w:r>
              <w:rPr>
                <w:rFonts w:ascii="Arial" w:eastAsia="Arial" w:hAnsi="Arial" w:cs="Arial"/>
                <w:b w:val="0"/>
                <w:sz w:val="24"/>
              </w:rPr>
              <w:t xml:space="preserve">You have the right under Article 21 of the GDPR to object to your personal information being processed. Please contact the Practice if you wish to object to the processing of your data. You should be aware that this is a right to raise an objection which is not the same as having an absolute right to have your wishes granted in every circumstance. </w:t>
            </w:r>
          </w:p>
          <w:p w14:paraId="7B4C6F9B" w14:textId="77777777" w:rsidR="00526D14" w:rsidRDefault="002E24F0">
            <w:pPr>
              <w:spacing w:after="19" w:line="360" w:lineRule="auto"/>
              <w:ind w:left="0" w:right="0" w:firstLine="0"/>
              <w:jc w:val="left"/>
            </w:pPr>
            <w:r>
              <w:rPr>
                <w:rFonts w:ascii="Arial" w:eastAsia="Arial" w:hAnsi="Arial" w:cs="Arial"/>
                <w:b w:val="0"/>
                <w:sz w:val="24"/>
              </w:rPr>
              <w:t xml:space="preserve">Practice’s process personal data under Article 6(1)(c) on a lawful and legitimate basis where the organisation is obliged under law to comply with  </w:t>
            </w:r>
          </w:p>
          <w:p w14:paraId="3E6279BB" w14:textId="77777777" w:rsidR="00526D14" w:rsidRDefault="002E24F0">
            <w:pPr>
              <w:numPr>
                <w:ilvl w:val="0"/>
                <w:numId w:val="2"/>
              </w:numPr>
              <w:spacing w:after="89"/>
              <w:ind w:right="0" w:firstLine="360"/>
              <w:jc w:val="left"/>
            </w:pPr>
            <w:r>
              <w:rPr>
                <w:rFonts w:ascii="Arial" w:eastAsia="Arial" w:hAnsi="Arial" w:cs="Arial"/>
                <w:b w:val="0"/>
                <w:sz w:val="24"/>
              </w:rPr>
              <w:t xml:space="preserve">The UK General Data Protection Regulations (GDPR) </w:t>
            </w:r>
          </w:p>
          <w:p w14:paraId="62E4CE7A" w14:textId="77777777" w:rsidR="00526D14" w:rsidRDefault="002E24F0">
            <w:pPr>
              <w:numPr>
                <w:ilvl w:val="0"/>
                <w:numId w:val="2"/>
              </w:numPr>
              <w:spacing w:after="89"/>
              <w:ind w:right="0" w:firstLine="360"/>
              <w:jc w:val="left"/>
            </w:pPr>
            <w:r>
              <w:rPr>
                <w:rFonts w:ascii="Arial" w:eastAsia="Arial" w:hAnsi="Arial" w:cs="Arial"/>
                <w:b w:val="0"/>
                <w:sz w:val="24"/>
              </w:rPr>
              <w:t xml:space="preserve">The Data Protection Act 2018 </w:t>
            </w:r>
          </w:p>
          <w:p w14:paraId="7ED20C76" w14:textId="77777777" w:rsidR="00526D14" w:rsidRDefault="002E24F0">
            <w:pPr>
              <w:numPr>
                <w:ilvl w:val="0"/>
                <w:numId w:val="2"/>
              </w:numPr>
              <w:spacing w:after="90"/>
              <w:ind w:right="0" w:firstLine="360"/>
              <w:jc w:val="left"/>
            </w:pPr>
            <w:r>
              <w:rPr>
                <w:rFonts w:ascii="Arial" w:eastAsia="Arial" w:hAnsi="Arial" w:cs="Arial"/>
                <w:b w:val="0"/>
                <w:sz w:val="24"/>
              </w:rPr>
              <w:t xml:space="preserve">The Freedom of Information Act </w:t>
            </w:r>
          </w:p>
          <w:p w14:paraId="5B350B85" w14:textId="77777777" w:rsidR="00526D14" w:rsidRDefault="002E24F0">
            <w:pPr>
              <w:numPr>
                <w:ilvl w:val="0"/>
                <w:numId w:val="2"/>
              </w:numPr>
              <w:spacing w:after="88"/>
              <w:ind w:right="0" w:firstLine="360"/>
              <w:jc w:val="left"/>
            </w:pPr>
            <w:r>
              <w:rPr>
                <w:rFonts w:ascii="Arial" w:eastAsia="Arial" w:hAnsi="Arial" w:cs="Arial"/>
                <w:b w:val="0"/>
                <w:sz w:val="24"/>
              </w:rPr>
              <w:t xml:space="preserve">The NHS Constitution </w:t>
            </w:r>
          </w:p>
          <w:p w14:paraId="1D07C283" w14:textId="77777777" w:rsidR="00526D14" w:rsidRDefault="002E24F0">
            <w:pPr>
              <w:numPr>
                <w:ilvl w:val="0"/>
                <w:numId w:val="2"/>
              </w:numPr>
              <w:ind w:right="0" w:firstLine="360"/>
              <w:jc w:val="left"/>
            </w:pPr>
            <w:r>
              <w:rPr>
                <w:rFonts w:ascii="Arial" w:eastAsia="Arial" w:hAnsi="Arial" w:cs="Arial"/>
                <w:b w:val="0"/>
                <w:sz w:val="24"/>
              </w:rPr>
              <w:t xml:space="preserve">The Local Authority Social Services and National Health Service Complaints (England) Regulations </w:t>
            </w:r>
            <w:proofErr w:type="gramStart"/>
            <w:r>
              <w:rPr>
                <w:rFonts w:ascii="Arial" w:eastAsia="Arial" w:hAnsi="Arial" w:cs="Arial"/>
                <w:b w:val="0"/>
                <w:sz w:val="24"/>
              </w:rPr>
              <w:t>2009  By</w:t>
            </w:r>
            <w:proofErr w:type="gramEnd"/>
            <w:r>
              <w:rPr>
                <w:rFonts w:ascii="Arial" w:eastAsia="Arial" w:hAnsi="Arial" w:cs="Arial"/>
                <w:b w:val="0"/>
                <w:sz w:val="24"/>
              </w:rPr>
              <w:t xml:space="preserve"> complying with these laws, the Practice has compelling legitimate grounds for the processing which override the interests, rights and freedoms in the right to object. </w:t>
            </w:r>
          </w:p>
        </w:tc>
      </w:tr>
      <w:tr w:rsidR="00526D14" w14:paraId="703C80D5" w14:textId="77777777">
        <w:trPr>
          <w:trHeight w:val="1251"/>
        </w:trPr>
        <w:tc>
          <w:tcPr>
            <w:tcW w:w="3229" w:type="dxa"/>
            <w:tcBorders>
              <w:top w:val="single" w:sz="4" w:space="0" w:color="000000"/>
              <w:left w:val="single" w:sz="4" w:space="0" w:color="000000"/>
              <w:bottom w:val="single" w:sz="4" w:space="0" w:color="000000"/>
              <w:right w:val="single" w:sz="4" w:space="0" w:color="000000"/>
            </w:tcBorders>
          </w:tcPr>
          <w:p w14:paraId="08C2CE10" w14:textId="77777777" w:rsidR="00526D14" w:rsidRDefault="002E24F0">
            <w:pPr>
              <w:ind w:left="0" w:right="0" w:firstLine="0"/>
              <w:jc w:val="left"/>
            </w:pPr>
            <w:r>
              <w:rPr>
                <w:rFonts w:ascii="Arial" w:eastAsia="Arial" w:hAnsi="Arial" w:cs="Arial"/>
                <w:b w:val="0"/>
                <w:sz w:val="24"/>
              </w:rPr>
              <w:t xml:space="preserve">7) </w:t>
            </w:r>
            <w:r>
              <w:rPr>
                <w:rFonts w:ascii="Arial" w:eastAsia="Arial" w:hAnsi="Arial" w:cs="Arial"/>
                <w:sz w:val="24"/>
              </w:rPr>
              <w:t>Right to access and correct</w:t>
            </w:r>
            <w:r>
              <w:rPr>
                <w:rFonts w:ascii="Arial" w:eastAsia="Arial" w:hAnsi="Arial" w:cs="Arial"/>
                <w:b w:val="0"/>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3467F2D0" w14:textId="77777777" w:rsidR="00526D14" w:rsidRDefault="002E24F0">
            <w:pPr>
              <w:spacing w:after="2" w:line="359" w:lineRule="auto"/>
              <w:ind w:left="0" w:right="0" w:firstLine="0"/>
              <w:jc w:val="left"/>
            </w:pPr>
            <w:r>
              <w:rPr>
                <w:rFonts w:ascii="Arial" w:eastAsia="Arial" w:hAnsi="Arial" w:cs="Arial"/>
                <w:b w:val="0"/>
                <w:sz w:val="24"/>
              </w:rPr>
              <w:t xml:space="preserve">You have the right to access any identifiable personal data that is being processed or shared and to have any inaccuracies corrected. </w:t>
            </w:r>
          </w:p>
          <w:p w14:paraId="12DAD57B" w14:textId="77777777" w:rsidR="00526D14" w:rsidRDefault="002E24F0">
            <w:pPr>
              <w:ind w:left="0" w:right="0" w:firstLine="0"/>
              <w:jc w:val="left"/>
            </w:pPr>
            <w:r>
              <w:rPr>
                <w:rFonts w:ascii="Arial" w:eastAsia="Arial" w:hAnsi="Arial" w:cs="Arial"/>
                <w:b w:val="0"/>
                <w:sz w:val="24"/>
              </w:rPr>
              <w:t xml:space="preserve"> </w:t>
            </w:r>
          </w:p>
        </w:tc>
      </w:tr>
      <w:tr w:rsidR="00526D14" w14:paraId="0CED37C7"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5C277193" w14:textId="77777777" w:rsidR="00526D14" w:rsidRDefault="002E24F0">
            <w:pPr>
              <w:ind w:left="0" w:right="0" w:firstLine="0"/>
              <w:jc w:val="left"/>
            </w:pPr>
            <w:r>
              <w:rPr>
                <w:rFonts w:ascii="Arial" w:eastAsia="Arial" w:hAnsi="Arial" w:cs="Arial"/>
                <w:b w:val="0"/>
                <w:sz w:val="24"/>
              </w:rPr>
              <w:t>8</w:t>
            </w:r>
            <w:r>
              <w:rPr>
                <w:rFonts w:ascii="Arial" w:eastAsia="Arial" w:hAnsi="Arial" w:cs="Arial"/>
                <w:sz w:val="24"/>
              </w:rPr>
              <w:t>) Retention period</w:t>
            </w:r>
            <w:r>
              <w:rPr>
                <w:rFonts w:ascii="Arial" w:eastAsia="Arial" w:hAnsi="Arial" w:cs="Arial"/>
                <w:b w:val="0"/>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703CFA87" w14:textId="77777777" w:rsidR="00526D14" w:rsidRDefault="002E24F0">
            <w:pPr>
              <w:spacing w:line="361" w:lineRule="auto"/>
              <w:ind w:left="0" w:right="0" w:firstLine="0"/>
              <w:jc w:val="left"/>
            </w:pPr>
            <w:r>
              <w:rPr>
                <w:rFonts w:ascii="Arial" w:eastAsia="Arial" w:hAnsi="Arial" w:cs="Arial"/>
                <w:b w:val="0"/>
                <w:sz w:val="24"/>
              </w:rPr>
              <w:t xml:space="preserve">The data will be retained for the period as specified in the </w:t>
            </w:r>
            <w:r>
              <w:rPr>
                <w:rFonts w:ascii="Arial" w:eastAsia="Arial" w:hAnsi="Arial" w:cs="Arial"/>
                <w:b w:val="0"/>
                <w:sz w:val="24"/>
              </w:rPr>
              <w:t xml:space="preserve">national records retention schedule.  </w:t>
            </w:r>
          </w:p>
          <w:p w14:paraId="6E63FCFC" w14:textId="77777777" w:rsidR="00526D14" w:rsidRDefault="002E24F0">
            <w:pPr>
              <w:ind w:left="0" w:right="0" w:firstLine="0"/>
              <w:jc w:val="left"/>
            </w:pPr>
            <w:r>
              <w:rPr>
                <w:rFonts w:ascii="Arial" w:eastAsia="Arial" w:hAnsi="Arial" w:cs="Arial"/>
                <w:b w:val="0"/>
                <w:sz w:val="24"/>
              </w:rPr>
              <w:t xml:space="preserve"> </w:t>
            </w:r>
          </w:p>
        </w:tc>
      </w:tr>
      <w:tr w:rsidR="00526D14" w14:paraId="3B67C493" w14:textId="77777777">
        <w:trPr>
          <w:trHeight w:val="2081"/>
        </w:trPr>
        <w:tc>
          <w:tcPr>
            <w:tcW w:w="3229" w:type="dxa"/>
            <w:tcBorders>
              <w:top w:val="single" w:sz="4" w:space="0" w:color="000000"/>
              <w:left w:val="single" w:sz="4" w:space="0" w:color="000000"/>
              <w:bottom w:val="single" w:sz="4" w:space="0" w:color="000000"/>
              <w:right w:val="single" w:sz="4" w:space="0" w:color="000000"/>
            </w:tcBorders>
          </w:tcPr>
          <w:p w14:paraId="038173E3" w14:textId="77777777" w:rsidR="00526D14" w:rsidRDefault="002E24F0">
            <w:pPr>
              <w:ind w:left="0" w:right="0" w:firstLine="0"/>
              <w:jc w:val="left"/>
            </w:pPr>
            <w:r>
              <w:rPr>
                <w:rFonts w:ascii="Arial" w:eastAsia="Arial" w:hAnsi="Arial" w:cs="Arial"/>
                <w:b w:val="0"/>
                <w:sz w:val="24"/>
              </w:rPr>
              <w:t xml:space="preserve">9)  </w:t>
            </w:r>
            <w:r>
              <w:rPr>
                <w:rFonts w:ascii="Arial" w:eastAsia="Arial" w:hAnsi="Arial" w:cs="Arial"/>
                <w:sz w:val="24"/>
              </w:rPr>
              <w:t>Right to Complain</w:t>
            </w:r>
            <w:r>
              <w:rPr>
                <w:rFonts w:ascii="Arial" w:eastAsia="Arial" w:hAnsi="Arial" w:cs="Arial"/>
                <w:b w:val="0"/>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18476D7C" w14:textId="77777777" w:rsidR="00526D14" w:rsidRDefault="002E24F0">
            <w:pPr>
              <w:spacing w:after="2" w:line="360" w:lineRule="auto"/>
              <w:ind w:left="0" w:right="273" w:firstLine="0"/>
              <w:jc w:val="left"/>
            </w:pPr>
            <w:r>
              <w:rPr>
                <w:rFonts w:ascii="Arial" w:eastAsia="Arial" w:hAnsi="Arial" w:cs="Arial"/>
                <w:b w:val="0"/>
                <w:sz w:val="24"/>
              </w:rPr>
              <w:t>You have the right to complain to the Information Commissioner’s Office, you can use this link</w:t>
            </w:r>
            <w:hyperlink r:id="rId8">
              <w:r>
                <w:rPr>
                  <w:rFonts w:ascii="Arial" w:eastAsia="Arial" w:hAnsi="Arial" w:cs="Arial"/>
                  <w:b w:val="0"/>
                  <w:sz w:val="24"/>
                </w:rPr>
                <w:t xml:space="preserve"> </w:t>
              </w:r>
            </w:hyperlink>
            <w:hyperlink r:id="rId9">
              <w:r>
                <w:rPr>
                  <w:rFonts w:ascii="Arial" w:eastAsia="Arial" w:hAnsi="Arial" w:cs="Arial"/>
                  <w:b w:val="0"/>
                  <w:color w:val="0000FF"/>
                  <w:sz w:val="24"/>
                  <w:u w:val="single" w:color="0000FF"/>
                </w:rPr>
                <w:t>https://ico.org.uk/make</w:t>
              </w:r>
            </w:hyperlink>
            <w:hyperlink r:id="rId10">
              <w:r>
                <w:rPr>
                  <w:rFonts w:ascii="Arial" w:eastAsia="Arial" w:hAnsi="Arial" w:cs="Arial"/>
                  <w:b w:val="0"/>
                  <w:color w:val="0000FF"/>
                  <w:sz w:val="24"/>
                  <w:u w:val="single" w:color="0000FF"/>
                </w:rPr>
                <w:t>-</w:t>
              </w:r>
            </w:hyperlink>
            <w:hyperlink r:id="rId11">
              <w:r>
                <w:rPr>
                  <w:rFonts w:ascii="Arial" w:eastAsia="Arial" w:hAnsi="Arial" w:cs="Arial"/>
                  <w:b w:val="0"/>
                  <w:color w:val="0000FF"/>
                  <w:sz w:val="24"/>
                  <w:u w:val="single" w:color="0000FF"/>
                </w:rPr>
                <w:t>a</w:t>
              </w:r>
            </w:hyperlink>
            <w:hyperlink r:id="rId12"/>
            <w:hyperlink r:id="rId13">
              <w:r>
                <w:rPr>
                  <w:rFonts w:ascii="Arial" w:eastAsia="Arial" w:hAnsi="Arial" w:cs="Arial"/>
                  <w:b w:val="0"/>
                  <w:color w:val="0000FF"/>
                  <w:sz w:val="24"/>
                  <w:u w:val="single" w:color="0000FF"/>
                </w:rPr>
                <w:t>complaint/data</w:t>
              </w:r>
            </w:hyperlink>
            <w:hyperlink r:id="rId14">
              <w:r>
                <w:rPr>
                  <w:rFonts w:ascii="Arial" w:eastAsia="Arial" w:hAnsi="Arial" w:cs="Arial"/>
                  <w:b w:val="0"/>
                  <w:color w:val="0000FF"/>
                  <w:sz w:val="24"/>
                  <w:u w:val="single" w:color="0000FF"/>
                </w:rPr>
                <w:t>-</w:t>
              </w:r>
            </w:hyperlink>
            <w:hyperlink r:id="rId15">
              <w:r>
                <w:rPr>
                  <w:rFonts w:ascii="Arial" w:eastAsia="Arial" w:hAnsi="Arial" w:cs="Arial"/>
                  <w:b w:val="0"/>
                  <w:color w:val="0000FF"/>
                  <w:sz w:val="24"/>
                  <w:u w:val="single" w:color="0000FF"/>
                </w:rPr>
                <w:t>protection</w:t>
              </w:r>
            </w:hyperlink>
            <w:hyperlink r:id="rId16">
              <w:r>
                <w:rPr>
                  <w:rFonts w:ascii="Arial" w:eastAsia="Arial" w:hAnsi="Arial" w:cs="Arial"/>
                  <w:b w:val="0"/>
                  <w:color w:val="0000FF"/>
                  <w:sz w:val="24"/>
                  <w:u w:val="single" w:color="0000FF"/>
                </w:rPr>
                <w:t>-</w:t>
              </w:r>
            </w:hyperlink>
            <w:hyperlink r:id="rId17">
              <w:r>
                <w:rPr>
                  <w:rFonts w:ascii="Arial" w:eastAsia="Arial" w:hAnsi="Arial" w:cs="Arial"/>
                  <w:b w:val="0"/>
                  <w:color w:val="0000FF"/>
                  <w:sz w:val="24"/>
                  <w:u w:val="single" w:color="0000FF"/>
                </w:rPr>
                <w:t>complaints/</w:t>
              </w:r>
            </w:hyperlink>
            <w:hyperlink r:id="rId18">
              <w:r>
                <w:rPr>
                  <w:rFonts w:ascii="Arial" w:eastAsia="Arial" w:hAnsi="Arial" w:cs="Arial"/>
                  <w:b w:val="0"/>
                  <w:sz w:val="24"/>
                </w:rPr>
                <w:t xml:space="preserve"> </w:t>
              </w:r>
            </w:hyperlink>
            <w:r>
              <w:rPr>
                <w:rFonts w:ascii="Arial" w:eastAsia="Arial" w:hAnsi="Arial" w:cs="Arial"/>
                <w:b w:val="0"/>
                <w:sz w:val="24"/>
              </w:rPr>
              <w:t xml:space="preserve">or calling their helpline Tel: 0303 123 1113 (local rate) or 01625 </w:t>
            </w:r>
          </w:p>
          <w:p w14:paraId="073FF35C" w14:textId="77777777" w:rsidR="00526D14" w:rsidRDefault="002E24F0">
            <w:pPr>
              <w:ind w:left="0" w:right="0" w:firstLine="0"/>
              <w:jc w:val="left"/>
            </w:pPr>
            <w:r>
              <w:rPr>
                <w:rFonts w:ascii="Arial" w:eastAsia="Arial" w:hAnsi="Arial" w:cs="Arial"/>
                <w:b w:val="0"/>
                <w:sz w:val="24"/>
              </w:rPr>
              <w:t xml:space="preserve">545 745 (national rate)  </w:t>
            </w:r>
          </w:p>
        </w:tc>
      </w:tr>
    </w:tbl>
    <w:p w14:paraId="16ECFF11" w14:textId="77777777" w:rsidR="00526D14" w:rsidRDefault="002E24F0">
      <w:pPr>
        <w:ind w:right="1718"/>
      </w:pPr>
      <w:r>
        <w:t xml:space="preserve">Privacy Notice </w:t>
      </w:r>
      <w:r>
        <w:t>–</w:t>
      </w:r>
      <w:r>
        <w:t xml:space="preserve"> Litigations &amp; Claims </w:t>
      </w:r>
    </w:p>
    <w:p w14:paraId="1D01E37A" w14:textId="77777777" w:rsidR="00526D14" w:rsidRDefault="002E24F0">
      <w:pPr>
        <w:ind w:left="-732" w:right="0" w:firstLine="0"/>
        <w:jc w:val="left"/>
      </w:pPr>
      <w:r>
        <w:t xml:space="preserve"> </w:t>
      </w:r>
    </w:p>
    <w:tbl>
      <w:tblPr>
        <w:tblStyle w:val="TableGrid"/>
        <w:tblW w:w="10601" w:type="dxa"/>
        <w:tblInd w:w="-727" w:type="dxa"/>
        <w:tblCellMar>
          <w:top w:w="14" w:type="dxa"/>
          <w:left w:w="108" w:type="dxa"/>
          <w:bottom w:w="0" w:type="dxa"/>
          <w:right w:w="115" w:type="dxa"/>
        </w:tblCellMar>
        <w:tblLook w:val="04A0" w:firstRow="1" w:lastRow="0" w:firstColumn="1" w:lastColumn="0" w:noHBand="0" w:noVBand="1"/>
      </w:tblPr>
      <w:tblGrid>
        <w:gridCol w:w="3229"/>
        <w:gridCol w:w="7372"/>
      </w:tblGrid>
      <w:tr w:rsidR="00526D14" w14:paraId="2A58CB19" w14:textId="77777777">
        <w:trPr>
          <w:trHeight w:val="838"/>
        </w:trPr>
        <w:tc>
          <w:tcPr>
            <w:tcW w:w="3229" w:type="dxa"/>
            <w:tcBorders>
              <w:top w:val="single" w:sz="4" w:space="0" w:color="000000"/>
              <w:left w:val="single" w:sz="4" w:space="0" w:color="000000"/>
              <w:bottom w:val="single" w:sz="4" w:space="0" w:color="000000"/>
              <w:right w:val="single" w:sz="4" w:space="0" w:color="000000"/>
            </w:tcBorders>
          </w:tcPr>
          <w:p w14:paraId="6C8090EA" w14:textId="77777777" w:rsidR="00526D14" w:rsidRDefault="00526D14">
            <w:pPr>
              <w:spacing w:after="160"/>
              <w:ind w:left="0" w:right="0" w:firstLine="0"/>
              <w:jc w:val="left"/>
            </w:pPr>
          </w:p>
        </w:tc>
        <w:tc>
          <w:tcPr>
            <w:tcW w:w="7372" w:type="dxa"/>
            <w:tcBorders>
              <w:top w:val="single" w:sz="4" w:space="0" w:color="000000"/>
              <w:left w:val="single" w:sz="4" w:space="0" w:color="000000"/>
              <w:bottom w:val="single" w:sz="4" w:space="0" w:color="000000"/>
              <w:right w:val="single" w:sz="4" w:space="0" w:color="000000"/>
            </w:tcBorders>
          </w:tcPr>
          <w:p w14:paraId="1B4459CB" w14:textId="77777777" w:rsidR="00526D14" w:rsidRDefault="002E24F0">
            <w:pPr>
              <w:spacing w:after="115"/>
              <w:ind w:left="0" w:right="0" w:firstLine="0"/>
              <w:jc w:val="left"/>
            </w:pPr>
            <w:r>
              <w:rPr>
                <w:rFonts w:ascii="Arial" w:eastAsia="Arial" w:hAnsi="Arial" w:cs="Arial"/>
                <w:b w:val="0"/>
                <w:sz w:val="24"/>
              </w:rPr>
              <w:t xml:space="preserve">There are National Offices for Scotland, Northern Ireland and </w:t>
            </w:r>
          </w:p>
          <w:p w14:paraId="28359318" w14:textId="77777777" w:rsidR="00526D14" w:rsidRDefault="002E24F0">
            <w:pPr>
              <w:ind w:left="0" w:right="0" w:firstLine="0"/>
              <w:jc w:val="left"/>
            </w:pPr>
            <w:r>
              <w:rPr>
                <w:rFonts w:ascii="Arial" w:eastAsia="Arial" w:hAnsi="Arial" w:cs="Arial"/>
                <w:b w:val="0"/>
                <w:sz w:val="24"/>
              </w:rPr>
              <w:t xml:space="preserve">Wales, (see ICO website) </w:t>
            </w:r>
          </w:p>
        </w:tc>
      </w:tr>
    </w:tbl>
    <w:p w14:paraId="2B744D95" w14:textId="77777777" w:rsidR="00526D14" w:rsidRDefault="002E24F0">
      <w:pPr>
        <w:ind w:left="-732" w:right="0" w:firstLine="0"/>
        <w:jc w:val="left"/>
      </w:pPr>
      <w:r>
        <w:rPr>
          <w:rFonts w:ascii="Arial" w:eastAsia="Arial" w:hAnsi="Arial" w:cs="Arial"/>
          <w:b w:val="0"/>
          <w:sz w:val="24"/>
        </w:rPr>
        <w:lastRenderedPageBreak/>
        <w:t xml:space="preserve"> </w:t>
      </w:r>
    </w:p>
    <w:sectPr w:rsidR="00526D14">
      <w:headerReference w:type="even" r:id="rId19"/>
      <w:headerReference w:type="default" r:id="rId20"/>
      <w:headerReference w:type="first" r:id="rId21"/>
      <w:pgSz w:w="11906" w:h="16838"/>
      <w:pgMar w:top="1440" w:right="1440" w:bottom="1006" w:left="1440" w:header="35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BBEA2" w14:textId="77777777" w:rsidR="002E24F0" w:rsidRDefault="002E24F0">
      <w:pPr>
        <w:spacing w:line="240" w:lineRule="auto"/>
      </w:pPr>
      <w:r>
        <w:separator/>
      </w:r>
    </w:p>
  </w:endnote>
  <w:endnote w:type="continuationSeparator" w:id="0">
    <w:p w14:paraId="3AD8EF07" w14:textId="77777777" w:rsidR="002E24F0" w:rsidRDefault="002E2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E4A7B" w14:textId="77777777" w:rsidR="002E24F0" w:rsidRDefault="002E24F0">
      <w:pPr>
        <w:spacing w:line="240" w:lineRule="auto"/>
      </w:pPr>
      <w:r>
        <w:separator/>
      </w:r>
    </w:p>
  </w:footnote>
  <w:footnote w:type="continuationSeparator" w:id="0">
    <w:p w14:paraId="597754F4" w14:textId="77777777" w:rsidR="002E24F0" w:rsidRDefault="002E24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63C9" w14:textId="77777777" w:rsidR="00526D14" w:rsidRDefault="002E24F0">
    <w:pPr>
      <w:ind w:left="143" w:right="0" w:firstLine="0"/>
      <w:jc w:val="center"/>
    </w:pPr>
    <w:r>
      <w:t xml:space="preserve">Eden Park Surgery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D3" w14:textId="77777777" w:rsidR="00526D14" w:rsidRDefault="002E24F0">
    <w:pPr>
      <w:ind w:left="143" w:right="0" w:firstLine="0"/>
      <w:jc w:val="center"/>
    </w:pPr>
    <w:r>
      <w:t xml:space="preserve">Eden Park Surgery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4D59" w14:textId="77777777" w:rsidR="00526D14" w:rsidRDefault="002E24F0">
    <w:pPr>
      <w:ind w:left="143" w:right="0" w:firstLine="0"/>
      <w:jc w:val="center"/>
    </w:pPr>
    <w:r>
      <w:t xml:space="preserve">Eden Park Surgery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A1151"/>
    <w:multiLevelType w:val="hybridMultilevel"/>
    <w:tmpl w:val="E67486D6"/>
    <w:lvl w:ilvl="0" w:tplc="3462E6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F861C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CEE84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B847E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A2CEA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60C7E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C4EC1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9ACA7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6A27D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954159"/>
    <w:multiLevelType w:val="hybridMultilevel"/>
    <w:tmpl w:val="59C66296"/>
    <w:lvl w:ilvl="0" w:tplc="9B3E39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FEA5B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24975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3423D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BCBC5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162BE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2C422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66089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82374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04861784">
    <w:abstractNumId w:val="1"/>
  </w:num>
  <w:num w:numId="2" w16cid:durableId="25424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D14"/>
    <w:rsid w:val="002E24F0"/>
    <w:rsid w:val="00526D14"/>
    <w:rsid w:val="0059286F"/>
    <w:rsid w:val="00C94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A177"/>
  <w15:docId w15:val="{48E59B1E-DCF2-42F7-AD57-A9E4A465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right="1733" w:hanging="10"/>
      <w:jc w:val="right"/>
    </w:pPr>
    <w:rPr>
      <w:rFonts w:ascii="Calibri" w:eastAsia="Calibri" w:hAnsi="Calibri" w:cs="Calibri"/>
      <w:b/>
      <w:color w:val="000000"/>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9286F"/>
    <w:rPr>
      <w:color w:val="467886" w:themeColor="hyperlink"/>
      <w:u w:val="single"/>
    </w:rPr>
  </w:style>
  <w:style w:type="character" w:styleId="UnresolvedMention">
    <w:name w:val="Unresolved Mention"/>
    <w:basedOn w:val="DefaultParagraphFont"/>
    <w:uiPriority w:val="99"/>
    <w:semiHidden/>
    <w:unhideWhenUsed/>
    <w:rsid w:val="00592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36537">
      <w:bodyDiv w:val="1"/>
      <w:marLeft w:val="0"/>
      <w:marRight w:val="0"/>
      <w:marTop w:val="0"/>
      <w:marBottom w:val="0"/>
      <w:divBdr>
        <w:top w:val="none" w:sz="0" w:space="0" w:color="auto"/>
        <w:left w:val="none" w:sz="0" w:space="0" w:color="auto"/>
        <w:bottom w:val="none" w:sz="0" w:space="0" w:color="auto"/>
        <w:right w:val="none" w:sz="0" w:space="0" w:color="auto"/>
      </w:divBdr>
    </w:div>
    <w:div w:id="1773161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make-a-complaint/data-protection-complaints/" TargetMode="External"/><Relationship Id="rId13" Type="http://schemas.openxmlformats.org/officeDocument/2006/relationships/hyperlink" Target="https://ico.org.uk/make-a-complaint/data-protection-complaints/" TargetMode="External"/><Relationship Id="rId18" Type="http://schemas.openxmlformats.org/officeDocument/2006/relationships/hyperlink" Target="https://ico.org.uk/make-a-complaint/data-protection-complaints/"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gpdpo@selondonics.nhs.uk" TargetMode="External"/><Relationship Id="rId12" Type="http://schemas.openxmlformats.org/officeDocument/2006/relationships/hyperlink" Target="https://ico.org.uk/make-a-complaint/data-protection-complaints/" TargetMode="External"/><Relationship Id="rId17" Type="http://schemas.openxmlformats.org/officeDocument/2006/relationships/hyperlink" Target="https://ico.org.uk/make-a-complaint/data-protection-complaints/" TargetMode="External"/><Relationship Id="rId2" Type="http://schemas.openxmlformats.org/officeDocument/2006/relationships/styles" Target="styles.xml"/><Relationship Id="rId16" Type="http://schemas.openxmlformats.org/officeDocument/2006/relationships/hyperlink" Target="https://ico.org.uk/make-a-complaint/data-protection-complaint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make-a-complaint/data-protection-complaints/" TargetMode="External"/><Relationship Id="rId5" Type="http://schemas.openxmlformats.org/officeDocument/2006/relationships/footnotes" Target="footnotes.xml"/><Relationship Id="rId15" Type="http://schemas.openxmlformats.org/officeDocument/2006/relationships/hyperlink" Target="https://ico.org.uk/make-a-complaint/data-protection-complaints/" TargetMode="External"/><Relationship Id="rId23" Type="http://schemas.openxmlformats.org/officeDocument/2006/relationships/theme" Target="theme/theme1.xml"/><Relationship Id="rId10" Type="http://schemas.openxmlformats.org/officeDocument/2006/relationships/hyperlink" Target="https://ico.org.uk/make-a-complaint/data-protection-complain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make-a-complaint/data-protection-complaints/" TargetMode="External"/><Relationship Id="rId14" Type="http://schemas.openxmlformats.org/officeDocument/2006/relationships/hyperlink" Target="https://ico.org.uk/make-a-complaint/data-protection-complai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SAYBURN, Barney (EDEN PARK SURGERY)</dc:creator>
  <cp:keywords/>
  <cp:lastModifiedBy>SAYBURN, Barney (EDEN PARK SURGERY)</cp:lastModifiedBy>
  <cp:revision>2</cp:revision>
  <dcterms:created xsi:type="dcterms:W3CDTF">2025-07-14T14:57:00Z</dcterms:created>
  <dcterms:modified xsi:type="dcterms:W3CDTF">2025-07-14T14:57:00Z</dcterms:modified>
</cp:coreProperties>
</file>